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ReCode Jogo de Reabilitação do Antebraço</w:t>
      </w:r>
    </w:p>
    <w:p>
      <w:pPr>
        <w:spacing w:after="240"/>
      </w:pPr>
      <w:r>
        <w:rPr>
          <w:color w:val="464646"/>
          <w:sz w:val="18"/>
        </w:rPr>
        <w:t>Short paper de projeto  •  27 de outubro de 2026</w:t>
      </w:r>
    </w:p>
    <w:p>
      <w:pPr>
        <w:pStyle w:val="Heading1"/>
      </w:pPr>
      <w:r>
        <w:t>Resumo</w:t>
      </w:r>
    </w:p>
    <w:p>
      <w:r>
        <w:t>O ReCode é um jogo digital de três fases concebido para apoiar a prática voluntária de rotação do antebraço, com ênfase em coordenação, regularidade e controle do movimento. Um MPU6050 fixado ao antebraço envia leituras a uma ESP32; o jogo libGDX transforma giros válidos em deslocamento do personagem ELO, reparo de circuitos, defesa e progressão. A versão de software reúne narrativa, feedback imediato, pausa, três vidas, escudo e resultados por fase. Os testes automatizados e a compilação do firmware foram concluídos. A validação física contínua ainda depende da soldagem dos pinos do sensor e de nova calibração. O projeto é um recurso de apoio lúdico e não substitui avaliação ou prescrição profissional.</w:t>
      </w:r>
    </w:p>
    <w:p>
      <w:pPr>
        <w:spacing w:after="200"/>
      </w:pPr>
      <w:r>
        <w:rPr>
          <w:b/>
        </w:rPr>
        <w:t xml:space="preserve">Palavras chave  </w:t>
      </w:r>
      <w:r>
        <w:t>jogo sério; reabilitação do membro superior; antebraço; IoT; gamificação.</w:t>
      </w:r>
    </w:p>
    <w:p>
      <w:pPr>
        <w:pStyle w:val="Heading1"/>
      </w:pPr>
      <w:r>
        <w:t>1 Problema e contexto da reabilitação</w:t>
      </w:r>
    </w:p>
    <w:p>
      <w:r>
        <w:t>O recorte funcional do projeto é a pronação e a supinação do antebraço: girar a palma da mão em sentidos opostos de maneira controlada e voltar a uma posição neutra. Dificuldades nesse movimento podem limitar tarefas manuais e tornar a prática repetitiva cansativa. O ReCode busca oferecer um contexto interativo para repetir movimentos confortáveis, perceber o resultado de cada gesto e exercitar a regularidade sem impor velocidade mínima. O jogo não mede força, amplitude articular clínica nem recuperação funcional; esses aspectos exigem instrumentos e acompanhamento próprios.</w:t>
      </w:r>
    </w:p>
    <w:p>
      <w:r>
        <w:t>Estudos com jogos para membros superiores após AVC mostram que tarefas motoras mediadas por tecnologia podem integrar programas de reabilitação. Um ensaio randomizado de treinamento em realidade virtual incluiu pronação e supinação entre os movimentos praticados e encontrou melhora em medidas de função do membro superior no grupo estudado [1]. Outro ensaio multicêntrico investigou prática motora domiciliar com videogames associada a acompanhamento comportamental [2]. Esses resultados fundamentam a proposta de interação, mas não demonstram eficácia clínica do ReCode, que ainda não foi avaliado com pacientes.</w:t>
      </w:r>
    </w:p>
    <w:p>
      <w:pPr>
        <w:pStyle w:val="Heading1"/>
      </w:pPr>
      <w:r>
        <w:t>2 Justificativa da gamificação</w:t>
      </w:r>
    </w:p>
    <w:p>
      <w:r>
        <w:t>O jogo atribui propósito a cada gesto: a rotação conduz ELO, energiza trilhas e repara a rede. Objetivos curtos, mudança de cenário e respostas visuais tornam o progresso legível. Nas fases avançadas, sequências de intervalos semelhantes carregam um escudo temporário; assim, a regularidade produz uma consequência clara no jogo. A pausa livre, a ausência de cronômetro para concluir as fases e a opção de reduzir efeitos de fundo foram incluídas para respeitar o ritmo do jogador. Os parâmetros são regras lúdicas ajustáveis, não metas terapêuticas universais.</w:t>
      </w:r>
    </w:p>
    <w:p>
      <w:pPr>
        <w:pStyle w:val="Heading1"/>
      </w:pPr>
      <w:r>
        <w:t>3 Descrição do jogo</w:t>
      </w:r>
    </w:p>
    <w:p>
      <w:r>
        <w:t>Na história, ELO atravessa uma rede digital corrompida pelo vírus consciente Nó Zero. A campanha conserva fase, vidas e desempenho entre as áreas. O menu permite iniciar, continuar ou reiniciar; Espaço, P ou Esc abre a pausa. Há três corações de integridade. Ataques do antagonista têm trajetória e animação de impacto; o escudo do mascote bloqueia disparos por 15 segundos de jogo. Ao perder as três vidas, a tentativa recomeça. Cenários com deslocamento em camadas, sprites animados e objetos reativos acompanham o avanço do personagem.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55"/>
        <w:gridCol w:w="3255"/>
        <w:gridCol w:w="3255"/>
      </w:tblGrid>
      <w:tr>
        <w:tc>
          <w:tcPr>
            <w:tcW w:type="dxa" w:w="1701"/>
            <w:vAlign w:val="center"/>
            <w:shd w:fill="DCE8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</w:pPr>
            <w:r>
              <w:rPr>
                <w:b/>
                <w:sz w:val="19"/>
              </w:rPr>
              <w:t>Fase</w:t>
            </w:r>
          </w:p>
        </w:tc>
        <w:tc>
          <w:tcPr>
            <w:tcW w:type="dxa" w:w="2324"/>
            <w:vAlign w:val="center"/>
            <w:shd w:fill="DCE8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</w:pPr>
            <w:r>
              <w:rPr>
                <w:b/>
                <w:sz w:val="19"/>
              </w:rPr>
              <w:t>Foco motor</w:t>
            </w:r>
          </w:p>
        </w:tc>
        <w:tc>
          <w:tcPr>
            <w:tcW w:type="dxa" w:w="5726"/>
            <w:vAlign w:val="center"/>
            <w:shd w:fill="DCE8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</w:pPr>
            <w:r>
              <w:rPr>
                <w:b/>
                <w:sz w:val="19"/>
              </w:rPr>
              <w:t>Mecânica implementada</w:t>
            </w:r>
          </w:p>
        </w:tc>
      </w:tr>
      <w:tr>
        <w:tc>
          <w:tcPr>
            <w:tcW w:type="dxa" w:w="32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sz w:val="18"/>
              </w:rPr>
              <w:t>Circuitos Básicos</w:t>
            </w:r>
          </w:p>
        </w:tc>
        <w:tc>
          <w:tcPr>
            <w:tcW w:type="dxa" w:w="32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sz w:val="18"/>
              </w:rPr>
              <w:t>Controle inicial</w:t>
            </w:r>
          </w:p>
        </w:tc>
        <w:tc>
          <w:tcPr>
            <w:tcW w:type="dxa" w:w="32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sz w:val="18"/>
              </w:rPr>
              <w:t>Giros válidos deslocam ELO e religam três circuitos.</w:t>
            </w:r>
          </w:p>
        </w:tc>
      </w:tr>
      <w:tr>
        <w:tc>
          <w:tcPr>
            <w:tcW w:type="dxa" w:w="3255"/>
            <w:vAlign w:val="center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sz w:val="18"/>
              </w:rPr>
              <w:t>Rede Instável</w:t>
            </w:r>
          </w:p>
        </w:tc>
        <w:tc>
          <w:tcPr>
            <w:tcW w:type="dxa" w:w="3255"/>
            <w:vAlign w:val="center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sz w:val="18"/>
              </w:rPr>
              <w:t>Coordenação e ritmo</w:t>
            </w:r>
          </w:p>
        </w:tc>
        <w:tc>
          <w:tcPr>
            <w:tcW w:type="dxa" w:w="3255"/>
            <w:vAlign w:val="center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0"/>
            </w:pPr>
            <w:r>
              <w:rPr>
                <w:sz w:val="18"/>
              </w:rPr>
              <w:t>Sequências regulares estabilizam três nós e carregam o escudo.</w:t>
            </w:r>
          </w:p>
        </w:tc>
      </w:tr>
      <w:tr>
        <w:tc>
          <w:tcPr>
            <w:tcW w:type="dxa" w:w="32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Sistema Central</w:t>
            </w:r>
          </w:p>
        </w:tc>
        <w:tc>
          <w:tcPr>
            <w:tcW w:type="dxa" w:w="32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Precisão e integração</w:t>
            </w:r>
          </w:p>
        </w:tc>
        <w:tc>
          <w:tcPr>
            <w:tcW w:type="dxa" w:w="32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18"/>
              </w:rPr>
              <w:t>Giros dirigidos mudam de linha; ritmo e estabilidade restauram o núcleo diante de Nó Zero.</w:t>
            </w:r>
          </w:p>
        </w:tc>
      </w:tr>
    </w:tbl>
    <w:p>
      <w:pPr>
        <w:spacing w:after="0"/>
      </w:pPr>
    </w:p>
    <w:p>
      <w:pPr>
        <w:pStyle w:val="Heading1"/>
      </w:pPr>
      <w:r>
        <w:t>4 Integração com o dispositivo IoT</w:t>
      </w:r>
    </w:p>
    <w:p>
      <w:r>
        <w:t>O módulo MPU6050 é fixado com seu eixo X ao longo do antebraço e ligado à ESP32 DevKit por I²C: VCC em 3V3, GND em GND, SDA no GPIO 21 e SCL no GPIO 22. O firmware utiliza o acelerômetro, amostra a cada 20 ms e calibra a posição neutra com cerca de 2 segundos de estabilidade. Um giro é registrado ao atingir 25° em relação ao centro, após retorno à faixa de 10°; há intervalo mínimo de 250 ms entre gestos aceitos. Os valores podem ser revistos depois da validação física [3].</w:t>
      </w:r>
    </w:p>
    <w:p>
      <w:r>
        <w:t>A ESP32 transmite JSON por USB serial a 115200 baud a cada 100 ms. O pacote contém sequência, tempo, total de movimentos, direção e estado do sensor. O jogo aceita apenas quadros íntegros com estado “ok”, calcula a diferença entre totais consecutivos e usa os instantes para avaliar regularidade. Em “calibrating” ou “sensor_error”, a campanha pausa, preserva vidas e progresso e aguarda o retorno do sinal. O modo teclado permite verificar a lógica sem o dispositivo.</w:t>
      </w:r>
    </w:p>
    <w:p>
      <w:pPr>
        <w:spacing w:after="160"/>
        <w:ind w:left="259"/>
      </w:pPr>
      <w:r>
        <w:rPr>
          <w:rFonts w:ascii="Consolas" w:hAnsi="Consolas"/>
          <w:sz w:val="17"/>
        </w:rPr>
        <w:t>{"v":2,"mode":"forearm","movement":7,"direction":-1,"state":"ok"}</w:t>
      </w:r>
    </w:p>
    <w:p>
      <w:pPr>
        <w:pStyle w:val="Heading1"/>
      </w:pPr>
      <w:r>
        <w:t>5 Registros visuais do desenvolvimento</w:t>
      </w:r>
    </w:p>
    <w:p>
      <w:r>
        <w:t>As Figuras 1 a 3 são capturas da execução do jogo em modo simulado, usadas para documentar interface, fases e elementos implementados. Elas não representam um ensaio clínico nem a validação do controle físico.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24051"/>
            <wp:docPr id="1" name="Picture 1" descr="Primeira fase do ReCode com ELO, três circuitos e dois reparos concluí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color w:val="414141"/>
          <w:sz w:val="17"/>
        </w:rPr>
        <w:t>Figura 1  Circuitos Básicos com dois reparos concluídos. Captura do modo simulado.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24051"/>
            <wp:docPr id="2" name="Picture 2" descr="Segunda fase do ReCode com um nó estabilizado, ELO protegido e antagonista à direi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color w:val="414141"/>
          <w:sz w:val="17"/>
        </w:rPr>
        <w:t>Figura 2  Rede Instável com nós, escudo e Nó Zero. Captura do modo simulado.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24051"/>
            <wp:docPr id="3" name="Picture 3" descr="Terceira fase do ReCode com duas linhas, ELO e Nó Zero em destaque ao fun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4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80"/>
        <w:jc w:val="center"/>
      </w:pPr>
      <w:r>
        <w:rPr>
          <w:color w:val="414141"/>
          <w:sz w:val="17"/>
        </w:rPr>
        <w:t>Figura 3  Sistema Central com duas rotas e o confronto final. Captura do modo simulado.</w:t>
      </w:r>
    </w:p>
    <w:p>
      <w:pPr>
        <w:pStyle w:val="Heading1"/>
      </w:pPr>
      <w:r>
        <w:t>6 Verificação técnica e limites</w:t>
      </w:r>
    </w:p>
    <w:p>
      <w:r>
        <w:t>A campanha passou na verificação automatizada das três fases, incluindo progressão, vitória, derrota, escudo e retorno após perda de sinal. O firmware compilou para a ESP32 DevKit. Em uma captura preliminar de 31.668 quadros válidos, 96,1% indicaram “sensor_error”; houve também trechos curtos em “ok” com movimentos detectados. O contato dos pinos do MPU6050 ainda não foi soldado, portanto a comunicação física não está estável. Antes de uso com pessoas, é necessário soldar a montagem, gravar o firmware atualizado, verificar os dois sentidos do giro e conferir os ângulos com o sensor fixado.</w:t>
      </w:r>
    </w:p>
    <w:p>
      <w:r>
        <w:t>O ReCode demonstra uma integração funcional de software entre gesto, sensor e regras de jogo. Seu potencial de apoio está na prática repetida com objetivos, feedback e registro de desempenho. A eficácia, a segurança e a adequação dos limiares para um paciente específico dependem de avaliação profissional e de estudos de usabilidade e resultados clínicos próprios.</w:t>
      </w:r>
    </w:p>
    <w:p>
      <w:pPr>
        <w:pStyle w:val="Heading1"/>
      </w:pPr>
      <w:r>
        <w:t>7 Próximas etapas</w:t>
      </w:r>
    </w:p>
    <w:p>
      <w:r>
        <w:t>A próxima verificação começa pela soldagem dos pinos do MPU6050 e pela fixação confortável do módulo ao antebraço. Depois de gravar o firmware atualizado, devem ser observados pelo menos dois minutos de comunicação estável, sem quadros “sensor_error”. Com o braço em repouso, o ângulo relativo deve permanecer próximo de zero; giros para ambos os lados devem alterar o sinal do ângulo e aumentar o contador uma vez por gesto. Só então os limiares de entrada e retorno podem ser ajustados à montagem.</w:t>
      </w:r>
    </w:p>
    <w:p>
      <w:r>
        <w:t>Com o hardware estável, a campanha completa poderá ser observada com movimentos reais para verificar a mudança de linha na fase final, a resposta do escudo e a legibilidade das instruções. Um estudo posterior com orientação profissional deverá avaliar conforto, compreensão, aceitação, possíveis falhas de detecção e medidas clínicas adequadas ao público escolhido. Até essa etapa, os resultados do jogo descrevem desempenho na interação, não ganho terapêutico.</w:t>
      </w:r>
    </w:p>
    <w:p>
      <w:pPr>
        <w:pStyle w:val="Heading1"/>
      </w:pPr>
      <w:r>
        <w:t>Referências</w:t>
      </w:r>
    </w:p>
    <w:p>
      <w:pPr>
        <w:spacing w:after="80"/>
        <w:ind w:left="288" w:hanging="288"/>
      </w:pPr>
      <w:r>
        <w:rPr>
          <w:sz w:val="17"/>
        </w:rPr>
        <w:t>[1] SUN, Y. et al. Effects of self-directed game-based virtual reality program on upper-limb motor recovery in mild-to-moderate ischemic stroke: a randomized controlled trial. European Journal of Physical and Rehabilitation Medicine, 2026. DOI: 10.23736/S1973-9087.25.09129-4. https://pmc.ncbi.nlm.nih.gov/articles/PMC13159033/</w:t>
      </w:r>
    </w:p>
    <w:p>
      <w:pPr>
        <w:spacing w:after="80"/>
        <w:ind w:left="288" w:hanging="288"/>
      </w:pPr>
      <w:r>
        <w:rPr>
          <w:sz w:val="17"/>
        </w:rPr>
        <w:t>[2] GAUTHIER, L. V. et al. Video game rehabilitation for outpatient stroke (VIGoROUS): a multi-site randomized controlled trial of in-home, self-managed, upper-extremity therapy. eClinicalMedicine, 2021, 43:101239. DOI: 10.1016/j.eclinm.2021.101239. https://pmc.ncbi.nlm.nih.gov/articles/PMC8688168/</w:t>
      </w:r>
    </w:p>
    <w:p>
      <w:pPr>
        <w:spacing w:after="80"/>
        <w:ind w:left="288" w:hanging="288"/>
      </w:pPr>
      <w:r>
        <w:rPr>
          <w:sz w:val="17"/>
        </w:rPr>
        <w:t>[3] TDK InvenSense. MPU-6000 and MPU-6050 Register Map and Descriptions. https://invensense.tdk.com/wp-content/uploads/2015/02/MPU-6000-Register-Map1.pdf</w:t>
      </w:r>
    </w:p>
    <w:sectPr w:rsidR="00FC693F" w:rsidRPr="0006063C" w:rsidSect="00034616">
      <w:footerReference w:type="default" r:id="rId9"/>
      <w:pgSz w:w="12240" w:h="15840"/>
      <w:pgMar w:top="1037" w:right="1238" w:bottom="1037" w:left="1238" w:header="403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5A5A5A"/>
        <w:sz w:val="16"/>
      </w:rPr>
      <w:t>ReCode  |  Documento de projeto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ReCode Jogo de Reabilitação do Antebraço</dc:title>
  <dc:subject>Short paper do projeto ReCode</dc:subject>
  <dc:creator>python-docx</dc:creator>
  <cp:keywords>ReCode; reabilitação; antebraço; jogo sério; 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