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Design Document ReCode</w:t>
      </w:r>
    </w:p>
    <w:p>
      <w:pPr>
        <w:pStyle w:val="Subtitle"/>
      </w:pPr>
      <w:r>
        <w:t>Reconstruindo um Mundo Digital</w:t>
      </w:r>
    </w:p>
    <w:p>
      <w:r>
        <w:t>Projeto acadêmico de jogo sério para reabilitação física com libGDX e dispositivo IoT.</w:t>
      </w:r>
    </w:p>
    <w:p>
      <w:r>
        <w:t>Versão 1.1  |  13 de outubro de 2026  |  Escolha do mini pedal para o protótipo</w:t>
      </w:r>
    </w:p>
    <w:p>
      <w:r>
        <w:t>Status geral: mini pedal ergométrico escolhido pelo grupo para o protótipo; montagem, proposta de reabilitação e parâmetros de desempenho ainda dependem de validação.</w:t>
      </w:r>
    </w:p>
    <w:p>
      <w:pPr>
        <w:pStyle w:val="Heading2"/>
      </w:pPr>
      <w:r>
        <w:t>Como ler este documento</w:t>
      </w:r>
    </w:p>
    <w:p>
      <w:r>
        <w:t>“Definido” identifica requisitos do enunciado ou decisões de projeto informadas. “Proposto” identifica especificações de design ainda ajustáveis. “A validar” identifica escolhas que exigem confirmação do professor, testes técnicos ou avaliação profissional antes de se tornarem requisitos finais.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4493"/>
        <w:gridCol w:w="4493"/>
      </w:tblGrid>
      <w:tr>
        <w:trPr>
          <w:tblHeader/>
          <w:cantSplit/>
        </w:trPr>
        <w:tc>
          <w:tcPr>
            <w:tcW w:type="dxa" w:w="1757"/>
            <w:shd w:fill="E8E8E8"/>
            <w:vAlign w:val="center"/>
          </w:tcPr>
          <w:p>
            <w:r>
              <w:rPr>
                <w:b/>
                <w:color w:val="000000"/>
                <w:sz w:val="18"/>
              </w:rPr>
              <w:t>Categoria</w:t>
            </w:r>
          </w:p>
        </w:tc>
        <w:tc>
          <w:tcPr>
            <w:tcW w:type="dxa" w:w="6917"/>
            <w:shd w:fill="E8E8E8"/>
            <w:vAlign w:val="center"/>
          </w:tcPr>
          <w:p>
            <w:r>
              <w:rPr>
                <w:b/>
                <w:color w:val="000000"/>
                <w:sz w:val="18"/>
              </w:rPr>
              <w:t>Situação no GDD</w:t>
            </w:r>
          </w:p>
        </w:tc>
      </w:tr>
      <w:tr>
        <w:trPr>
          <w:cantSplit/>
        </w:trPr>
        <w:tc>
          <w:tcPr>
            <w:tcW w:type="dxa" w:w="1757"/>
            <w:vAlign w:val="center"/>
          </w:tcPr>
          <w:p>
            <w:pPr>
              <w:spacing w:after="0" w:line="259" w:lineRule="auto"/>
            </w:pPr>
            <w:r>
              <w:rPr>
                <w:color w:val="000000"/>
                <w:sz w:val="17"/>
              </w:rPr>
              <w:t>Definido</w:t>
            </w:r>
          </w:p>
        </w:tc>
        <w:tc>
          <w:tcPr>
            <w:tcW w:type="dxa" w:w="6917"/>
            <w:vAlign w:val="center"/>
          </w:tcPr>
          <w:p>
            <w:pPr>
              <w:spacing w:after="0" w:line="259" w:lineRule="auto"/>
            </w:pPr>
            <w:r>
              <w:rPr>
                <w:rFonts w:ascii="Aptos" w:hAnsi="Aptos"/>
                <w:color w:val="000000"/>
                <w:sz w:val="17"/>
              </w:rPr>
              <w:t>libGDX; controle por IoT; três fases; ELO, mascote e vírus consciente; GitHub Kanban; mini pedal escolhido pelo grupo para o protótipo.</w:t>
            </w:r>
          </w:p>
        </w:tc>
      </w:tr>
      <w:tr>
        <w:trPr>
          <w:cantSplit/>
        </w:trPr>
        <w:tc>
          <w:tcPr>
            <w:tcW w:type="dxa" w:w="1757"/>
            <w:vAlign w:val="center"/>
            <w:shd w:fill="F7F7F7"/>
          </w:tcPr>
          <w:p>
            <w:pPr>
              <w:spacing w:after="0" w:line="259" w:lineRule="auto"/>
            </w:pPr>
            <w:r>
              <w:rPr>
                <w:color w:val="000000"/>
                <w:sz w:val="17"/>
              </w:rPr>
              <w:t>Proposto</w:t>
            </w:r>
          </w:p>
        </w:tc>
        <w:tc>
          <w:tcPr>
            <w:tcW w:type="dxa" w:w="6917"/>
            <w:vAlign w:val="center"/>
            <w:shd w:fill="F7F7F7"/>
          </w:tcPr>
          <w:p>
            <w:pPr>
              <w:spacing w:after="0" w:line="259" w:lineRule="auto"/>
            </w:pPr>
            <w:r>
              <w:rPr>
                <w:rFonts w:ascii="Aptos" w:hAnsi="Aptos"/>
                <w:color w:val="000000"/>
                <w:sz w:val="17"/>
              </w:rPr>
              <w:t>Mecânicas, sensor magnético no mini pedal, fórmulas de pontuação, protocolo serial, calibração e critérios quantitativos de teste.</w:t>
            </w:r>
          </w:p>
        </w:tc>
      </w:tr>
      <w:tr>
        <w:trPr>
          <w:cantSplit/>
        </w:trPr>
        <w:tc>
          <w:tcPr>
            <w:tcW w:type="dxa" w:w="1757"/>
            <w:vAlign w:val="center"/>
          </w:tcPr>
          <w:p>
            <w:pPr>
              <w:spacing w:after="0" w:line="259" w:lineRule="auto"/>
            </w:pPr>
            <w:r>
              <w:rPr>
                <w:color w:val="000000"/>
                <w:sz w:val="17"/>
              </w:rPr>
              <w:t>A validar</w:t>
            </w:r>
          </w:p>
        </w:tc>
        <w:tc>
          <w:tcPr>
            <w:tcW w:type="dxa" w:w="6917"/>
            <w:vAlign w:val="center"/>
          </w:tcPr>
          <w:p>
            <w:pPr>
              <w:spacing w:after="0" w:line="259" w:lineRule="auto"/>
            </w:pPr>
            <w:r>
              <w:rPr>
                <w:rFonts w:ascii="Aptos" w:hAnsi="Aptos"/>
                <w:color w:val="000000"/>
                <w:sz w:val="17"/>
              </w:rPr>
              <w:t>Objetivo e protocolo de reabilitação; montagem do sensor, metas de dificuldade, navegação IoT e plataforma de entrega.</w:t>
            </w:r>
          </w:p>
        </w:tc>
      </w:tr>
    </w:tbl>
    <w:p>
      <w:pPr>
        <w:spacing w:after="20"/>
      </w:pPr>
    </w:p>
    <w:p>
      <w:pPr>
        <w:pStyle w:val="Small"/>
      </w:pPr>
      <w:r>
        <w:t>Base documental: Projeto_Descricao_Geral.docx; decisões de projeto informadas; pacote local do Kanban ReCode. O enunciado exige código-fonte com commits semanais no GitHub, jogo executável ou APK e short paper de até seis páginas.</w:t>
      </w:r>
    </w:p>
    <w:p>
      <w:r>
        <w:br w:type="page"/>
      </w:r>
    </w:p>
    <w:p>
      <w:pPr>
        <w:pStyle w:val="Heading1"/>
      </w:pPr>
      <w:r>
        <w:t>Sumário</w:t>
      </w:r>
    </w:p>
    <w:p>
      <w:pPr>
        <w:spacing w:after="80"/>
      </w:pPr>
      <w:r>
        <w:t>1 Visão do jogo e rastreabilidade</w:t>
      </w:r>
    </w:p>
    <w:p>
      <w:pPr>
        <w:spacing w:after="80"/>
      </w:pPr>
      <w:r>
        <w:t>2 Público e objetivo de reabilitação</w:t>
      </w:r>
    </w:p>
    <w:p>
      <w:pPr>
        <w:spacing w:after="80"/>
      </w:pPr>
      <w:r>
        <w:t>3 Narrativa e personagens</w:t>
      </w:r>
    </w:p>
    <w:p>
      <w:pPr>
        <w:spacing w:after="80"/>
      </w:pPr>
      <w:r>
        <w:t>4 Estrutura de jogo e controles</w:t>
      </w:r>
    </w:p>
    <w:p>
      <w:pPr>
        <w:spacing w:after="80"/>
      </w:pPr>
      <w:r>
        <w:t>5 Dispositivo IoT e calibração</w:t>
      </w:r>
    </w:p>
    <w:p>
      <w:pPr>
        <w:spacing w:after="80"/>
      </w:pPr>
      <w:r>
        <w:t>6 Fases e progressão</w:t>
      </w:r>
    </w:p>
    <w:p>
      <w:pPr>
        <w:pageBreakBefore w:val="0"/>
        <w:spacing w:after="80"/>
      </w:pPr>
      <w:r>
        <w:t>7 Métricas e acompanhamento</w:t>
      </w:r>
    </w:p>
    <w:p>
      <w:pPr>
        <w:spacing w:after="80"/>
      </w:pPr>
      <w:r>
        <w:t>8 Experiência do usuário e segurança</w:t>
      </w:r>
    </w:p>
    <w:p>
      <w:pPr>
        <w:spacing w:after="80"/>
      </w:pPr>
      <w:r>
        <w:t>9 Arquitetura técnica e protocolo</w:t>
      </w:r>
    </w:p>
    <w:p>
      <w:pPr>
        <w:spacing w:after="80"/>
      </w:pPr>
      <w:r>
        <w:t>10 Escopo do MVP e critérios de aceite</w:t>
      </w:r>
    </w:p>
    <w:p>
      <w:pPr>
        <w:spacing w:after="80"/>
      </w:pPr>
      <w:r>
        <w:t>11 Plano de testes</w:t>
      </w:r>
    </w:p>
    <w:p>
      <w:pPr>
        <w:spacing w:after="80"/>
      </w:pPr>
      <w:r>
        <w:t>12 Gestão e marcos</w:t>
      </w:r>
    </w:p>
    <w:p>
      <w:pPr>
        <w:spacing w:after="80"/>
      </w:pPr>
      <w:r>
        <w:t>13 Riscos e decisões pendentes</w:t>
      </w:r>
    </w:p>
    <w:p>
      <w:pPr>
        <w:spacing w:after="80"/>
      </w:pPr>
      <w:r>
        <w:t>14 Entregáveis e referências</w:t>
      </w:r>
    </w:p>
    <w:p>
      <w:r>
        <w:br w:type="page"/>
      </w:r>
    </w:p>
    <w:p>
      <w:pPr>
        <w:pStyle w:val="Heading1"/>
      </w:pPr>
      <w:r>
        <w:t>1 Visão do jogo e rastreabilidade</w:t>
      </w:r>
    </w:p>
    <w:p>
      <w:r>
        <w:t>ReCode — Reconstruindo um Mundo Digital é um jogo sério em que a ação física capturada por um dispositivo IoT fornece a energia necessária para restaurar um universo digital corrompido. A experiência traduz ciclos de movimento em avanço visível, objetivos de fase e feedback de regularidade. Seu propósito acadêmico é demonstrar uma integração funcional entre exercício, avaliação de desempenho e gameplay em libGDX.</w:t>
      </w:r>
    </w:p>
    <w:p>
      <w:pPr>
        <w:pStyle w:val="Heading2"/>
      </w:pPr>
      <w:r>
        <w:t>1.1 Pilares de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4493"/>
        <w:gridCol w:w="4493"/>
      </w:tblGrid>
      <w:tr>
        <w:trPr>
          <w:tblHeader/>
          <w:cantSplit/>
        </w:trPr>
        <w:tc>
          <w:tcPr>
            <w:tcW w:type="dxa" w:w="1814"/>
            <w:shd w:fill="E8E8E8"/>
            <w:vAlign w:val="center"/>
          </w:tcPr>
          <w:p>
            <w:r>
              <w:rPr>
                <w:b/>
                <w:color w:val="000000"/>
                <w:sz w:val="18"/>
              </w:rPr>
              <w:t>Pilar</w:t>
            </w:r>
          </w:p>
        </w:tc>
        <w:tc>
          <w:tcPr>
            <w:tcW w:type="dxa" w:w="6860"/>
            <w:shd w:fill="E8E8E8"/>
            <w:vAlign w:val="center"/>
          </w:tcPr>
          <w:p>
            <w:r>
              <w:rPr>
                <w:b/>
                <w:color w:val="000000"/>
                <w:sz w:val="18"/>
              </w:rPr>
              <w:t>Aplicação</w:t>
            </w:r>
          </w:p>
        </w:tc>
      </w:tr>
      <w:tr>
        <w:trPr>
          <w:cantSplit/>
        </w:trPr>
        <w:tc>
          <w:tcPr>
            <w:tcW w:type="dxa" w:w="1814"/>
            <w:vAlign w:val="center"/>
          </w:tcPr>
          <w:p>
            <w:pPr>
              <w:spacing w:after="0" w:line="259" w:lineRule="auto"/>
            </w:pPr>
            <w:r>
              <w:rPr>
                <w:color w:val="000000"/>
                <w:sz w:val="17"/>
              </w:rPr>
              <w:t>Movimento com efeito direto</w:t>
            </w:r>
          </w:p>
        </w:tc>
        <w:tc>
          <w:tcPr>
            <w:tcW w:type="dxa" w:w="6860"/>
            <w:vAlign w:val="center"/>
          </w:tcPr>
          <w:p>
            <w:pPr>
              <w:spacing w:after="0" w:line="259" w:lineRule="auto"/>
            </w:pPr>
            <w:r>
              <w:rPr>
                <w:color w:val="000000"/>
                <w:sz w:val="17"/>
              </w:rPr>
              <w:t>O sinal válido do dispositivo altera deslocamento, reparo ou energia de ELO; comandos de jogo não dependem de teclado ou controle comum.</w:t>
            </w:r>
          </w:p>
        </w:tc>
      </w:tr>
      <w:tr>
        <w:trPr>
          <w:cantSplit/>
        </w:trPr>
        <w:tc>
          <w:tcPr>
            <w:tcW w:type="dxa" w:w="1814"/>
            <w:vAlign w:val="center"/>
            <w:shd w:fill="F7F7F7"/>
          </w:tcPr>
          <w:p>
            <w:pPr>
              <w:spacing w:after="0" w:line="259" w:lineRule="auto"/>
            </w:pPr>
            <w:r>
              <w:rPr>
                <w:color w:val="000000"/>
                <w:sz w:val="17"/>
              </w:rPr>
              <w:t>Progresso legível</w:t>
            </w:r>
          </w:p>
        </w:tc>
        <w:tc>
          <w:tcPr>
            <w:tcW w:type="dxa" w:w="6860"/>
            <w:vAlign w:val="center"/>
            <w:shd w:fill="F7F7F7"/>
          </w:tcPr>
          <w:p>
            <w:pPr>
              <w:spacing w:after="0" w:line="259" w:lineRule="auto"/>
            </w:pPr>
            <w:r>
              <w:rPr>
                <w:color w:val="000000"/>
                <w:sz w:val="17"/>
              </w:rPr>
              <w:t>Cada ação produz resposta visual e sonora opcional; resultados mostram ritmo, consistência e conclusão sem apresentar diagnóstico.</w:t>
            </w:r>
          </w:p>
        </w:tc>
      </w:tr>
      <w:tr>
        <w:trPr>
          <w:cantSplit/>
        </w:trPr>
        <w:tc>
          <w:tcPr>
            <w:tcW w:type="dxa" w:w="1814"/>
            <w:vAlign w:val="center"/>
          </w:tcPr>
          <w:p>
            <w:pPr>
              <w:spacing w:after="0" w:line="259" w:lineRule="auto"/>
            </w:pPr>
            <w:r>
              <w:rPr>
                <w:color w:val="000000"/>
                <w:sz w:val="17"/>
              </w:rPr>
              <w:t>Dificuldade progressiva</w:t>
            </w:r>
          </w:p>
        </w:tc>
        <w:tc>
          <w:tcPr>
            <w:tcW w:type="dxa" w:w="6860"/>
            <w:vAlign w:val="center"/>
          </w:tcPr>
          <w:p>
            <w:pPr>
              <w:spacing w:after="0" w:line="259" w:lineRule="auto"/>
            </w:pPr>
            <w:r>
              <w:rPr>
                <w:color w:val="000000"/>
                <w:sz w:val="17"/>
              </w:rPr>
              <w:t>Três fases ampliam a complexidade de timing e estabilidade dentro de limites de esforço definidos após calibração.</w:t>
            </w:r>
          </w:p>
        </w:tc>
      </w:tr>
      <w:tr>
        <w:trPr>
          <w:cantSplit/>
        </w:trPr>
        <w:tc>
          <w:tcPr>
            <w:tcW w:type="dxa" w:w="1814"/>
            <w:vAlign w:val="center"/>
            <w:shd w:fill="F7F7F7"/>
          </w:tcPr>
          <w:p>
            <w:pPr>
              <w:spacing w:after="0" w:line="259" w:lineRule="auto"/>
            </w:pPr>
            <w:r>
              <w:rPr>
                <w:color w:val="000000"/>
                <w:sz w:val="17"/>
              </w:rPr>
              <w:t>Segurança e adaptação</w:t>
            </w:r>
          </w:p>
        </w:tc>
        <w:tc>
          <w:tcPr>
            <w:tcW w:type="dxa" w:w="6860"/>
            <w:vAlign w:val="center"/>
            <w:shd w:fill="F7F7F7"/>
          </w:tcPr>
          <w:p>
            <w:pPr>
              <w:spacing w:after="0" w:line="259" w:lineRule="auto"/>
            </w:pPr>
            <w:r>
              <w:rPr>
                <w:color w:val="000000"/>
                <w:sz w:val="17"/>
              </w:rPr>
              <w:t>Sessões curtas, pausa, interrupção por desconexão e metas ajustáveis priorizam a execução confortável do movimento.</w:t>
            </w:r>
          </w:p>
        </w:tc>
      </w:tr>
    </w:tbl>
    <w:p>
      <w:pPr>
        <w:spacing w:after="20"/>
      </w:pPr>
    </w:p>
    <w:p>
      <w:pPr>
        <w:pStyle w:val="Heading2"/>
      </w:pPr>
      <w:r>
        <w:t>1.2 Requisitos de origem</w:t>
      </w:r>
    </w:p>
    <w:p>
      <w:r>
        <w:t>O enunciado exige libGDX, controle exclusivamente pela coleta de dados IoT, pelo menos três níveis distintos, personagem principal, menu com iniciar, pausar e reiniciar, jogo funcional, monitoramento de velocidade e consistência (ou indicador derivado), comparação de progresso entre fases, código com commits semanais, executável ou APK e short paper de até seis páginas. A avaliação PROJ-3 cita a coleta de pedaladas. O grupo escolheu um mini pedal ergométrico para iniciar o protótipo; isso registra uma decisão do grupo, sem atribuí-la ao professor.</w:t>
      </w:r>
    </w:p>
    <w:p>
      <w:pPr>
        <w:pStyle w:val="Heading1"/>
      </w:pPr>
      <w:r>
        <w:t>2 Público e objetivo de reabilitação</w:t>
      </w:r>
    </w:p>
    <w:p>
      <w:pPr>
        <w:pStyle w:val="Heading2"/>
      </w:pPr>
      <w:r>
        <w:t>2.1 Público proposto</w:t>
      </w:r>
    </w:p>
    <w:p>
      <w:r>
        <w:t>Pessoas adultas em processo de reabilitação física que possam executar um movimento cíclico supervisionado, com amplitude e intensidade individualizadas. A faixa etária, as condições clínicas elegíveis e as contraindicações ainda não foram definidas. O protótipo acadêmico não deve ser apresentado como tratamento validado nem usado para prescrever exercício.</w:t>
      </w:r>
    </w:p>
    <w:p>
      <w:pPr>
        <w:pStyle w:val="Heading2"/>
      </w:pPr>
      <w:r>
        <w:t>2.2 Objetivo funcional proposto</w:t>
      </w:r>
    </w:p>
    <w:p>
      <w:r>
        <w:t>Investigar se a experiência gamificada favorece a regularidade de pedaladas em mini pedal ergométrico, com uso confortável e individualizado de membros inferiores. Uma volta completa da manivela é a unidade técnica de movimento. O objetivo funcional, a população elegível, a duração, a intensidade e a adequação do exercício ao contexto de reabilitação ainda dependem de validação por profissional de saúde e alinhamento com o professor. O protótipo mede desempenho no jogo, sem afirmar eficácia terapêutica.</w:t>
      </w:r>
    </w:p>
    <w:p>
      <w:pPr>
        <w:pStyle w:val="Heading2"/>
      </w:pPr>
      <w:r>
        <w:t>2.3 Limite da avaliação</w:t>
      </w:r>
    </w:p>
    <w:p>
      <w:r>
        <w:t>As métricas do jogo descrevem desempenho na tarefa capturada pelo sensor, não ganho clínico. Qualquer afirmação de melhora funcional requer protocolo, autorização ética quando aplicável, instrumento de medida adequado e análise conduzida por profissionais competentes. O short paper deve apresentar a proposta e seus limites com essa distinção.</w:t>
      </w:r>
    </w:p>
    <w:p>
      <w:pPr>
        <w:pStyle w:val="Heading1"/>
      </w:pPr>
      <w:r>
        <w:t>3 Narrativa e personagens</w:t>
      </w:r>
    </w:p>
    <w:p>
      <w:r>
        <w:t>O mundo de ReCode perdeu conexões entre seus circuitos. Cada região recuperada reativa partes da memória do sistema, até revelar que a corrupção foi causada por um vírus consciente capaz de reagir ao reparo. A narrativa é transmitida por cenas curtas antes e depois de cada fase, para preservar o foco no exercício.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531"/>
            <w:shd w:fill="E8E8E8"/>
            <w:vAlign w:val="center"/>
          </w:tcPr>
          <w:p>
            <w:r>
              <w:rPr>
                <w:b/>
                <w:color w:val="000000"/>
                <w:sz w:val="18"/>
              </w:rPr>
              <w:t>Elemento</w:t>
            </w:r>
          </w:p>
        </w:tc>
        <w:tc>
          <w:tcPr>
            <w:tcW w:type="dxa" w:w="4819"/>
            <w:shd w:fill="E8E8E8"/>
            <w:vAlign w:val="center"/>
          </w:tcPr>
          <w:p>
            <w:r>
              <w:rPr>
                <w:b/>
                <w:color w:val="000000"/>
                <w:sz w:val="18"/>
              </w:rPr>
              <w:t>Função narrativa e de jogo</w:t>
            </w:r>
          </w:p>
        </w:tc>
        <w:tc>
          <w:tcPr>
            <w:tcW w:type="dxa" w:w="2324"/>
            <w:shd w:fill="E8E8E8"/>
            <w:vAlign w:val="center"/>
          </w:tcPr>
          <w:p>
            <w:r>
              <w:rPr>
                <w:b/>
                <w:color w:val="000000"/>
                <w:sz w:val="18"/>
              </w:rPr>
              <w:t>Status</w:t>
            </w:r>
          </w:p>
        </w:tc>
      </w:tr>
      <w:tr>
        <w:trPr>
          <w:cantSplit/>
        </w:trPr>
        <w:tc>
          <w:tcPr>
            <w:tcW w:type="dxa" w:w="1531"/>
            <w:vAlign w:val="center"/>
          </w:tcPr>
          <w:p>
            <w:pPr>
              <w:spacing w:after="0" w:line="259" w:lineRule="auto"/>
            </w:pPr>
            <w:r>
              <w:rPr>
                <w:color w:val="000000"/>
                <w:sz w:val="17"/>
              </w:rPr>
              <w:t>ELO</w:t>
            </w:r>
          </w:p>
        </w:tc>
        <w:tc>
          <w:tcPr>
            <w:tcW w:type="dxa" w:w="4819"/>
            <w:vAlign w:val="center"/>
          </w:tcPr>
          <w:p>
            <w:pPr>
              <w:spacing w:after="0" w:line="259" w:lineRule="auto"/>
            </w:pPr>
            <w:r>
              <w:rPr>
                <w:color w:val="000000"/>
                <w:sz w:val="17"/>
              </w:rPr>
              <w:t>Criatura de energia e protagonista. Converte a energia gerada pelo movimento em reparo do mundo digital. Sua animação comunica ritmo, fadiga de sistema e sucesso sem representar estado clínico.</w:t>
            </w:r>
          </w:p>
        </w:tc>
        <w:tc>
          <w:tcPr>
            <w:tcW w:type="dxa" w:w="2324"/>
            <w:vAlign w:val="center"/>
          </w:tcPr>
          <w:p>
            <w:pPr>
              <w:spacing w:after="0" w:line="259" w:lineRule="auto"/>
            </w:pPr>
            <w:r>
              <w:rPr>
                <w:color w:val="000000"/>
                <w:sz w:val="17"/>
              </w:rPr>
              <w:t>Definido: conceito; visual e animações a validar.</w:t>
            </w:r>
          </w:p>
        </w:tc>
      </w:tr>
      <w:tr>
        <w:trPr>
          <w:cantSplit/>
        </w:trPr>
        <w:tc>
          <w:tcPr>
            <w:tcW w:type="dxa" w:w="1531"/>
            <w:vAlign w:val="center"/>
            <w:shd w:fill="F7F7F7"/>
          </w:tcPr>
          <w:p>
            <w:pPr>
              <w:spacing w:after="0" w:line="259" w:lineRule="auto"/>
            </w:pPr>
            <w:r>
              <w:rPr>
                <w:color w:val="000000"/>
                <w:sz w:val="17"/>
              </w:rPr>
              <w:t>Mascote</w:t>
            </w:r>
          </w:p>
        </w:tc>
        <w:tc>
          <w:tcPr>
            <w:tcW w:type="dxa" w:w="4819"/>
            <w:vAlign w:val="center"/>
            <w:shd w:fill="F7F7F7"/>
          </w:tcPr>
          <w:p>
            <w:pPr>
              <w:spacing w:after="0" w:line="259" w:lineRule="auto"/>
            </w:pPr>
            <w:r>
              <w:rPr>
                <w:color w:val="000000"/>
                <w:sz w:val="17"/>
              </w:rPr>
              <w:t>Companheiro que orienta calibração, ensina gestos, sinaliza pausa e oferece feedback acessível. Nome, aparência e personalidade específicos permanecem abertos.</w:t>
            </w:r>
          </w:p>
        </w:tc>
        <w:tc>
          <w:tcPr>
            <w:tcW w:type="dxa" w:w="2324"/>
            <w:vAlign w:val="center"/>
            <w:shd w:fill="F7F7F7"/>
          </w:tcPr>
          <w:p>
            <w:pPr>
              <w:spacing w:after="0" w:line="259" w:lineRule="auto"/>
            </w:pPr>
            <w:r>
              <w:rPr>
                <w:color w:val="000000"/>
                <w:sz w:val="17"/>
              </w:rPr>
              <w:t>Definido: existência; detalhes a validar.</w:t>
            </w:r>
          </w:p>
        </w:tc>
      </w:tr>
      <w:tr>
        <w:trPr>
          <w:cantSplit/>
        </w:trPr>
        <w:tc>
          <w:tcPr>
            <w:tcW w:type="dxa" w:w="1531"/>
            <w:vAlign w:val="center"/>
          </w:tcPr>
          <w:p>
            <w:pPr>
              <w:spacing w:after="0" w:line="259" w:lineRule="auto"/>
            </w:pPr>
            <w:r>
              <w:rPr>
                <w:color w:val="000000"/>
                <w:sz w:val="17"/>
              </w:rPr>
              <w:t>Vírus consciente</w:t>
            </w:r>
          </w:p>
        </w:tc>
        <w:tc>
          <w:tcPr>
            <w:tcW w:type="dxa" w:w="4819"/>
            <w:vAlign w:val="center"/>
          </w:tcPr>
          <w:p>
            <w:pPr>
              <w:spacing w:after="0" w:line="259" w:lineRule="auto"/>
            </w:pPr>
            <w:r>
              <w:rPr>
                <w:color w:val="000000"/>
                <w:sz w:val="17"/>
              </w:rPr>
              <w:t>Antagonista que desestabiliza circuitos e altera padrões de desafio. A oposição é lúdica e não deve culpar o jogador por variações de desempenho.</w:t>
            </w:r>
          </w:p>
        </w:tc>
        <w:tc>
          <w:tcPr>
            <w:tcW w:type="dxa" w:w="2324"/>
            <w:vAlign w:val="center"/>
          </w:tcPr>
          <w:p>
            <w:pPr>
              <w:spacing w:after="0" w:line="259" w:lineRule="auto"/>
            </w:pPr>
            <w:r>
              <w:rPr>
                <w:color w:val="000000"/>
                <w:sz w:val="17"/>
              </w:rPr>
              <w:t>Definido: conceito; nome e representação a validar.</w:t>
            </w:r>
          </w:p>
        </w:tc>
      </w:tr>
    </w:tbl>
    <w:p>
      <w:pPr>
        <w:spacing w:after="20"/>
      </w:pPr>
    </w:p>
    <w:p>
      <w:r>
        <w:t>Consistência de produção: um cartão antigo do Kanban cita “Byte” como personagem. O GDD adota ELO conforme a decisão mais recente informada; o cartão deve ser atualizado antes da implementação para evitar ativos e código divergentes.</w:t>
      </w:r>
    </w:p>
    <w:p>
      <w:pPr>
        <w:pStyle w:val="Heading1"/>
      </w:pPr>
      <w:r>
        <w:t>4 Estrutura de jogo e controles</w:t>
      </w:r>
    </w:p>
    <w:p>
      <w:pPr>
        <w:pStyle w:val="Heading2"/>
      </w:pPr>
      <w:r>
        <w:t>4.1 Game loop</w:t>
      </w:r>
    </w:p>
    <w:p>
      <w:r>
        <w:t>Selecionar iniciar → conferir conexão e calibrar → executar movimento → receber feedback e restaurar trechos do cenário → superar objetivo da fase → consultar resultados → prosseguir, repetir ou encerrar. O ritmo de jogo deve permitir pausas sem penalidade e reinício da tentativa sem apagar histórico já confirmado.</w:t>
      </w:r>
    </w:p>
    <w:p>
      <w:pPr>
        <w:pStyle w:val="Heading2"/>
      </w:pPr>
      <w:r>
        <w:t>4.2 Regras de controle</w:t>
      </w:r>
    </w:p>
    <w:p>
      <w:r>
        <w:t>Definido pelo enunciado: a movimentação e as ações do jogo são influenciadas diretamente pelo dispositivo IoT. Para o mini pedal, a proposta inicial é usar uma volta para mover o foco do menu e um período de repouso estável para confirmar; essa convenção precisa de teste para evitar acionamentos involuntários. Durante a fase, voltas válidas movem ELO ou fornecem energia de reparo. Teclado e mouse podem apoiar depuração, mas não contam como controle da versão demonstrada. Uma eventual exceção de acessibilidade para os menus deve ser discutida com o professor.</w:t>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191"/>
            <w:shd w:fill="E8E8E8"/>
            <w:vAlign w:val="center"/>
          </w:tcPr>
          <w:p>
            <w:r>
              <w:rPr>
                <w:b/>
                <w:color w:val="000000"/>
                <w:sz w:val="18"/>
              </w:rPr>
              <w:t>Estado</w:t>
            </w:r>
          </w:p>
        </w:tc>
        <w:tc>
          <w:tcPr>
            <w:tcW w:type="dxa" w:w="3458"/>
            <w:shd w:fill="E8E8E8"/>
            <w:vAlign w:val="center"/>
          </w:tcPr>
          <w:p>
            <w:r>
              <w:rPr>
                <w:b/>
                <w:color w:val="000000"/>
                <w:sz w:val="18"/>
              </w:rPr>
              <w:t>Ação via IoT proposta</w:t>
            </w:r>
          </w:p>
        </w:tc>
        <w:tc>
          <w:tcPr>
            <w:tcW w:type="dxa" w:w="4025"/>
            <w:shd w:fill="E8E8E8"/>
            <w:vAlign w:val="center"/>
          </w:tcPr>
          <w:p>
            <w:r>
              <w:rPr>
                <w:b/>
                <w:color w:val="000000"/>
                <w:sz w:val="18"/>
              </w:rPr>
              <w:t>Resposta do sistema</w:t>
            </w:r>
          </w:p>
        </w:tc>
      </w:tr>
      <w:tr>
        <w:trPr>
          <w:cantSplit/>
        </w:trPr>
        <w:tc>
          <w:tcPr>
            <w:tcW w:type="dxa" w:w="1191"/>
            <w:vAlign w:val="center"/>
          </w:tcPr>
          <w:p>
            <w:pPr>
              <w:spacing w:after="0" w:line="259" w:lineRule="auto"/>
            </w:pPr>
            <w:r>
              <w:rPr>
                <w:color w:val="000000"/>
                <w:sz w:val="17"/>
              </w:rPr>
              <w:t>Menu</w:t>
            </w:r>
          </w:p>
        </w:tc>
        <w:tc>
          <w:tcPr>
            <w:tcW w:type="dxa" w:w="3458"/>
            <w:vAlign w:val="center"/>
          </w:tcPr>
          <w:p>
            <w:pPr>
              <w:spacing w:after="0" w:line="259" w:lineRule="auto"/>
            </w:pPr>
            <w:r>
              <w:rPr>
                <w:rFonts w:ascii="Aptos" w:hAnsi="Aptos"/>
                <w:color w:val="000000"/>
                <w:sz w:val="17"/>
              </w:rPr>
              <w:t>Uma volta move o foco; repouso estável por 2 s confirma.</w:t>
            </w:r>
          </w:p>
        </w:tc>
        <w:tc>
          <w:tcPr>
            <w:tcW w:type="dxa" w:w="4025"/>
            <w:vAlign w:val="center"/>
          </w:tcPr>
          <w:p>
            <w:pPr>
              <w:spacing w:after="0" w:line="259" w:lineRule="auto"/>
            </w:pPr>
            <w:r>
              <w:rPr>
                <w:color w:val="000000"/>
                <w:sz w:val="17"/>
              </w:rPr>
              <w:t>Destacar foco em texto e ícone, com confirmação reversível.</w:t>
            </w:r>
          </w:p>
        </w:tc>
      </w:tr>
      <w:tr>
        <w:trPr>
          <w:cantSplit/>
        </w:trPr>
        <w:tc>
          <w:tcPr>
            <w:tcW w:type="dxa" w:w="1191"/>
            <w:vAlign w:val="center"/>
            <w:shd w:fill="F7F7F7"/>
          </w:tcPr>
          <w:p>
            <w:pPr>
              <w:spacing w:after="0" w:line="259" w:lineRule="auto"/>
            </w:pPr>
            <w:r>
              <w:rPr>
                <w:color w:val="000000"/>
                <w:sz w:val="17"/>
              </w:rPr>
              <w:t>Jogo</w:t>
            </w:r>
          </w:p>
        </w:tc>
        <w:tc>
          <w:tcPr>
            <w:tcW w:type="dxa" w:w="3458"/>
            <w:vAlign w:val="center"/>
            <w:shd w:fill="F7F7F7"/>
          </w:tcPr>
          <w:p>
            <w:pPr>
              <w:spacing w:after="0" w:line="259" w:lineRule="auto"/>
            </w:pPr>
            <w:r>
              <w:rPr>
                <w:color w:val="000000"/>
                <w:sz w:val="17"/>
              </w:rPr>
              <w:t>Ciclos válidos movem ELO ou recarregam reparo; regularidade estabiliza os circuitos.</w:t>
            </w:r>
          </w:p>
        </w:tc>
        <w:tc>
          <w:tcPr>
            <w:tcW w:type="dxa" w:w="4025"/>
            <w:vAlign w:val="center"/>
            <w:shd w:fill="F7F7F7"/>
          </w:tcPr>
          <w:p>
            <w:pPr>
              <w:spacing w:after="0" w:line="259" w:lineRule="auto"/>
            </w:pPr>
            <w:r>
              <w:rPr>
                <w:color w:val="000000"/>
                <w:sz w:val="17"/>
              </w:rPr>
              <w:t>Feedback imediato de sinal, avanço e faixa de ritmo.</w:t>
            </w:r>
          </w:p>
        </w:tc>
      </w:tr>
      <w:tr>
        <w:trPr>
          <w:cantSplit/>
        </w:trPr>
        <w:tc>
          <w:tcPr>
            <w:tcW w:type="dxa" w:w="1191"/>
            <w:vAlign w:val="center"/>
          </w:tcPr>
          <w:p>
            <w:pPr>
              <w:spacing w:after="0" w:line="259" w:lineRule="auto"/>
            </w:pPr>
            <w:r>
              <w:rPr>
                <w:color w:val="000000"/>
                <w:sz w:val="17"/>
              </w:rPr>
              <w:t>Pausa</w:t>
            </w:r>
          </w:p>
        </w:tc>
        <w:tc>
          <w:tcPr>
            <w:tcW w:type="dxa" w:w="3458"/>
            <w:vAlign w:val="center"/>
          </w:tcPr>
          <w:p>
            <w:pPr>
              <w:spacing w:after="0" w:line="259" w:lineRule="auto"/>
            </w:pPr>
            <w:r>
              <w:rPr>
                <w:rFonts w:ascii="Aptos" w:hAnsi="Aptos"/>
                <w:color w:val="000000"/>
                <w:sz w:val="17"/>
              </w:rPr>
              <w:t>Repouso por 3 s ou perda de comunicação abre pausa automaticamente.</w:t>
            </w:r>
          </w:p>
        </w:tc>
        <w:tc>
          <w:tcPr>
            <w:tcW w:type="dxa" w:w="4025"/>
            <w:vAlign w:val="center"/>
          </w:tcPr>
          <w:p>
            <w:pPr>
              <w:spacing w:after="0" w:line="259" w:lineRule="auto"/>
            </w:pPr>
            <w:r>
              <w:rPr>
                <w:color w:val="000000"/>
                <w:sz w:val="17"/>
              </w:rPr>
              <w:t>Congelar cronômetro e métricas; oferecer retomar, reiniciar e sair.</w:t>
            </w:r>
          </w:p>
        </w:tc>
      </w:tr>
      <w:tr>
        <w:trPr>
          <w:cantSplit/>
        </w:trPr>
        <w:tc>
          <w:tcPr>
            <w:tcW w:type="dxa" w:w="1191"/>
            <w:vAlign w:val="center"/>
            <w:shd w:fill="F7F7F7"/>
          </w:tcPr>
          <w:p>
            <w:pPr>
              <w:spacing w:after="0" w:line="259" w:lineRule="auto"/>
            </w:pPr>
            <w:r>
              <w:rPr>
                <w:color w:val="000000"/>
                <w:sz w:val="17"/>
              </w:rPr>
              <w:t>Resultado</w:t>
            </w:r>
          </w:p>
        </w:tc>
        <w:tc>
          <w:tcPr>
            <w:tcW w:type="dxa" w:w="3458"/>
            <w:vAlign w:val="center"/>
            <w:shd w:fill="F7F7F7"/>
          </w:tcPr>
          <w:p>
            <w:pPr>
              <w:spacing w:after="0" w:line="259" w:lineRule="auto"/>
            </w:pPr>
            <w:r>
              <w:rPr>
                <w:color w:val="000000"/>
                <w:sz w:val="17"/>
              </w:rPr>
              <w:t>Ciclo seleciona próximo/repetir; confirmação por repouso.</w:t>
            </w:r>
          </w:p>
        </w:tc>
        <w:tc>
          <w:tcPr>
            <w:tcW w:type="dxa" w:w="4025"/>
            <w:vAlign w:val="center"/>
            <w:shd w:fill="F7F7F7"/>
          </w:tcPr>
          <w:p>
            <w:pPr>
              <w:spacing w:after="0" w:line="259" w:lineRule="auto"/>
            </w:pPr>
            <w:r>
              <w:rPr>
                <w:color w:val="000000"/>
                <w:sz w:val="17"/>
              </w:rPr>
              <w:t>Salvar tentativa e exibir métricas comparáveis.</w:t>
            </w:r>
          </w:p>
        </w:tc>
      </w:tr>
    </w:tbl>
    <w:p>
      <w:pPr>
        <w:spacing w:after="20"/>
      </w:pPr>
    </w:p>
    <w:p>
      <w:r>
        <w:t>Tempos e gestos acima são parâmetros de interface propostos; exigem teste de falsos acionamentos. Um comando de pausa independente deve estar sempre disponível e priorizado no firmware e no jogo.</w:t>
      </w:r>
    </w:p>
    <w:p>
      <w:pPr>
        <w:pStyle w:val="Heading1"/>
      </w:pPr>
      <w:r>
        <w:t>5 Dispositivo IoT e calibração</w:t>
      </w:r>
    </w:p>
    <w:p>
      <w:pPr>
        <w:pStyle w:val="Heading2"/>
      </w:pPr>
      <w:r>
        <w:t>5.1 Caminhos de hardware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701"/>
            <w:shd w:fill="E8E8E8"/>
            <w:vAlign w:val="center"/>
          </w:tcPr>
          <w:p>
            <w:r>
              <w:rPr>
                <w:b/>
                <w:color w:val="000000"/>
                <w:sz w:val="18"/>
              </w:rPr>
              <w:t>Opção</w:t>
            </w:r>
          </w:p>
        </w:tc>
        <w:tc>
          <w:tcPr>
            <w:tcW w:type="dxa" w:w="4592"/>
            <w:shd w:fill="E8E8E8"/>
            <w:vAlign w:val="center"/>
          </w:tcPr>
          <w:p>
            <w:r>
              <w:rPr>
                <w:b/>
                <w:color w:val="000000"/>
                <w:sz w:val="18"/>
              </w:rPr>
              <w:t>Medição e vantagens</w:t>
            </w:r>
          </w:p>
        </w:tc>
        <w:tc>
          <w:tcPr>
            <w:tcW w:type="dxa" w:w="2381"/>
            <w:shd w:fill="E8E8E8"/>
            <w:vAlign w:val="center"/>
          </w:tcPr>
          <w:p>
            <w:r>
              <w:rPr>
                <w:b/>
                <w:color w:val="000000"/>
                <w:sz w:val="18"/>
              </w:rPr>
              <w:t>Condição</w:t>
            </w:r>
          </w:p>
        </w:tc>
      </w:tr>
      <w:tr>
        <w:trPr>
          <w:cantSplit/>
        </w:trPr>
        <w:tc>
          <w:tcPr>
            <w:tcW w:type="dxa" w:w="1701"/>
            <w:vAlign w:val="center"/>
          </w:tcPr>
          <w:p>
            <w:pPr>
              <w:spacing w:after="0" w:line="259" w:lineRule="auto"/>
            </w:pPr>
            <w:r>
              <w:rPr>
                <w:rFonts w:ascii="Aptos" w:hAnsi="Aptos"/>
                <w:color w:val="000000"/>
                <w:sz w:val="17"/>
              </w:rPr>
              <w:t>Mini pedal com ESP32 e chave magnética</w:t>
            </w:r>
          </w:p>
        </w:tc>
        <w:tc>
          <w:tcPr>
            <w:tcW w:type="dxa" w:w="4592"/>
            <w:vAlign w:val="center"/>
          </w:tcPr>
          <w:p>
            <w:pPr>
              <w:spacing w:after="0" w:line="259" w:lineRule="auto"/>
            </w:pPr>
            <w:r>
              <w:rPr>
                <w:rFonts w:ascii="Aptos" w:hAnsi="Aptos"/>
                <w:color w:val="000000"/>
                <w:sz w:val="17"/>
              </w:rPr>
              <w:t>Conta uma volta da manivela por passagem de ímã; segue a escolha do grupo e a redação de PROJ-3.</w:t>
            </w:r>
          </w:p>
        </w:tc>
        <w:tc>
          <w:tcPr>
            <w:tcW w:type="dxa" w:w="2381"/>
            <w:vAlign w:val="center"/>
          </w:tcPr>
          <w:p>
            <w:pPr>
              <w:spacing w:after="0" w:line="259" w:lineRule="auto"/>
            </w:pPr>
            <w:r>
              <w:rPr>
                <w:rFonts w:ascii="Aptos" w:hAnsi="Aptos"/>
                <w:color w:val="000000"/>
                <w:sz w:val="17"/>
              </w:rPr>
              <w:t>Escolhido pelo grupo para o protótipo; montagem, precisão e segurança a verificar.</w:t>
            </w:r>
          </w:p>
        </w:tc>
      </w:tr>
      <w:tr>
        <w:trPr>
          <w:cantSplit/>
        </w:trPr>
        <w:tc>
          <w:tcPr>
            <w:tcW w:type="dxa" w:w="1701"/>
            <w:vAlign w:val="center"/>
            <w:shd w:fill="F7F7F7"/>
          </w:tcPr>
          <w:p>
            <w:pPr>
              <w:spacing w:after="0" w:line="259" w:lineRule="auto"/>
            </w:pPr>
            <w:r>
              <w:rPr>
                <w:rFonts w:ascii="Aptos" w:hAnsi="Aptos"/>
                <w:color w:val="000000"/>
                <w:sz w:val="17"/>
              </w:rPr>
              <w:t>ESP32 + MPU6050 sem pedal</w:t>
            </w:r>
          </w:p>
        </w:tc>
        <w:tc>
          <w:tcPr>
            <w:tcW w:type="dxa" w:w="4592"/>
            <w:vAlign w:val="center"/>
            <w:shd w:fill="F7F7F7"/>
          </w:tcPr>
          <w:p>
            <w:pPr>
              <w:spacing w:after="0" w:line="259" w:lineRule="auto"/>
            </w:pPr>
            <w:r>
              <w:rPr>
                <w:color w:val="000000"/>
                <w:sz w:val="17"/>
              </w:rPr>
              <w:t>Acelerômetro e giroscópio de baixo custo presos ao antebraço para detectar ciclos de movimento. Dispensa pedal, mas exige fixação estável, filtro e validação do gesto.</w:t>
            </w:r>
          </w:p>
        </w:tc>
        <w:tc>
          <w:tcPr>
            <w:tcW w:type="dxa" w:w="2381"/>
            <w:vAlign w:val="center"/>
            <w:shd w:fill="F7F7F7"/>
          </w:tcPr>
          <w:p>
            <w:pPr>
              <w:spacing w:after="0" w:line="259" w:lineRule="auto"/>
            </w:pPr>
            <w:r>
              <w:rPr>
                <w:rFonts w:ascii="Aptos" w:hAnsi="Aptos"/>
                <w:color w:val="000000"/>
                <w:sz w:val="17"/>
              </w:rPr>
              <w:t>Alternativa não adotada nesta etapa; exigiria autorização prévia do professor.</w:t>
            </w:r>
          </w:p>
        </w:tc>
      </w:tr>
    </w:tbl>
    <w:p>
      <w:pPr>
        <w:spacing w:after="20"/>
      </w:pPr>
    </w:p>
    <w:p>
      <w:pPr>
        <w:pStyle w:val="Heading2"/>
      </w:pPr>
      <w:r>
        <w:t>5.2 Mapeamento de movimento proposto</w:t>
      </w:r>
    </w:p>
    <w:p>
      <w:r>
        <w:t>No mini pedal, um ímã preso à parte giratória passa por uma chave magnética fixa uma vez por volta. O ESP32 conta uma transição válida após filtragem de contato e intervalo mínimo; uma volta aceita gera uma unidade de energia ou avanço de ELO. O intervalo entre voltas estima RPM e sua variação permite calcular consistência. A posição do sensor, a fixação, o número real de pulsos por volta e os limites de plausibilidade serão verificados na montagem.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814"/>
            <w:shd w:fill="E8E8E8"/>
            <w:vAlign w:val="center"/>
          </w:tcPr>
          <w:p>
            <w:r>
              <w:rPr>
                <w:b/>
                <w:color w:val="000000"/>
                <w:sz w:val="18"/>
              </w:rPr>
              <w:t>Entrada detectada</w:t>
            </w:r>
          </w:p>
        </w:tc>
        <w:tc>
          <w:tcPr>
            <w:tcW w:type="dxa" w:w="3572"/>
            <w:shd w:fill="E8E8E8"/>
            <w:vAlign w:val="center"/>
          </w:tcPr>
          <w:p>
            <w:r>
              <w:rPr>
                <w:b/>
                <w:color w:val="000000"/>
                <w:sz w:val="18"/>
              </w:rPr>
              <w:t>Efeito no jogo</w:t>
            </w:r>
          </w:p>
        </w:tc>
        <w:tc>
          <w:tcPr>
            <w:tcW w:type="dxa" w:w="3288"/>
            <w:shd w:fill="E8E8E8"/>
            <w:vAlign w:val="center"/>
          </w:tcPr>
          <w:p>
            <w:r>
              <w:rPr>
                <w:b/>
                <w:color w:val="000000"/>
                <w:sz w:val="18"/>
              </w:rPr>
              <w:t>Verificação</w:t>
            </w:r>
          </w:p>
        </w:tc>
      </w:tr>
      <w:tr>
        <w:trPr>
          <w:cantSplit/>
        </w:trPr>
        <w:tc>
          <w:tcPr>
            <w:tcW w:type="dxa" w:w="1814"/>
            <w:vAlign w:val="center"/>
          </w:tcPr>
          <w:p>
            <w:pPr>
              <w:spacing w:after="0" w:line="259" w:lineRule="auto"/>
            </w:pPr>
            <w:r>
              <w:rPr>
                <w:rFonts w:ascii="Aptos" w:hAnsi="Aptos"/>
                <w:color w:val="000000"/>
                <w:sz w:val="17"/>
              </w:rPr>
              <w:t>Volta válida</w:t>
            </w:r>
          </w:p>
        </w:tc>
        <w:tc>
          <w:tcPr>
            <w:tcW w:type="dxa" w:w="3572"/>
            <w:vAlign w:val="center"/>
          </w:tcPr>
          <w:p>
            <w:pPr>
              <w:spacing w:after="0" w:line="259" w:lineRule="auto"/>
            </w:pPr>
            <w:r>
              <w:rPr>
                <w:color w:val="000000"/>
                <w:sz w:val="17"/>
              </w:rPr>
              <w:t>ELO avança um trecho ou fornece unidade de energia de reparo.</w:t>
            </w:r>
          </w:p>
        </w:tc>
        <w:tc>
          <w:tcPr>
            <w:tcW w:type="dxa" w:w="3288"/>
            <w:vAlign w:val="center"/>
          </w:tcPr>
          <w:p>
            <w:pPr>
              <w:spacing w:after="0" w:line="259" w:lineRule="auto"/>
            </w:pPr>
            <w:r>
              <w:rPr>
                <w:rFonts w:ascii="Aptos" w:hAnsi="Aptos"/>
                <w:color w:val="000000"/>
                <w:sz w:val="17"/>
              </w:rPr>
              <w:t>Comparar voltas manuais e telemetria.</w:t>
            </w:r>
          </w:p>
        </w:tc>
      </w:tr>
      <w:tr>
        <w:trPr>
          <w:cantSplit/>
        </w:trPr>
        <w:tc>
          <w:tcPr>
            <w:tcW w:type="dxa" w:w="1814"/>
            <w:vAlign w:val="center"/>
            <w:shd w:fill="F7F7F7"/>
          </w:tcPr>
          <w:p>
            <w:pPr>
              <w:spacing w:after="0" w:line="259" w:lineRule="auto"/>
            </w:pPr>
            <w:r>
              <w:rPr>
                <w:color w:val="000000"/>
                <w:sz w:val="17"/>
              </w:rPr>
              <w:t>Ritmo dentro da faixa individual</w:t>
            </w:r>
          </w:p>
        </w:tc>
        <w:tc>
          <w:tcPr>
            <w:tcW w:type="dxa" w:w="3572"/>
            <w:vAlign w:val="center"/>
            <w:shd w:fill="F7F7F7"/>
          </w:tcPr>
          <w:p>
            <w:pPr>
              <w:spacing w:after="0" w:line="259" w:lineRule="auto"/>
            </w:pPr>
            <w:r>
              <w:rPr>
                <w:color w:val="000000"/>
                <w:sz w:val="17"/>
              </w:rPr>
              <w:t>Circuito estável com bônus moderado.</w:t>
            </w:r>
          </w:p>
        </w:tc>
        <w:tc>
          <w:tcPr>
            <w:tcW w:type="dxa" w:w="3288"/>
            <w:vAlign w:val="center"/>
            <w:shd w:fill="F7F7F7"/>
          </w:tcPr>
          <w:p>
            <w:pPr>
              <w:spacing w:after="0" w:line="259" w:lineRule="auto"/>
            </w:pPr>
            <w:r>
              <w:rPr>
                <w:color w:val="000000"/>
                <w:sz w:val="17"/>
              </w:rPr>
              <w:t>Mostrar faixa e tolerância.</w:t>
            </w:r>
          </w:p>
        </w:tc>
      </w:tr>
      <w:tr>
        <w:trPr>
          <w:cantSplit/>
        </w:trPr>
        <w:tc>
          <w:tcPr>
            <w:tcW w:type="dxa" w:w="1814"/>
            <w:vAlign w:val="center"/>
          </w:tcPr>
          <w:p>
            <w:pPr>
              <w:spacing w:after="0" w:line="259" w:lineRule="auto"/>
            </w:pPr>
            <w:r>
              <w:rPr>
                <w:color w:val="000000"/>
                <w:sz w:val="17"/>
              </w:rPr>
              <w:t>Ritmo fora da faixa</w:t>
            </w:r>
          </w:p>
        </w:tc>
        <w:tc>
          <w:tcPr>
            <w:tcW w:type="dxa" w:w="3572"/>
            <w:vAlign w:val="center"/>
          </w:tcPr>
          <w:p>
            <w:pPr>
              <w:spacing w:after="0" w:line="259" w:lineRule="auto"/>
            </w:pPr>
            <w:r>
              <w:rPr>
                <w:color w:val="000000"/>
                <w:sz w:val="17"/>
              </w:rPr>
              <w:t>Orientar ajuste; manter avanço seguro.</w:t>
            </w:r>
          </w:p>
        </w:tc>
        <w:tc>
          <w:tcPr>
            <w:tcW w:type="dxa" w:w="3288"/>
            <w:vAlign w:val="center"/>
          </w:tcPr>
          <w:p>
            <w:pPr>
              <w:spacing w:after="0" w:line="259" w:lineRule="auto"/>
            </w:pPr>
            <w:r>
              <w:rPr>
                <w:color w:val="000000"/>
                <w:sz w:val="17"/>
              </w:rPr>
              <w:t>Revisar motivação e segurança.</w:t>
            </w:r>
          </w:p>
        </w:tc>
      </w:tr>
      <w:tr>
        <w:trPr>
          <w:cantSplit/>
        </w:trPr>
        <w:tc>
          <w:tcPr>
            <w:tcW w:type="dxa" w:w="1814"/>
            <w:vAlign w:val="center"/>
            <w:shd w:fill="F7F7F7"/>
          </w:tcPr>
          <w:p>
            <w:pPr>
              <w:spacing w:after="0" w:line="259" w:lineRule="auto"/>
            </w:pPr>
            <w:r>
              <w:rPr>
                <w:color w:val="000000"/>
                <w:sz w:val="17"/>
              </w:rPr>
              <w:t>Sem movimento ou sinal inválido</w:t>
            </w:r>
          </w:p>
        </w:tc>
        <w:tc>
          <w:tcPr>
            <w:tcW w:type="dxa" w:w="3572"/>
            <w:vAlign w:val="center"/>
            <w:shd w:fill="F7F7F7"/>
          </w:tcPr>
          <w:p>
            <w:pPr>
              <w:spacing w:after="0" w:line="259" w:lineRule="auto"/>
            </w:pPr>
            <w:r>
              <w:rPr>
                <w:color w:val="000000"/>
                <w:sz w:val="17"/>
              </w:rPr>
              <w:t>Suspender avanço; oferecer pausa/calibração.</w:t>
            </w:r>
          </w:p>
        </w:tc>
        <w:tc>
          <w:tcPr>
            <w:tcW w:type="dxa" w:w="3288"/>
            <w:vAlign w:val="center"/>
            <w:shd w:fill="F7F7F7"/>
          </w:tcPr>
          <w:p>
            <w:pPr>
              <w:spacing w:after="0" w:line="259" w:lineRule="auto"/>
            </w:pPr>
            <w:r>
              <w:rPr>
                <w:color w:val="000000"/>
                <w:sz w:val="17"/>
              </w:rPr>
              <w:t>Testar desconexão e ruído.</w:t>
            </w:r>
          </w:p>
        </w:tc>
      </w:tr>
    </w:tbl>
    <w:p>
      <w:pPr>
        <w:spacing w:after="20"/>
      </w:pPr>
    </w:p>
    <w:p>
      <w:pPr>
        <w:pStyle w:val="Heading2"/>
      </w:pPr>
      <w:r>
        <w:t>5.3 Calibração e qualidade do sinal</w:t>
      </w:r>
    </w:p>
    <w:p>
      <w:pPr>
        <w:pStyle w:val="ListNumber"/>
      </w:pPr>
      <w:r>
        <w:t>Checar conexão USB, alimentação e fixação do ímã e da chave magnética, mantendo fios e peças fora da trajetória do pedal.</w:t>
      </w:r>
    </w:p>
    <w:p>
      <w:pPr>
        <w:pStyle w:val="ListNumber"/>
      </w:pPr>
      <w:r>
        <w:t>Registrar aproximadamente 10 s com o mini pedal parado e confirmar ausência de pulsos falsos.</w:t>
      </w:r>
    </w:p>
    <w:p>
      <w:pPr>
        <w:pStyle w:val="ListNumber"/>
      </w:pPr>
      <w:r>
        <w:t>Girar a manivela algumas voltas em ritmo confortável e comparar a contagem exibida com voltas observadas manualmente.</w:t>
      </w:r>
    </w:p>
    <w:p>
      <w:pPr>
        <w:pStyle w:val="ListNumber"/>
      </w:pPr>
      <w:r>
        <w:t>Confirmar um pulso por volta e ajustar tempo de debounce e intervalo mínimo sem eliminar voltas reais.</w:t>
      </w:r>
    </w:p>
    <w:p>
      <w:pPr>
        <w:pStyle w:val="ListNumber"/>
      </w:pPr>
      <w:r>
        <w:t>Mostrar contagem e RPM de teste; permitir repetir a verificação antes de iniciar a fase.</w:t>
      </w:r>
    </w:p>
    <w:p>
      <w:r>
        <w:t>Os tempos e limiares são valores iniciais de engenharia. O jogo deve rejeitar pacotes obsoletos, informar perda de comunicação USB e impedir pontuação baseada em dados perdidos. A posição do ímã e do sensor e a precisão da contagem exigem teste físico no mini pedal escolhido.</w:t>
      </w:r>
    </w:p>
    <w:p>
      <w:pPr>
        <w:pStyle w:val="Heading1"/>
      </w:pPr>
      <w:r>
        <w:t>6 Fases e progressão</w:t>
      </w:r>
    </w:p>
    <w:p>
      <w:r>
        <w:t>As três fases estão definidas em nome e ordem; metas numéricas, duração e desenho final dos desafios são propostos. O desbloqueio depende da conclusão do objetivo lúdico, sem exigir sobrecarga física crescente. A dificuldade deve avançar em leitura de padrões e estabilidade, não por imposição automática de maior esforço.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531"/>
            <w:shd w:fill="E8E8E8"/>
            <w:vAlign w:val="center"/>
          </w:tcPr>
          <w:p>
            <w:r>
              <w:rPr>
                <w:b/>
                <w:color w:val="000000"/>
                <w:sz w:val="18"/>
              </w:rPr>
              <w:t>Fase</w:t>
            </w:r>
          </w:p>
        </w:tc>
        <w:tc>
          <w:tcPr>
            <w:tcW w:type="dxa" w:w="4649"/>
            <w:shd w:fill="E8E8E8"/>
            <w:vAlign w:val="center"/>
          </w:tcPr>
          <w:p>
            <w:r>
              <w:rPr>
                <w:b/>
                <w:color w:val="000000"/>
                <w:sz w:val="18"/>
              </w:rPr>
              <w:t>Objetivo e mecânicas propostas</w:t>
            </w:r>
          </w:p>
        </w:tc>
        <w:tc>
          <w:tcPr>
            <w:tcW w:type="dxa" w:w="2494"/>
            <w:shd w:fill="E8E8E8"/>
            <w:vAlign w:val="center"/>
          </w:tcPr>
          <w:p>
            <w:r>
              <w:rPr>
                <w:b/>
                <w:color w:val="000000"/>
                <w:sz w:val="18"/>
              </w:rPr>
              <w:t>Condição de conclusão</w:t>
            </w:r>
          </w:p>
        </w:tc>
      </w:tr>
      <w:tr>
        <w:trPr>
          <w:cantSplit/>
        </w:trPr>
        <w:tc>
          <w:tcPr>
            <w:tcW w:type="dxa" w:w="1531"/>
            <w:vAlign w:val="center"/>
          </w:tcPr>
          <w:p>
            <w:pPr>
              <w:spacing w:after="0" w:line="259" w:lineRule="auto"/>
            </w:pPr>
            <w:r>
              <w:rPr>
                <w:color w:val="000000"/>
                <w:sz w:val="17"/>
              </w:rPr>
              <w:t>1 Circuitos Básicos</w:t>
            </w:r>
          </w:p>
        </w:tc>
        <w:tc>
          <w:tcPr>
            <w:tcW w:type="dxa" w:w="4649"/>
            <w:vAlign w:val="center"/>
          </w:tcPr>
          <w:p>
            <w:pPr>
              <w:spacing w:after="0" w:line="259" w:lineRule="auto"/>
            </w:pPr>
            <w:r>
              <w:rPr>
                <w:color w:val="000000"/>
                <w:sz w:val="17"/>
              </w:rPr>
              <w:t>Tutorial de calibração e reparo. Ciclos válidos iluminam trilhas simples; feedback ensina faixa de ritmo.</w:t>
            </w:r>
          </w:p>
        </w:tc>
        <w:tc>
          <w:tcPr>
            <w:tcW w:type="dxa" w:w="2494"/>
            <w:vAlign w:val="center"/>
          </w:tcPr>
          <w:p>
            <w:pPr>
              <w:spacing w:after="0" w:line="259" w:lineRule="auto"/>
            </w:pPr>
            <w:r>
              <w:rPr>
                <w:color w:val="000000"/>
                <w:sz w:val="17"/>
              </w:rPr>
              <w:t>Restaurar os circuitos previstos e completar sessão segura, com opção de pausa.</w:t>
            </w:r>
          </w:p>
        </w:tc>
      </w:tr>
      <w:tr>
        <w:trPr>
          <w:cantSplit/>
        </w:trPr>
        <w:tc>
          <w:tcPr>
            <w:tcW w:type="dxa" w:w="1531"/>
            <w:vAlign w:val="center"/>
            <w:shd w:fill="F7F7F7"/>
          </w:tcPr>
          <w:p>
            <w:pPr>
              <w:spacing w:after="0" w:line="259" w:lineRule="auto"/>
            </w:pPr>
            <w:r>
              <w:rPr>
                <w:color w:val="000000"/>
                <w:sz w:val="17"/>
              </w:rPr>
              <w:t>2 Rede Instável</w:t>
            </w:r>
          </w:p>
        </w:tc>
        <w:tc>
          <w:tcPr>
            <w:tcW w:type="dxa" w:w="4649"/>
            <w:vAlign w:val="center"/>
            <w:shd w:fill="F7F7F7"/>
          </w:tcPr>
          <w:p>
            <w:pPr>
              <w:spacing w:after="0" w:line="259" w:lineRule="auto"/>
            </w:pPr>
            <w:r>
              <w:rPr>
                <w:color w:val="000000"/>
                <w:sz w:val="17"/>
              </w:rPr>
              <w:t>Interferências visuais moderadas exigem manter sequência de ciclos consistente; janelas de recuperação evitam punição cumulativa.</w:t>
            </w:r>
          </w:p>
        </w:tc>
        <w:tc>
          <w:tcPr>
            <w:tcW w:type="dxa" w:w="2494"/>
            <w:vAlign w:val="center"/>
            <w:shd w:fill="F7F7F7"/>
          </w:tcPr>
          <w:p>
            <w:pPr>
              <w:spacing w:after="0" w:line="259" w:lineRule="auto"/>
            </w:pPr>
            <w:r>
              <w:rPr>
                <w:color w:val="000000"/>
                <w:sz w:val="17"/>
              </w:rPr>
              <w:t>Estabilizar nós da rede por blocos curtos de regularidade.</w:t>
            </w:r>
          </w:p>
        </w:tc>
      </w:tr>
      <w:tr>
        <w:trPr>
          <w:cantSplit/>
        </w:trPr>
        <w:tc>
          <w:tcPr>
            <w:tcW w:type="dxa" w:w="1531"/>
            <w:vAlign w:val="center"/>
          </w:tcPr>
          <w:p>
            <w:pPr>
              <w:spacing w:after="0" w:line="259" w:lineRule="auto"/>
            </w:pPr>
            <w:r>
              <w:rPr>
                <w:color w:val="000000"/>
                <w:sz w:val="17"/>
              </w:rPr>
              <w:t>3 Sistema Central</w:t>
            </w:r>
          </w:p>
        </w:tc>
        <w:tc>
          <w:tcPr>
            <w:tcW w:type="dxa" w:w="4649"/>
            <w:vAlign w:val="center"/>
          </w:tcPr>
          <w:p>
            <w:pPr>
              <w:spacing w:after="0" w:line="259" w:lineRule="auto"/>
            </w:pPr>
            <w:r>
              <w:rPr>
                <w:color w:val="000000"/>
                <w:sz w:val="17"/>
              </w:rPr>
              <w:t>Combina reparo e estabilidade; o vírus altera rotas e exige leitura de pistas, mantendo intensidade individual.</w:t>
            </w:r>
          </w:p>
        </w:tc>
        <w:tc>
          <w:tcPr>
            <w:tcW w:type="dxa" w:w="2494"/>
            <w:vAlign w:val="center"/>
          </w:tcPr>
          <w:p>
            <w:pPr>
              <w:spacing w:after="0" w:line="259" w:lineRule="auto"/>
            </w:pPr>
            <w:r>
              <w:rPr>
                <w:color w:val="000000"/>
                <w:sz w:val="17"/>
              </w:rPr>
              <w:t>Restaurar o núcleo e concluir a narrativa com resultados finais.</w:t>
            </w:r>
          </w:p>
        </w:tc>
      </w:tr>
    </w:tbl>
    <w:p>
      <w:pPr>
        <w:spacing w:after="20"/>
      </w:pPr>
    </w:p>
    <w:p>
      <w:r>
        <w:t>Falha de fase significa apenas objetivo de jogo não atingido. O jogador pode repetir, recalibrar ou encerrar sem mensagem de inadequação física. A progressão não deve bloquear conteúdo por desempenho clínico presumido.</w:t>
      </w:r>
    </w:p>
    <w:p>
      <w:pPr>
        <w:pStyle w:val="Heading1"/>
        <w:pageBreakBefore w:val="0"/>
      </w:pPr>
      <w:r>
        <w:t>7 Métricas e acompanhamento</w:t>
      </w:r>
    </w:p>
    <w:p>
      <w:pPr>
        <w:pStyle w:val="Heading2"/>
      </w:pPr>
      <w:r>
        <w:t>7.1 Definições propostas</w:t>
      </w:r>
    </w:p>
    <w:p>
      <w:r>
        <w:t>Uma volta é aceita quando a chave magnética registra uma passagem após debounce e intervalo mínimo configurados. Para n voltas válidas em uma janela ativa, sejam tᵢ os instantes de conclusão, Δtᵢ = tᵢ − tᵢ₋₁ os intervalos e Tativo a duração sem pausa. Perdas de comunicação excluem a janela afetada do cálculo e aparecem como qualidade de dados, não como baixa capacidade do jogador.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701"/>
            <w:shd w:fill="E8E8E8"/>
            <w:vAlign w:val="center"/>
          </w:tcPr>
          <w:p>
            <w:pPr>
              <w:keepNext/>
            </w:pPr>
            <w:r>
              <w:rPr>
                <w:b/>
                <w:color w:val="000000"/>
                <w:sz w:val="18"/>
              </w:rPr>
              <w:t>Métrica</w:t>
            </w:r>
          </w:p>
        </w:tc>
        <w:tc>
          <w:tcPr>
            <w:tcW w:type="dxa" w:w="4025"/>
            <w:shd w:fill="E8E8E8"/>
            <w:vAlign w:val="center"/>
          </w:tcPr>
          <w:p>
            <w:pPr>
              <w:keepNext/>
            </w:pPr>
            <w:r>
              <w:rPr>
                <w:b/>
                <w:color w:val="000000"/>
                <w:sz w:val="18"/>
              </w:rPr>
              <w:t>Fórmula proposta</w:t>
            </w:r>
          </w:p>
        </w:tc>
        <w:tc>
          <w:tcPr>
            <w:tcW w:type="dxa" w:w="2948"/>
            <w:shd w:fill="E8E8E8"/>
            <w:vAlign w:val="center"/>
          </w:tcPr>
          <w:p>
            <w:pPr>
              <w:keepNext/>
            </w:pPr>
            <w:r>
              <w:rPr>
                <w:b/>
                <w:color w:val="000000"/>
                <w:sz w:val="18"/>
              </w:rPr>
              <w:t>Uso</w:t>
            </w:r>
          </w:p>
        </w:tc>
      </w:tr>
      <w:tr>
        <w:trPr>
          <w:cantSplit/>
        </w:trPr>
        <w:tc>
          <w:tcPr>
            <w:tcW w:type="dxa" w:w="1701"/>
            <w:vAlign w:val="center"/>
          </w:tcPr>
          <w:p>
            <w:pPr>
              <w:spacing w:after="0" w:line="259" w:lineRule="auto"/>
            </w:pPr>
            <w:r>
              <w:rPr>
                <w:rFonts w:ascii="Aptos" w:hAnsi="Aptos"/>
                <w:color w:val="000000"/>
                <w:sz w:val="17"/>
              </w:rPr>
              <w:t>Cadência média</w:t>
            </w:r>
          </w:p>
        </w:tc>
        <w:tc>
          <w:tcPr>
            <w:tcW w:type="dxa" w:w="4025"/>
            <w:vAlign w:val="center"/>
          </w:tcPr>
          <w:p>
            <w:pPr>
              <w:spacing w:after="0" w:line="259" w:lineRule="auto"/>
            </w:pPr>
            <w:r>
              <w:rPr>
                <w:rFonts w:ascii="Aptos" w:hAnsi="Aptos"/>
                <w:color w:val="000000"/>
                <w:sz w:val="17"/>
              </w:rPr>
              <w:t>V = 60 × (n − 1) / (tₙ − t₁), em rotações/min.</w:t>
            </w:r>
          </w:p>
        </w:tc>
        <w:tc>
          <w:tcPr>
            <w:tcW w:type="dxa" w:w="2948"/>
            <w:vAlign w:val="center"/>
          </w:tcPr>
          <w:p>
            <w:pPr>
              <w:spacing w:after="0" w:line="259" w:lineRule="auto"/>
            </w:pPr>
            <w:r>
              <w:rPr>
                <w:rFonts w:ascii="Aptos" w:hAnsi="Aptos"/>
                <w:color w:val="000000"/>
                <w:sz w:val="17"/>
              </w:rPr>
              <w:t>Mostra cadência observada, não melhora clínica.</w:t>
            </w:r>
          </w:p>
        </w:tc>
      </w:tr>
      <w:tr>
        <w:trPr>
          <w:cantSplit/>
        </w:trPr>
        <w:tc>
          <w:tcPr>
            <w:tcW w:type="dxa" w:w="1701"/>
            <w:vAlign w:val="center"/>
            <w:shd w:fill="F7F7F7"/>
          </w:tcPr>
          <w:p>
            <w:pPr>
              <w:spacing w:after="0" w:line="259" w:lineRule="auto"/>
            </w:pPr>
            <w:r>
              <w:rPr>
                <w:color w:val="000000"/>
                <w:sz w:val="17"/>
              </w:rPr>
              <w:t>Consistência</w:t>
            </w:r>
          </w:p>
        </w:tc>
        <w:tc>
          <w:tcPr>
            <w:tcW w:type="dxa" w:w="4025"/>
            <w:vAlign w:val="center"/>
            <w:shd w:fill="F7F7F7"/>
          </w:tcPr>
          <w:p>
            <w:pPr>
              <w:spacing w:after="0" w:line="259" w:lineRule="auto"/>
            </w:pPr>
            <w:r>
              <w:rPr>
                <w:color w:val="000000"/>
                <w:sz w:val="17"/>
              </w:rPr>
              <w:t>C = 100 × max(0, 1 − DP(Δt) / média(Δt)); exigir n ≥ 3.</w:t>
            </w:r>
          </w:p>
        </w:tc>
        <w:tc>
          <w:tcPr>
            <w:tcW w:type="dxa" w:w="2948"/>
            <w:vAlign w:val="center"/>
            <w:shd w:fill="F7F7F7"/>
          </w:tcPr>
          <w:p>
            <w:pPr>
              <w:spacing w:after="0" w:line="259" w:lineRule="auto"/>
            </w:pPr>
            <w:r>
              <w:rPr>
                <w:color w:val="000000"/>
                <w:sz w:val="17"/>
              </w:rPr>
              <w:t>Resume regularidade temporal; exibir “dados insuficientes” quando não calculável.</w:t>
            </w:r>
          </w:p>
        </w:tc>
      </w:tr>
      <w:tr>
        <w:trPr>
          <w:cantSplit/>
        </w:trPr>
        <w:tc>
          <w:tcPr>
            <w:tcW w:type="dxa" w:w="1701"/>
            <w:vAlign w:val="center"/>
          </w:tcPr>
          <w:p>
            <w:pPr>
              <w:spacing w:after="0" w:line="259" w:lineRule="auto"/>
            </w:pPr>
            <w:r>
              <w:rPr>
                <w:color w:val="000000"/>
                <w:sz w:val="17"/>
              </w:rPr>
              <w:t>Aderência à faixa</w:t>
            </w:r>
          </w:p>
        </w:tc>
        <w:tc>
          <w:tcPr>
            <w:tcW w:type="dxa" w:w="4025"/>
            <w:vAlign w:val="center"/>
          </w:tcPr>
          <w:p>
            <w:pPr>
              <w:spacing w:after="0" w:line="259" w:lineRule="auto"/>
            </w:pPr>
            <w:r>
              <w:rPr>
                <w:color w:val="000000"/>
                <w:sz w:val="17"/>
              </w:rPr>
              <w:t>A = 100 × janelas válidas dentro da faixa individual / janelas válidas totais.</w:t>
            </w:r>
          </w:p>
        </w:tc>
        <w:tc>
          <w:tcPr>
            <w:tcW w:type="dxa" w:w="2948"/>
            <w:vAlign w:val="center"/>
          </w:tcPr>
          <w:p>
            <w:pPr>
              <w:spacing w:after="0" w:line="259" w:lineRule="auto"/>
            </w:pPr>
            <w:r>
              <w:rPr>
                <w:color w:val="000000"/>
                <w:sz w:val="17"/>
              </w:rPr>
              <w:t>Informa adequação ao objetivo de ritmo após calibração.</w:t>
            </w:r>
          </w:p>
        </w:tc>
      </w:tr>
      <w:tr>
        <w:trPr>
          <w:cantSplit/>
        </w:trPr>
        <w:tc>
          <w:tcPr>
            <w:tcW w:type="dxa" w:w="1701"/>
            <w:vAlign w:val="center"/>
            <w:shd w:fill="F7F7F7"/>
          </w:tcPr>
          <w:p>
            <w:pPr>
              <w:spacing w:after="0" w:line="259" w:lineRule="auto"/>
            </w:pPr>
            <w:r>
              <w:rPr>
                <w:color w:val="000000"/>
                <w:sz w:val="17"/>
              </w:rPr>
              <w:t>Progresso da fase</w:t>
            </w:r>
          </w:p>
        </w:tc>
        <w:tc>
          <w:tcPr>
            <w:tcW w:type="dxa" w:w="4025"/>
            <w:vAlign w:val="center"/>
            <w:shd w:fill="F7F7F7"/>
          </w:tcPr>
          <w:p>
            <w:pPr>
              <w:spacing w:after="0" w:line="259" w:lineRule="auto"/>
            </w:pPr>
            <w:r>
              <w:rPr>
                <w:color w:val="000000"/>
                <w:sz w:val="17"/>
              </w:rPr>
              <w:t>P = 100 × objetivos de reparo concluídos / objetivos previstos.</w:t>
            </w:r>
          </w:p>
        </w:tc>
        <w:tc>
          <w:tcPr>
            <w:tcW w:type="dxa" w:w="2948"/>
            <w:vAlign w:val="center"/>
            <w:shd w:fill="F7F7F7"/>
          </w:tcPr>
          <w:p>
            <w:pPr>
              <w:spacing w:after="0" w:line="259" w:lineRule="auto"/>
            </w:pPr>
            <w:r>
              <w:rPr>
                <w:color w:val="000000"/>
                <w:sz w:val="17"/>
              </w:rPr>
              <w:t>Indica conclusão lúdica, sem interpretação clínica.</w:t>
            </w:r>
          </w:p>
        </w:tc>
      </w:tr>
      <w:tr>
        <w:trPr>
          <w:cantSplit/>
        </w:trPr>
        <w:tc>
          <w:tcPr>
            <w:tcW w:type="dxa" w:w="1701"/>
            <w:vAlign w:val="center"/>
          </w:tcPr>
          <w:p>
            <w:pPr>
              <w:spacing w:after="0" w:line="259" w:lineRule="auto"/>
            </w:pPr>
            <w:r>
              <w:rPr>
                <w:color w:val="000000"/>
                <w:sz w:val="17"/>
              </w:rPr>
              <w:t>Pontuação lúdica</w:t>
            </w:r>
          </w:p>
        </w:tc>
        <w:tc>
          <w:tcPr>
            <w:tcW w:type="dxa" w:w="4025"/>
            <w:vAlign w:val="center"/>
          </w:tcPr>
          <w:p>
            <w:pPr>
              <w:spacing w:after="0" w:line="259" w:lineRule="auto"/>
            </w:pPr>
            <w:r>
              <w:rPr>
                <w:color w:val="000000"/>
                <w:sz w:val="17"/>
              </w:rPr>
              <w:t>S = 0,4P + 0,3C + 0,3A, cada parcela em 0 a 100.</w:t>
            </w:r>
          </w:p>
        </w:tc>
        <w:tc>
          <w:tcPr>
            <w:tcW w:type="dxa" w:w="2948"/>
            <w:vAlign w:val="center"/>
          </w:tcPr>
          <w:p>
            <w:pPr>
              <w:spacing w:after="0" w:line="259" w:lineRule="auto"/>
            </w:pPr>
            <w:r>
              <w:rPr>
                <w:color w:val="000000"/>
                <w:sz w:val="17"/>
              </w:rPr>
              <w:t>Proposta ajustável; não usada para prescrição ou comparação entre pessoas.</w:t>
            </w:r>
          </w:p>
        </w:tc>
      </w:tr>
    </w:tbl>
    <w:p>
      <w:pPr>
        <w:spacing w:after="20"/>
      </w:pPr>
    </w:p>
    <w:p>
      <w:r>
        <w:t>O cálculo de velocidade requer pelo menos dois ciclos e o de consistência pelo menos três. Mediana e limites de plausibilidade devem complementar a média para reduzir efeito de pulsos falsos. Pesos, janela e faixas devem ser revisados após protótipo e orientação da área de saúde. Não incluir períodos pausados nas métricas de exercício.</w:t>
      </w:r>
    </w:p>
    <w:p>
      <w:pPr>
        <w:pStyle w:val="Heading2"/>
      </w:pPr>
      <w:r>
        <w:t>7.2 Acompanhamento entre sessões</w:t>
      </w:r>
    </w:p>
    <w:p>
      <w:r>
        <w:t>Salvar data, fase, duração ativa, ciclos válidos, velocidade, consistência, progresso e qualidade do sinal, vinculados a um identificador local não nominal no MVP. Comparar a pessoa somente com seus próprios registros e sob condições semelhantes de dispositivo e calibração. Mostrar tendência descritiva, sem frases como “recuperação comprovada”. Exportação, retenção e consentimento para dados pessoais ficam pendentes se houver participantes reais.</w:t>
      </w:r>
    </w:p>
    <w:p>
      <w:pPr>
        <w:pStyle w:val="Heading1"/>
      </w:pPr>
      <w:r>
        <w:t>8 Experiência do usuário e segurança</w:t>
      </w:r>
    </w:p>
    <w:p>
      <w:pPr>
        <w:pStyle w:val="Heading2"/>
      </w:pPr>
      <w:r>
        <w:t>8.1 Telas e feedback</w:t>
      </w:r>
    </w:p>
    <w:p>
      <w:r>
        <w:t>Fluxo mínimo: abertura e conexão; menu principal; calibração; fases; pausa; resultado da fase; resultado final. A tela de jogo apresenta objetivo, progresso, estado do sensor e faixa de ritmo em linguagem simples. Feedback positivo reconhece esforço e conclusão de tarefas; feedback corretivo orienta sem culpa. Sons são opcionais e nunca a única forma de informar um evento.</w:t>
      </w:r>
    </w:p>
    <w:p>
      <w:pPr>
        <w:pStyle w:val="Heading2"/>
      </w:pPr>
      <w:r>
        <w:t>8.2 Acessibilidade</w:t>
      </w:r>
    </w:p>
    <w:p>
      <w:pPr>
        <w:pStyle w:val="ListBullet"/>
      </w:pPr>
      <w:r>
        <w:t>Texto legível, alto contraste, ícones com rótulos, opção de reduzir efeitos visuais e animações de corrupção.</w:t>
      </w:r>
    </w:p>
    <w:p>
      <w:pPr>
        <w:pStyle w:val="ListBullet"/>
      </w:pPr>
      <w:r>
        <w:t>Instruções curtas, demonstração visual do movimento e possibilidade de repetir calibração sem penalidade.</w:t>
      </w:r>
    </w:p>
    <w:p>
      <w:pPr>
        <w:pStyle w:val="ListBullet"/>
      </w:pPr>
      <w:r>
        <w:t>Faixa de ritmo individual; ajuste de dificuldade cognitiva separado de qualquer parâmetro físico.</w:t>
      </w:r>
    </w:p>
    <w:p>
      <w:pPr>
        <w:pStyle w:val="ListBullet"/>
      </w:pPr>
      <w:r>
        <w:t>Informações essenciais duplicadas por texto e forma, sem depender somente de cor ou áudio.</w:t>
      </w:r>
    </w:p>
    <w:p>
      <w:pPr>
        <w:pStyle w:val="ListBullet"/>
      </w:pPr>
      <w:r>
        <w:t>Confirmar com o professor como atender jogadores que não conseguem executar o gesto de menu proposto sem violar o controle exclusivamente IoT.</w:t>
      </w:r>
    </w:p>
    <w:p>
      <w:pPr>
        <w:pStyle w:val="Heading2"/>
      </w:pPr>
      <w:r>
        <w:t>8.3 Segurança do exercício</w:t>
      </w:r>
    </w:p>
    <w:p>
      <w:r>
        <w:t>A sessão deve começar somente após orientação apropriada para a pessoa e o dispositivo. O protótipo não define intensidade, duração terapêutica ou amplitude segura. Exibir instrução para interromper imediatamente em caso de dor, tontura, falta de ar incomum ou desconforto. Pausa e encerramento devem funcionar mesmo quando a fase não está concluída; desconexão deve congelar o jogo. Evitar incentivo para “forçar” velocidade, séries ou amplitude. Testes com pacientes exigem supervisão e autorizações cabíveis; testes iniciais devem usar voluntários saudáveis e tarefas técnicas, sem reivindicar eficácia clínica.</w:t>
      </w:r>
    </w:p>
    <w:p>
      <w:pPr>
        <w:pStyle w:val="Heading1"/>
      </w:pPr>
      <w:r>
        <w:t>9 Arquitetura técnica e protocolo</w:t>
      </w:r>
    </w:p>
    <w:p>
      <w:pPr>
        <w:pStyle w:val="Heading2"/>
      </w:pPr>
      <w:r>
        <w:t>9.1 Componentes</w:t>
      </w:r>
    </w:p>
    <w:p>
      <w:r>
        <w:t>A aplicação desktop libGDX em Java organiza telas, estado do jogo, regras das fases, apresentação e persistência local. O firmware ESP32 lê sensor, aplica pré-processamento e envia amostras/eventos por USB serial. Uma camada de integração no desktop valida formato, sequência e tempo das mensagens antes de publicar eventos para o jogo. A lógica de gameplay consome somente eventos validados, isolando perda de conexão e ruído do sensor.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757"/>
            <w:shd w:fill="E8E8E8"/>
            <w:vAlign w:val="center"/>
          </w:tcPr>
          <w:p>
            <w:r>
              <w:rPr>
                <w:b/>
                <w:color w:val="000000"/>
                <w:sz w:val="18"/>
              </w:rPr>
              <w:t>Camada</w:t>
            </w:r>
          </w:p>
        </w:tc>
        <w:tc>
          <w:tcPr>
            <w:tcW w:type="dxa" w:w="4535"/>
            <w:shd w:fill="E8E8E8"/>
            <w:vAlign w:val="center"/>
          </w:tcPr>
          <w:p>
            <w:r>
              <w:rPr>
                <w:b/>
                <w:color w:val="000000"/>
                <w:sz w:val="18"/>
              </w:rPr>
              <w:t>Responsabilidade</w:t>
            </w:r>
          </w:p>
        </w:tc>
        <w:tc>
          <w:tcPr>
            <w:tcW w:type="dxa" w:w="2381"/>
            <w:shd w:fill="E8E8E8"/>
            <w:vAlign w:val="center"/>
          </w:tcPr>
          <w:p>
            <w:r>
              <w:rPr>
                <w:b/>
                <w:color w:val="000000"/>
                <w:sz w:val="18"/>
              </w:rPr>
              <w:t>Status</w:t>
            </w:r>
          </w:p>
        </w:tc>
      </w:tr>
      <w:tr>
        <w:trPr>
          <w:cantSplit/>
        </w:trPr>
        <w:tc>
          <w:tcPr>
            <w:tcW w:type="dxa" w:w="1757"/>
            <w:vAlign w:val="center"/>
          </w:tcPr>
          <w:p>
            <w:pPr>
              <w:spacing w:after="0" w:line="259" w:lineRule="auto"/>
            </w:pPr>
            <w:r>
              <w:rPr>
                <w:color w:val="000000"/>
                <w:sz w:val="17"/>
              </w:rPr>
              <w:t>Sensor e ESP32</w:t>
            </w:r>
          </w:p>
        </w:tc>
        <w:tc>
          <w:tcPr>
            <w:tcW w:type="dxa" w:w="4535"/>
            <w:vAlign w:val="center"/>
          </w:tcPr>
          <w:p>
            <w:pPr>
              <w:spacing w:after="0" w:line="259" w:lineRule="auto"/>
            </w:pPr>
            <w:r>
              <w:rPr>
                <w:color w:val="000000"/>
                <w:sz w:val="17"/>
              </w:rPr>
              <w:t>Captura, marca temporal, filtro básico, diagnóstico e transmissão.</w:t>
            </w:r>
          </w:p>
        </w:tc>
        <w:tc>
          <w:tcPr>
            <w:tcW w:type="dxa" w:w="2381"/>
            <w:vAlign w:val="center"/>
          </w:tcPr>
          <w:p>
            <w:pPr>
              <w:spacing w:after="0" w:line="259" w:lineRule="auto"/>
            </w:pPr>
            <w:r>
              <w:rPr>
                <w:rFonts w:ascii="Aptos" w:hAnsi="Aptos"/>
                <w:color w:val="000000"/>
                <w:sz w:val="17"/>
              </w:rPr>
              <w:t>Mini pedal e ESP32 escolhidos; chave magnética e montagem propostas.</w:t>
            </w:r>
          </w:p>
        </w:tc>
      </w:tr>
      <w:tr>
        <w:trPr>
          <w:cantSplit/>
        </w:trPr>
        <w:tc>
          <w:tcPr>
            <w:tcW w:type="dxa" w:w="1757"/>
            <w:vAlign w:val="center"/>
            <w:shd w:fill="F7F7F7"/>
          </w:tcPr>
          <w:p>
            <w:pPr>
              <w:spacing w:after="0" w:line="259" w:lineRule="auto"/>
            </w:pPr>
            <w:r>
              <w:rPr>
                <w:color w:val="000000"/>
                <w:sz w:val="17"/>
              </w:rPr>
              <w:t>Transporte</w:t>
            </w:r>
          </w:p>
        </w:tc>
        <w:tc>
          <w:tcPr>
            <w:tcW w:type="dxa" w:w="4535"/>
            <w:vAlign w:val="center"/>
            <w:shd w:fill="F7F7F7"/>
          </w:tcPr>
          <w:p>
            <w:pPr>
              <w:spacing w:after="0" w:line="259" w:lineRule="auto"/>
            </w:pPr>
            <w:r>
              <w:rPr>
                <w:color w:val="000000"/>
                <w:sz w:val="17"/>
              </w:rPr>
              <w:t>USB serial com enquadramento por linha e identificação de versão.</w:t>
            </w:r>
          </w:p>
        </w:tc>
        <w:tc>
          <w:tcPr>
            <w:tcW w:type="dxa" w:w="2381"/>
            <w:vAlign w:val="center"/>
            <w:shd w:fill="F7F7F7"/>
          </w:tcPr>
          <w:p>
            <w:pPr>
              <w:spacing w:after="0" w:line="259" w:lineRule="auto"/>
            </w:pPr>
            <w:r>
              <w:rPr>
                <w:color w:val="000000"/>
                <w:sz w:val="17"/>
              </w:rPr>
              <w:t>Proposto para MVP desktop.</w:t>
            </w:r>
          </w:p>
        </w:tc>
      </w:tr>
      <w:tr>
        <w:trPr>
          <w:cantSplit/>
        </w:trPr>
        <w:tc>
          <w:tcPr>
            <w:tcW w:type="dxa" w:w="1757"/>
            <w:vAlign w:val="center"/>
          </w:tcPr>
          <w:p>
            <w:pPr>
              <w:spacing w:after="0" w:line="259" w:lineRule="auto"/>
            </w:pPr>
            <w:r>
              <w:rPr>
                <w:color w:val="000000"/>
                <w:sz w:val="17"/>
              </w:rPr>
              <w:t>Adaptador Java</w:t>
            </w:r>
          </w:p>
        </w:tc>
        <w:tc>
          <w:tcPr>
            <w:tcW w:type="dxa" w:w="4535"/>
            <w:vAlign w:val="center"/>
          </w:tcPr>
          <w:p>
            <w:pPr>
              <w:spacing w:after="0" w:line="259" w:lineRule="auto"/>
            </w:pPr>
            <w:r>
              <w:rPr>
                <w:color w:val="000000"/>
                <w:sz w:val="17"/>
              </w:rPr>
              <w:t>Leitura assíncrona, parser, timeout, validação e fila de eventos.</w:t>
            </w:r>
          </w:p>
        </w:tc>
        <w:tc>
          <w:tcPr>
            <w:tcW w:type="dxa" w:w="2381"/>
            <w:vAlign w:val="center"/>
          </w:tcPr>
          <w:p>
            <w:pPr>
              <w:spacing w:after="0" w:line="259" w:lineRule="auto"/>
            </w:pPr>
            <w:r>
              <w:rPr>
                <w:color w:val="000000"/>
                <w:sz w:val="17"/>
              </w:rPr>
              <w:t>Proposto.</w:t>
            </w:r>
          </w:p>
        </w:tc>
      </w:tr>
      <w:tr>
        <w:trPr>
          <w:cantSplit/>
        </w:trPr>
        <w:tc>
          <w:tcPr>
            <w:tcW w:type="dxa" w:w="1757"/>
            <w:vAlign w:val="center"/>
            <w:shd w:fill="F7F7F7"/>
          </w:tcPr>
          <w:p>
            <w:pPr>
              <w:spacing w:after="0" w:line="259" w:lineRule="auto"/>
            </w:pPr>
            <w:r>
              <w:rPr>
                <w:color w:val="000000"/>
                <w:sz w:val="17"/>
              </w:rPr>
              <w:t>Jogo libGDX</w:t>
            </w:r>
          </w:p>
        </w:tc>
        <w:tc>
          <w:tcPr>
            <w:tcW w:type="dxa" w:w="4535"/>
            <w:vAlign w:val="center"/>
            <w:shd w:fill="F7F7F7"/>
          </w:tcPr>
          <w:p>
            <w:pPr>
              <w:spacing w:after="0" w:line="259" w:lineRule="auto"/>
            </w:pPr>
            <w:r>
              <w:rPr>
                <w:color w:val="000000"/>
                <w:sz w:val="17"/>
              </w:rPr>
              <w:t>Telas, fases, feedback, métricas, persistência e exportação local.</w:t>
            </w:r>
          </w:p>
        </w:tc>
        <w:tc>
          <w:tcPr>
            <w:tcW w:type="dxa" w:w="2381"/>
            <w:vAlign w:val="center"/>
            <w:shd w:fill="F7F7F7"/>
          </w:tcPr>
          <w:p>
            <w:pPr>
              <w:spacing w:after="0" w:line="259" w:lineRule="auto"/>
            </w:pPr>
            <w:r>
              <w:rPr>
                <w:color w:val="000000"/>
                <w:sz w:val="17"/>
              </w:rPr>
              <w:t>libGDX definido; módulos propostos.</w:t>
            </w:r>
          </w:p>
        </w:tc>
      </w:tr>
    </w:tbl>
    <w:p>
      <w:pPr>
        <w:spacing w:after="20"/>
      </w:pPr>
    </w:p>
    <w:p>
      <w:pPr>
        <w:pStyle w:val="Heading2"/>
      </w:pPr>
      <w:r>
        <w:t>9.2 Protocolo proposto</w:t>
      </w:r>
    </w:p>
    <w:p>
      <w:r>
        <w:t>Uma mensagem por linha em UTF-8 no formato JSON: {"v":1,"seq":42,"ms":123456,"mode":"pedal","cycle":7,"lastCycleMs":122900,"state":"ok"}. “seq” detecta perdas ou duplicatas; “ms” é tempo monotônico do ESP32; “cycle” é contador cumulativo de voltas válidas; “lastCycleMs” marca a última volta para estimar RPM; “state” informa o estado do firmware. O protótipo usa USB serial a 115200 baud e envia mensagens a cada 100 ms. Esses valores são parâmetros técnicos propostos e devem ser verificados em bancada.</w:t>
      </w:r>
    </w:p>
    <w:p>
      <w:r>
        <w:t>O adaptador deve ignorar versão desconhecida, contador regressivo, linha malformada e amostras antigas; registrar a ocorrência para depuração sem travar a interface. Após 2 s sem dados válidos, o jogo deve sinalizar perda de conexão e parar de avançar. O firmware não consegue identificar, apenas pelo contato reed aberto, se a chave foi desconectada; essa limitação precisa constar nos testes. O protótipo não transmite dados pessoais.</w:t>
      </w:r>
    </w:p>
    <w:p>
      <w:pPr>
        <w:pStyle w:val="Heading2"/>
      </w:pPr>
      <w:r>
        <w:t>9.3 Plataforma e distribuição</w:t>
      </w:r>
    </w:p>
    <w:p>
      <w:r>
        <w:t>O MVP deve priorizar desktop porque a comunicação USB serial é direta e o Kanban prevê módulo desktop. O enunciado aceita executável ou APK; a plataforma final, empacotamento, sistema operacional de teste e dependências de porta serial devem ser confirmados. Um APK exigiria rever transporte, permissões e hardware, portanto não deve ser prometido antes de protótipo funcional.</w:t>
      </w:r>
    </w:p>
    <w:p>
      <w:pPr>
        <w:pStyle w:val="Heading1"/>
      </w:pPr>
      <w:r>
        <w:t>10 Escopo do MVP e critérios de aceite</w:t>
      </w:r>
    </w:p>
    <w:p>
      <w:r>
        <w:t>MVP significa uma demonstração completa e integrada, com profundidade visual suficiente para leitura e sem funcionalidades clínicas não validadas. O objetivo é entregar os requisitos acadêmicos antes de ampliar história, efeitos ou personalização.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4493"/>
        <w:gridCol w:w="4493"/>
      </w:tblGrid>
      <w:tr>
        <w:trPr>
          <w:tblHeader/>
          <w:cantSplit/>
        </w:trPr>
        <w:tc>
          <w:tcPr>
            <w:tcW w:type="dxa" w:w="567"/>
            <w:shd w:fill="E8E8E8"/>
            <w:vAlign w:val="center"/>
          </w:tcPr>
          <w:p>
            <w:r>
              <w:rPr>
                <w:b/>
                <w:color w:val="000000"/>
                <w:sz w:val="18"/>
              </w:rPr>
              <w:t>ID</w:t>
            </w:r>
          </w:p>
        </w:tc>
        <w:tc>
          <w:tcPr>
            <w:tcW w:type="dxa" w:w="8107"/>
            <w:shd w:fill="E8E8E8"/>
            <w:vAlign w:val="center"/>
          </w:tcPr>
          <w:p>
            <w:r>
              <w:rPr>
                <w:b/>
                <w:color w:val="000000"/>
                <w:sz w:val="18"/>
              </w:rPr>
              <w:t>Critério observável de aceite</w:t>
            </w:r>
          </w:p>
        </w:tc>
      </w:tr>
      <w:tr>
        <w:trPr>
          <w:cantSplit/>
        </w:trPr>
        <w:tc>
          <w:tcPr>
            <w:tcW w:type="dxa" w:w="567"/>
            <w:vAlign w:val="center"/>
          </w:tcPr>
          <w:p>
            <w:pPr>
              <w:spacing w:after="0" w:line="259" w:lineRule="auto"/>
            </w:pPr>
            <w:r>
              <w:rPr>
                <w:color w:val="000000"/>
                <w:sz w:val="17"/>
              </w:rPr>
              <w:t>A1</w:t>
            </w:r>
          </w:p>
        </w:tc>
        <w:tc>
          <w:tcPr>
            <w:tcW w:type="dxa" w:w="8107"/>
            <w:vAlign w:val="center"/>
          </w:tcPr>
          <w:p>
            <w:pPr>
              <w:spacing w:after="0" w:line="259" w:lineRule="auto"/>
            </w:pPr>
            <w:r>
              <w:rPr>
                <w:color w:val="000000"/>
                <w:sz w:val="17"/>
              </w:rPr>
              <w:t>Aplicação libGDX inicia, executa sem erro bloqueante e apresenta ELO em três fases distintas.</w:t>
            </w:r>
          </w:p>
        </w:tc>
      </w:tr>
      <w:tr>
        <w:trPr>
          <w:cantSplit/>
        </w:trPr>
        <w:tc>
          <w:tcPr>
            <w:tcW w:type="dxa" w:w="567"/>
            <w:vAlign w:val="center"/>
            <w:shd w:fill="F7F7F7"/>
          </w:tcPr>
          <w:p>
            <w:pPr>
              <w:spacing w:after="0" w:line="259" w:lineRule="auto"/>
            </w:pPr>
            <w:r>
              <w:rPr>
                <w:color w:val="000000"/>
                <w:sz w:val="17"/>
              </w:rPr>
              <w:t>A2</w:t>
            </w:r>
          </w:p>
        </w:tc>
        <w:tc>
          <w:tcPr>
            <w:tcW w:type="dxa" w:w="8107"/>
            <w:vAlign w:val="center"/>
            <w:shd w:fill="F7F7F7"/>
          </w:tcPr>
          <w:p>
            <w:pPr>
              <w:spacing w:after="0" w:line="259" w:lineRule="auto"/>
            </w:pPr>
            <w:r>
              <w:rPr>
                <w:rFonts w:ascii="Aptos" w:hAnsi="Aptos"/>
                <w:color w:val="000000"/>
                <w:sz w:val="17"/>
              </w:rPr>
              <w:t>Mini pedal com ESP32 controla ações centrais do jogo; teste demonstra que teclado/direcional não substituem a coleta de voltas.</w:t>
            </w:r>
          </w:p>
        </w:tc>
      </w:tr>
      <w:tr>
        <w:trPr>
          <w:cantSplit/>
        </w:trPr>
        <w:tc>
          <w:tcPr>
            <w:tcW w:type="dxa" w:w="567"/>
            <w:vAlign w:val="center"/>
          </w:tcPr>
          <w:p>
            <w:pPr>
              <w:spacing w:after="0" w:line="259" w:lineRule="auto"/>
            </w:pPr>
            <w:r>
              <w:rPr>
                <w:color w:val="000000"/>
                <w:sz w:val="17"/>
              </w:rPr>
              <w:t>A3</w:t>
            </w:r>
          </w:p>
        </w:tc>
        <w:tc>
          <w:tcPr>
            <w:tcW w:type="dxa" w:w="8107"/>
            <w:vAlign w:val="center"/>
          </w:tcPr>
          <w:p>
            <w:pPr>
              <w:spacing w:after="0" w:line="259" w:lineRule="auto"/>
            </w:pPr>
            <w:r>
              <w:rPr>
                <w:color w:val="000000"/>
                <w:sz w:val="17"/>
              </w:rPr>
              <w:t>Menu permite iniciar, pausar, retomar e reiniciar; pausa congela tempo ativo e não gera ciclos.</w:t>
            </w:r>
          </w:p>
        </w:tc>
      </w:tr>
      <w:tr>
        <w:trPr>
          <w:cantSplit/>
        </w:trPr>
        <w:tc>
          <w:tcPr>
            <w:tcW w:type="dxa" w:w="567"/>
            <w:vAlign w:val="center"/>
            <w:shd w:fill="F7F7F7"/>
          </w:tcPr>
          <w:p>
            <w:pPr>
              <w:spacing w:after="0" w:line="259" w:lineRule="auto"/>
            </w:pPr>
            <w:r>
              <w:rPr>
                <w:color w:val="000000"/>
                <w:sz w:val="17"/>
              </w:rPr>
              <w:t>A4</w:t>
            </w:r>
          </w:p>
        </w:tc>
        <w:tc>
          <w:tcPr>
            <w:tcW w:type="dxa" w:w="8107"/>
            <w:vAlign w:val="center"/>
            <w:shd w:fill="F7F7F7"/>
          </w:tcPr>
          <w:p>
            <w:pPr>
              <w:spacing w:after="0" w:line="259" w:lineRule="auto"/>
            </w:pPr>
            <w:r>
              <w:rPr>
                <w:color w:val="000000"/>
                <w:sz w:val="17"/>
              </w:rPr>
              <w:t>Cada fase tem objetivo, feedback, condição de conclusão e progressão verificável; dificuldade evolui sem exigir intensidade física crescente.</w:t>
            </w:r>
          </w:p>
        </w:tc>
      </w:tr>
      <w:tr>
        <w:trPr>
          <w:cantSplit/>
        </w:trPr>
        <w:tc>
          <w:tcPr>
            <w:tcW w:type="dxa" w:w="567"/>
            <w:vAlign w:val="center"/>
          </w:tcPr>
          <w:p>
            <w:pPr>
              <w:spacing w:after="0" w:line="259" w:lineRule="auto"/>
            </w:pPr>
            <w:r>
              <w:rPr>
                <w:color w:val="000000"/>
                <w:sz w:val="17"/>
              </w:rPr>
              <w:t>A5</w:t>
            </w:r>
          </w:p>
        </w:tc>
        <w:tc>
          <w:tcPr>
            <w:tcW w:type="dxa" w:w="8107"/>
            <w:vAlign w:val="center"/>
          </w:tcPr>
          <w:p>
            <w:pPr>
              <w:spacing w:after="0" w:line="259" w:lineRule="auto"/>
            </w:pPr>
            <w:r>
              <w:rPr>
                <w:color w:val="000000"/>
                <w:sz w:val="17"/>
              </w:rPr>
              <w:t>Sistema registra velocidade, consistência ou indicador derivado, progresso, qualidade de sinal e resultado entre sessões; dados insuficientes são sinalizados.</w:t>
            </w:r>
          </w:p>
        </w:tc>
      </w:tr>
      <w:tr>
        <w:trPr>
          <w:cantSplit/>
        </w:trPr>
        <w:tc>
          <w:tcPr>
            <w:tcW w:type="dxa" w:w="567"/>
            <w:vAlign w:val="center"/>
            <w:shd w:fill="F7F7F7"/>
          </w:tcPr>
          <w:p>
            <w:pPr>
              <w:spacing w:after="0" w:line="259" w:lineRule="auto"/>
            </w:pPr>
            <w:r>
              <w:rPr>
                <w:color w:val="000000"/>
                <w:sz w:val="17"/>
              </w:rPr>
              <w:t>A6</w:t>
            </w:r>
          </w:p>
        </w:tc>
        <w:tc>
          <w:tcPr>
            <w:tcW w:type="dxa" w:w="8107"/>
            <w:vAlign w:val="center"/>
            <w:shd w:fill="F7F7F7"/>
          </w:tcPr>
          <w:p>
            <w:pPr>
              <w:spacing w:after="0" w:line="259" w:lineRule="auto"/>
            </w:pPr>
            <w:r>
              <w:rPr>
                <w:color w:val="000000"/>
                <w:sz w:val="17"/>
              </w:rPr>
              <w:t>Calibração e perda de conexão têm tratamento visível; eventos duplicados, impossíveis ou malformados não pontuam.</w:t>
            </w:r>
          </w:p>
        </w:tc>
      </w:tr>
      <w:tr>
        <w:trPr>
          <w:cantSplit/>
        </w:trPr>
        <w:tc>
          <w:tcPr>
            <w:tcW w:type="dxa" w:w="567"/>
            <w:vAlign w:val="center"/>
          </w:tcPr>
          <w:p>
            <w:pPr>
              <w:spacing w:after="0" w:line="259" w:lineRule="auto"/>
            </w:pPr>
            <w:r>
              <w:rPr>
                <w:color w:val="000000"/>
                <w:sz w:val="17"/>
              </w:rPr>
              <w:t>A7</w:t>
            </w:r>
          </w:p>
        </w:tc>
        <w:tc>
          <w:tcPr>
            <w:tcW w:type="dxa" w:w="8107"/>
            <w:vAlign w:val="center"/>
          </w:tcPr>
          <w:p>
            <w:pPr>
              <w:spacing w:after="0" w:line="259" w:lineRule="auto"/>
            </w:pPr>
            <w:r>
              <w:rPr>
                <w:color w:val="000000"/>
                <w:sz w:val="17"/>
              </w:rPr>
              <w:t>Código e histórico no GitHub mostram contribuições semanais individuais; Kanban é atualizado para acompanhamento.</w:t>
            </w:r>
          </w:p>
        </w:tc>
      </w:tr>
      <w:tr>
        <w:trPr>
          <w:cantSplit/>
        </w:trPr>
        <w:tc>
          <w:tcPr>
            <w:tcW w:type="dxa" w:w="567"/>
            <w:vAlign w:val="center"/>
            <w:shd w:fill="F7F7F7"/>
          </w:tcPr>
          <w:p>
            <w:pPr>
              <w:spacing w:after="0" w:line="259" w:lineRule="auto"/>
            </w:pPr>
            <w:r>
              <w:rPr>
                <w:color w:val="000000"/>
                <w:sz w:val="17"/>
              </w:rPr>
              <w:t>A8</w:t>
            </w:r>
          </w:p>
        </w:tc>
        <w:tc>
          <w:tcPr>
            <w:tcW w:type="dxa" w:w="8107"/>
            <w:vAlign w:val="center"/>
            <w:shd w:fill="F7F7F7"/>
          </w:tcPr>
          <w:p>
            <w:pPr>
              <w:spacing w:after="0" w:line="259" w:lineRule="auto"/>
            </w:pPr>
            <w:r>
              <w:rPr>
                <w:color w:val="000000"/>
                <w:sz w:val="17"/>
              </w:rPr>
              <w:t>Entregues executável ou APK testado e short paper com até seis páginas, descrição do problema, justificativa, integração IoT e capturas reais.</w:t>
            </w:r>
          </w:p>
        </w:tc>
      </w:tr>
    </w:tbl>
    <w:p>
      <w:pPr>
        <w:spacing w:after="20"/>
      </w:pPr>
    </w:p>
    <w:p>
      <w:r>
        <w:t>Os critérios numéricos de precisão e tolerância são definidos no plano de testes depois da escolha do sensor. Aceite acadêmico final depende da avaliação do professor.</w:t>
      </w:r>
    </w:p>
    <w:p>
      <w:pPr>
        <w:pStyle w:val="Heading1"/>
      </w:pPr>
      <w:r>
        <w:t>11 Plano de testes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4493"/>
        <w:gridCol w:w="4493"/>
      </w:tblGrid>
      <w:tr>
        <w:trPr>
          <w:tblHeader/>
          <w:cantSplit/>
        </w:trPr>
        <w:tc>
          <w:tcPr>
            <w:tcW w:type="dxa" w:w="1701"/>
            <w:shd w:fill="E8E8E8"/>
            <w:vAlign w:val="center"/>
          </w:tcPr>
          <w:p>
            <w:r>
              <w:rPr>
                <w:b/>
                <w:color w:val="000000"/>
                <w:sz w:val="18"/>
              </w:rPr>
              <w:t>Teste</w:t>
            </w:r>
          </w:p>
        </w:tc>
        <w:tc>
          <w:tcPr>
            <w:tcW w:type="dxa" w:w="6973"/>
            <w:shd w:fill="E8E8E8"/>
            <w:vAlign w:val="center"/>
          </w:tcPr>
          <w:p>
            <w:r>
              <w:rPr>
                <w:b/>
                <w:color w:val="000000"/>
                <w:sz w:val="18"/>
              </w:rPr>
              <w:t>Procedimento e evidência esperada</w:t>
            </w:r>
          </w:p>
        </w:tc>
      </w:tr>
      <w:tr>
        <w:trPr>
          <w:cantSplit/>
        </w:trPr>
        <w:tc>
          <w:tcPr>
            <w:tcW w:type="dxa" w:w="1701"/>
            <w:vAlign w:val="center"/>
          </w:tcPr>
          <w:p>
            <w:pPr>
              <w:spacing w:after="0" w:line="259" w:lineRule="auto"/>
            </w:pPr>
            <w:r>
              <w:rPr>
                <w:color w:val="000000"/>
                <w:sz w:val="17"/>
              </w:rPr>
              <w:t>Contagem e precisão</w:t>
            </w:r>
          </w:p>
        </w:tc>
        <w:tc>
          <w:tcPr>
            <w:tcW w:type="dxa" w:w="6973"/>
            <w:vAlign w:val="center"/>
          </w:tcPr>
          <w:p>
            <w:pPr>
              <w:spacing w:after="0" w:line="259" w:lineRule="auto"/>
            </w:pPr>
            <w:r>
              <w:rPr>
                <w:color w:val="000000"/>
                <w:sz w:val="17"/>
              </w:rPr>
              <w:t>Comparar 30 ciclos/rotações observados manualmente com eventos registrados em ritmos lento, habitual e rápido confortável; documentar erro e falsos positivos.</w:t>
            </w:r>
          </w:p>
        </w:tc>
      </w:tr>
      <w:tr>
        <w:trPr>
          <w:cantSplit/>
        </w:trPr>
        <w:tc>
          <w:tcPr>
            <w:tcW w:type="dxa" w:w="1701"/>
            <w:vAlign w:val="center"/>
            <w:shd w:fill="F7F7F7"/>
          </w:tcPr>
          <w:p>
            <w:pPr>
              <w:spacing w:after="0" w:line="259" w:lineRule="auto"/>
            </w:pPr>
            <w:r>
              <w:rPr>
                <w:color w:val="000000"/>
                <w:sz w:val="17"/>
              </w:rPr>
              <w:t>Calibração</w:t>
            </w:r>
          </w:p>
        </w:tc>
        <w:tc>
          <w:tcPr>
            <w:tcW w:type="dxa" w:w="6973"/>
            <w:vAlign w:val="center"/>
            <w:shd w:fill="F7F7F7"/>
          </w:tcPr>
          <w:p>
            <w:pPr>
              <w:spacing w:after="0" w:line="259" w:lineRule="auto"/>
            </w:pPr>
            <w:r>
              <w:rPr>
                <w:color w:val="000000"/>
                <w:sz w:val="17"/>
              </w:rPr>
              <w:t>Repetir em usuários/posições diferentes, dentro de condições autorizadas; verificar limiar, rejeição de ruído e possibilidade de refazer.</w:t>
            </w:r>
          </w:p>
        </w:tc>
      </w:tr>
      <w:tr>
        <w:trPr>
          <w:cantSplit/>
        </w:trPr>
        <w:tc>
          <w:tcPr>
            <w:tcW w:type="dxa" w:w="1701"/>
            <w:vAlign w:val="center"/>
          </w:tcPr>
          <w:p>
            <w:pPr>
              <w:spacing w:after="0" w:line="259" w:lineRule="auto"/>
            </w:pPr>
            <w:r>
              <w:rPr>
                <w:color w:val="000000"/>
                <w:sz w:val="17"/>
              </w:rPr>
              <w:t>Integração</w:t>
            </w:r>
          </w:p>
        </w:tc>
        <w:tc>
          <w:tcPr>
            <w:tcW w:type="dxa" w:w="6973"/>
            <w:vAlign w:val="center"/>
          </w:tcPr>
          <w:p>
            <w:pPr>
              <w:spacing w:after="0" w:line="259" w:lineRule="auto"/>
            </w:pPr>
            <w:r>
              <w:rPr>
                <w:color w:val="000000"/>
                <w:sz w:val="17"/>
              </w:rPr>
              <w:t>Injetar linhas válidas, duplicadas, fora de ordem, truncadas e sem sinal; confirmar pausa e recuperação sem travamento.</w:t>
            </w:r>
          </w:p>
        </w:tc>
      </w:tr>
      <w:tr>
        <w:trPr>
          <w:cantSplit/>
        </w:trPr>
        <w:tc>
          <w:tcPr>
            <w:tcW w:type="dxa" w:w="1701"/>
            <w:vAlign w:val="center"/>
            <w:shd w:fill="F7F7F7"/>
          </w:tcPr>
          <w:p>
            <w:pPr>
              <w:spacing w:after="0" w:line="259" w:lineRule="auto"/>
            </w:pPr>
            <w:r>
              <w:rPr>
                <w:color w:val="000000"/>
                <w:sz w:val="17"/>
              </w:rPr>
              <w:t>Funcionalidade</w:t>
            </w:r>
          </w:p>
        </w:tc>
        <w:tc>
          <w:tcPr>
            <w:tcW w:type="dxa" w:w="6973"/>
            <w:vAlign w:val="center"/>
            <w:shd w:fill="F7F7F7"/>
          </w:tcPr>
          <w:p>
            <w:pPr>
              <w:spacing w:after="0" w:line="259" w:lineRule="auto"/>
            </w:pPr>
            <w:r>
              <w:rPr>
                <w:color w:val="000000"/>
                <w:sz w:val="17"/>
              </w:rPr>
              <w:t>Percorrer menu, pausa, reinício, três fases, resultados e persistência; registrar capturas e checklist por requisito.</w:t>
            </w:r>
          </w:p>
        </w:tc>
      </w:tr>
      <w:tr>
        <w:trPr>
          <w:cantSplit/>
        </w:trPr>
        <w:tc>
          <w:tcPr>
            <w:tcW w:type="dxa" w:w="1701"/>
            <w:vAlign w:val="center"/>
          </w:tcPr>
          <w:p>
            <w:pPr>
              <w:spacing w:after="0" w:line="259" w:lineRule="auto"/>
            </w:pPr>
            <w:r>
              <w:rPr>
                <w:color w:val="000000"/>
                <w:sz w:val="17"/>
              </w:rPr>
              <w:t>Usabilidade e acesso</w:t>
            </w:r>
          </w:p>
        </w:tc>
        <w:tc>
          <w:tcPr>
            <w:tcW w:type="dxa" w:w="6973"/>
            <w:vAlign w:val="center"/>
          </w:tcPr>
          <w:p>
            <w:pPr>
              <w:spacing w:after="0" w:line="259" w:lineRule="auto"/>
            </w:pPr>
            <w:r>
              <w:rPr>
                <w:color w:val="000000"/>
                <w:sz w:val="17"/>
              </w:rPr>
              <w:t>Observar leitura de instruções, distinção de foco, feedback multimodal e eventuais acionamentos involuntários.</w:t>
            </w:r>
          </w:p>
        </w:tc>
      </w:tr>
      <w:tr>
        <w:trPr>
          <w:cantSplit/>
        </w:trPr>
        <w:tc>
          <w:tcPr>
            <w:tcW w:type="dxa" w:w="1701"/>
            <w:vAlign w:val="center"/>
            <w:shd w:fill="F7F7F7"/>
          </w:tcPr>
          <w:p>
            <w:pPr>
              <w:spacing w:after="0" w:line="259" w:lineRule="auto"/>
            </w:pPr>
            <w:r>
              <w:rPr>
                <w:color w:val="000000"/>
                <w:sz w:val="17"/>
              </w:rPr>
              <w:t>Sessão contínua</w:t>
            </w:r>
          </w:p>
        </w:tc>
        <w:tc>
          <w:tcPr>
            <w:tcW w:type="dxa" w:w="6973"/>
            <w:vAlign w:val="center"/>
            <w:shd w:fill="F7F7F7"/>
          </w:tcPr>
          <w:p>
            <w:pPr>
              <w:spacing w:after="0" w:line="259" w:lineRule="auto"/>
            </w:pPr>
            <w:r>
              <w:rPr>
                <w:color w:val="000000"/>
                <w:sz w:val="17"/>
              </w:rPr>
              <w:t>Executar uma sessão completa com telemetria e registrar falhas, latência percebida e consumo do dispositivo.</w:t>
            </w:r>
          </w:p>
        </w:tc>
      </w:tr>
      <w:tr>
        <w:trPr>
          <w:cantSplit/>
        </w:trPr>
        <w:tc>
          <w:tcPr>
            <w:tcW w:type="dxa" w:w="1701"/>
            <w:vAlign w:val="center"/>
          </w:tcPr>
          <w:p>
            <w:pPr>
              <w:spacing w:after="0" w:line="259" w:lineRule="auto"/>
            </w:pPr>
            <w:r>
              <w:rPr>
                <w:color w:val="000000"/>
                <w:sz w:val="17"/>
              </w:rPr>
              <w:t>Entrega</w:t>
            </w:r>
          </w:p>
        </w:tc>
        <w:tc>
          <w:tcPr>
            <w:tcW w:type="dxa" w:w="6973"/>
            <w:vAlign w:val="center"/>
          </w:tcPr>
          <w:p>
            <w:pPr>
              <w:spacing w:after="0" w:line="259" w:lineRule="auto"/>
            </w:pPr>
            <w:r>
              <w:rPr>
                <w:color w:val="000000"/>
                <w:sz w:val="17"/>
              </w:rPr>
              <w:t>Abrir executável em ambiente limpo; conferir fonte, commits semanais, Kanban, short paper e vídeo/capturas quando previstos.</w:t>
            </w:r>
          </w:p>
        </w:tc>
      </w:tr>
    </w:tbl>
    <w:p>
      <w:pPr>
        <w:spacing w:after="20"/>
      </w:pPr>
    </w:p>
    <w:p>
      <w:r>
        <w:t>Metas técnicas propostas para discussão: erro de contagem até 5% em 30 ciclos, zero avanço em pausa e reação visível à desconexão em até 2 s. Esses valores não vêm do enunciado e devem ser ajustados após teste de bancada e revisão do professor. Nenhum teste técnico substitui validação clínica.</w:t>
      </w:r>
    </w:p>
    <w:p>
      <w:pPr>
        <w:pStyle w:val="Heading1"/>
      </w:pPr>
      <w:r>
        <w:t>12 Gestão e marcos</w:t>
      </w:r>
    </w:p>
    <w:p>
      <w:r>
        <w:t>O Kanban GitHub existente contém 23 cartões de planejamento, IoT, libGDX, métricas, qualidade e gestão semanal. O mini pedal foi escolhido pelo grupo para iniciar o protótipo; cartões sobre comparação de hardware devem refletir essa decisão. As datas abaixo são metas locais registradas no CSV do Kanban, não prazos atribuídos ao professor. O grupo deve revisá-las conforme a data oficial de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2324"/>
            <w:shd w:fill="E8E8E8"/>
            <w:vAlign w:val="center"/>
          </w:tcPr>
          <w:p>
            <w:r>
              <w:rPr>
                <w:b/>
                <w:color w:val="000000"/>
                <w:sz w:val="18"/>
              </w:rPr>
              <w:t>Marco proposto</w:t>
            </w:r>
          </w:p>
        </w:tc>
        <w:tc>
          <w:tcPr>
            <w:tcW w:type="dxa" w:w="1757"/>
            <w:shd w:fill="E8E8E8"/>
            <w:vAlign w:val="center"/>
          </w:tcPr>
          <w:p>
            <w:r>
              <w:rPr>
                <w:b/>
                <w:color w:val="000000"/>
                <w:sz w:val="18"/>
              </w:rPr>
              <w:t>Meta local</w:t>
            </w:r>
          </w:p>
        </w:tc>
        <w:tc>
          <w:tcPr>
            <w:tcW w:type="dxa" w:w="4592"/>
            <w:shd w:fill="E8E8E8"/>
            <w:vAlign w:val="center"/>
          </w:tcPr>
          <w:p>
            <w:r>
              <w:rPr>
                <w:b/>
                <w:color w:val="000000"/>
                <w:sz w:val="18"/>
              </w:rPr>
              <w:t>Evidência</w:t>
            </w:r>
          </w:p>
        </w:tc>
      </w:tr>
      <w:tr>
        <w:trPr>
          <w:cantSplit/>
        </w:trPr>
        <w:tc>
          <w:tcPr>
            <w:tcW w:type="dxa" w:w="2324"/>
            <w:vAlign w:val="center"/>
          </w:tcPr>
          <w:p>
            <w:pPr>
              <w:spacing w:after="0" w:line="259" w:lineRule="auto"/>
            </w:pPr>
            <w:r>
              <w:rPr>
                <w:color w:val="000000"/>
                <w:sz w:val="17"/>
              </w:rPr>
              <w:t>M1 Escopo e aprovação</w:t>
            </w:r>
          </w:p>
        </w:tc>
        <w:tc>
          <w:tcPr>
            <w:tcW w:type="dxa" w:w="1757"/>
            <w:vAlign w:val="center"/>
          </w:tcPr>
          <w:p>
            <w:pPr>
              <w:spacing w:after="0" w:line="259" w:lineRule="auto"/>
            </w:pPr>
            <w:r>
              <w:rPr>
                <w:color w:val="000000"/>
                <w:sz w:val="17"/>
              </w:rPr>
              <w:t>13–17 out. 2026</w:t>
            </w:r>
          </w:p>
        </w:tc>
        <w:tc>
          <w:tcPr>
            <w:tcW w:type="dxa" w:w="4592"/>
            <w:vAlign w:val="center"/>
          </w:tcPr>
          <w:p>
            <w:pPr>
              <w:spacing w:after="0" w:line="259" w:lineRule="auto"/>
            </w:pPr>
            <w:r>
              <w:rPr>
                <w:rFonts w:ascii="Aptos" w:hAnsi="Aptos"/>
                <w:color w:val="000000"/>
                <w:sz w:val="17"/>
              </w:rPr>
              <w:t>Requisitos registrados, mini pedal definido pelo grupo e proposta de reabilitação submetida ao professor.</w:t>
            </w:r>
          </w:p>
        </w:tc>
      </w:tr>
      <w:tr>
        <w:trPr>
          <w:cantSplit/>
        </w:trPr>
        <w:tc>
          <w:tcPr>
            <w:tcW w:type="dxa" w:w="2324"/>
            <w:vAlign w:val="center"/>
            <w:shd w:fill="F7F7F7"/>
          </w:tcPr>
          <w:p>
            <w:pPr>
              <w:spacing w:after="0" w:line="259" w:lineRule="auto"/>
            </w:pPr>
            <w:r>
              <w:rPr>
                <w:color w:val="000000"/>
                <w:sz w:val="17"/>
              </w:rPr>
              <w:t>M2 Protótipo IoT</w:t>
            </w:r>
          </w:p>
        </w:tc>
        <w:tc>
          <w:tcPr>
            <w:tcW w:type="dxa" w:w="1757"/>
            <w:vAlign w:val="center"/>
            <w:shd w:fill="F7F7F7"/>
          </w:tcPr>
          <w:p>
            <w:pPr>
              <w:spacing w:after="0" w:line="259" w:lineRule="auto"/>
            </w:pPr>
            <w:r>
              <w:rPr>
                <w:color w:val="000000"/>
                <w:sz w:val="17"/>
              </w:rPr>
              <w:t>16–28 out. 2026</w:t>
            </w:r>
          </w:p>
        </w:tc>
        <w:tc>
          <w:tcPr>
            <w:tcW w:type="dxa" w:w="4592"/>
            <w:vAlign w:val="center"/>
            <w:shd w:fill="F7F7F7"/>
          </w:tcPr>
          <w:p>
            <w:pPr>
              <w:spacing w:after="0" w:line="259" w:lineRule="auto"/>
            </w:pPr>
            <w:r>
              <w:rPr>
                <w:color w:val="000000"/>
                <w:sz w:val="17"/>
              </w:rPr>
              <w:t>Sensor montado, contagem validada e comunicação com libGDX demonstrada.</w:t>
            </w:r>
          </w:p>
        </w:tc>
      </w:tr>
      <w:tr>
        <w:trPr>
          <w:cantSplit/>
        </w:trPr>
        <w:tc>
          <w:tcPr>
            <w:tcW w:type="dxa" w:w="2324"/>
            <w:vAlign w:val="center"/>
          </w:tcPr>
          <w:p>
            <w:pPr>
              <w:spacing w:after="0" w:line="259" w:lineRule="auto"/>
            </w:pPr>
            <w:r>
              <w:rPr>
                <w:color w:val="000000"/>
                <w:sz w:val="17"/>
              </w:rPr>
              <w:t>M3 Jogo jogável</w:t>
            </w:r>
          </w:p>
        </w:tc>
        <w:tc>
          <w:tcPr>
            <w:tcW w:type="dxa" w:w="1757"/>
            <w:vAlign w:val="center"/>
          </w:tcPr>
          <w:p>
            <w:pPr>
              <w:spacing w:after="0" w:line="259" w:lineRule="auto"/>
            </w:pPr>
            <w:r>
              <w:rPr>
                <w:color w:val="000000"/>
                <w:sz w:val="17"/>
              </w:rPr>
              <w:t>23 out.–2 nov. 2026</w:t>
            </w:r>
          </w:p>
        </w:tc>
        <w:tc>
          <w:tcPr>
            <w:tcW w:type="dxa" w:w="4592"/>
            <w:vAlign w:val="center"/>
          </w:tcPr>
          <w:p>
            <w:pPr>
              <w:spacing w:after="0" w:line="259" w:lineRule="auto"/>
            </w:pPr>
            <w:r>
              <w:rPr>
                <w:color w:val="000000"/>
                <w:sz w:val="17"/>
              </w:rPr>
              <w:t>Três fases, menu, personagem, métricas e resultados integrados.</w:t>
            </w:r>
          </w:p>
        </w:tc>
      </w:tr>
      <w:tr>
        <w:trPr>
          <w:cantSplit/>
        </w:trPr>
        <w:tc>
          <w:tcPr>
            <w:tcW w:type="dxa" w:w="2324"/>
            <w:vAlign w:val="center"/>
            <w:shd w:fill="F7F7F7"/>
          </w:tcPr>
          <w:p>
            <w:pPr>
              <w:spacing w:after="0" w:line="259" w:lineRule="auto"/>
            </w:pPr>
            <w:r>
              <w:rPr>
                <w:color w:val="000000"/>
                <w:sz w:val="17"/>
              </w:rPr>
              <w:t>M4 Validação e entrega</w:t>
            </w:r>
          </w:p>
        </w:tc>
        <w:tc>
          <w:tcPr>
            <w:tcW w:type="dxa" w:w="1757"/>
            <w:vAlign w:val="center"/>
            <w:shd w:fill="F7F7F7"/>
          </w:tcPr>
          <w:p>
            <w:pPr>
              <w:spacing w:after="0" w:line="259" w:lineRule="auto"/>
            </w:pPr>
            <w:r>
              <w:rPr>
                <w:color w:val="000000"/>
                <w:sz w:val="17"/>
              </w:rPr>
              <w:t>1–5 nov. 2026</w:t>
            </w:r>
          </w:p>
        </w:tc>
        <w:tc>
          <w:tcPr>
            <w:tcW w:type="dxa" w:w="4592"/>
            <w:vAlign w:val="center"/>
            <w:shd w:fill="F7F7F7"/>
          </w:tcPr>
          <w:p>
            <w:pPr>
              <w:spacing w:after="0" w:line="259" w:lineRule="auto"/>
            </w:pPr>
            <w:r>
              <w:rPr>
                <w:color w:val="000000"/>
                <w:sz w:val="17"/>
              </w:rPr>
              <w:t>Testes, executável/APK, short paper, apresentação e Kanban revisado.</w:t>
            </w:r>
          </w:p>
        </w:tc>
      </w:tr>
    </w:tbl>
    <w:p>
      <w:pPr>
        <w:spacing w:after="20"/>
      </w:pPr>
    </w:p>
    <w:p>
      <w:r>
        <w:t>Rotina semanal: cada integrante vincula commits e evidências aos cartões; em reunião, o grupo mostra o quadro, relata o que concluiu, impedimentos e próximo conjunto de tarefas. A divisão nominal de responsabilidades e as datas oficiais ainda precisam ser confirmadas pelo grupo.</w:t>
      </w:r>
    </w:p>
    <w:p>
      <w:pPr>
        <w:pStyle w:val="Heading1"/>
      </w:pPr>
      <w:r>
        <w:t>13 Riscos e decisões pendentes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2995"/>
        <w:gridCol w:w="2995"/>
        <w:gridCol w:w="2995"/>
      </w:tblGrid>
      <w:tr>
        <w:trPr>
          <w:tblHeader/>
          <w:cantSplit/>
        </w:trPr>
        <w:tc>
          <w:tcPr>
            <w:tcW w:type="dxa" w:w="1701"/>
            <w:shd w:fill="E8E8E8"/>
            <w:vAlign w:val="center"/>
          </w:tcPr>
          <w:p>
            <w:r>
              <w:rPr>
                <w:b/>
                <w:color w:val="000000"/>
                <w:sz w:val="18"/>
              </w:rPr>
              <w:t>Tema</w:t>
            </w:r>
          </w:p>
        </w:tc>
        <w:tc>
          <w:tcPr>
            <w:tcW w:type="dxa" w:w="3515"/>
            <w:shd w:fill="E8E8E8"/>
            <w:vAlign w:val="center"/>
          </w:tcPr>
          <w:p>
            <w:r>
              <w:rPr>
                <w:b/>
                <w:color w:val="000000"/>
                <w:sz w:val="18"/>
              </w:rPr>
              <w:t>Risco ou decisão</w:t>
            </w:r>
          </w:p>
        </w:tc>
        <w:tc>
          <w:tcPr>
            <w:tcW w:type="dxa" w:w="3458"/>
            <w:shd w:fill="E8E8E8"/>
            <w:vAlign w:val="center"/>
          </w:tcPr>
          <w:p>
            <w:r>
              <w:rPr>
                <w:b/>
                <w:color w:val="000000"/>
                <w:sz w:val="18"/>
              </w:rPr>
              <w:t>Encaminhamento</w:t>
            </w:r>
          </w:p>
        </w:tc>
      </w:tr>
      <w:tr>
        <w:trPr>
          <w:cantSplit/>
        </w:trPr>
        <w:tc>
          <w:tcPr>
            <w:tcW w:type="dxa" w:w="1701"/>
            <w:vAlign w:val="center"/>
          </w:tcPr>
          <w:p>
            <w:pPr>
              <w:spacing w:after="0" w:line="259" w:lineRule="auto"/>
            </w:pPr>
            <w:r>
              <w:rPr>
                <w:rFonts w:ascii="Aptos" w:hAnsi="Aptos"/>
                <w:color w:val="000000"/>
                <w:sz w:val="17"/>
              </w:rPr>
              <w:t>Montagem do mini pedal</w:t>
            </w:r>
          </w:p>
        </w:tc>
        <w:tc>
          <w:tcPr>
            <w:tcW w:type="dxa" w:w="3515"/>
            <w:vAlign w:val="center"/>
          </w:tcPr>
          <w:p>
            <w:pPr>
              <w:spacing w:after="0" w:line="259" w:lineRule="auto"/>
            </w:pPr>
            <w:r>
              <w:rPr>
                <w:rFonts w:ascii="Aptos" w:hAnsi="Aptos"/>
                <w:color w:val="000000"/>
                <w:sz w:val="17"/>
              </w:rPr>
              <w:t>Ímã ou chave mal fixados podem falhar, duplicar voltas ou interferir na pedalada.</w:t>
            </w:r>
          </w:p>
        </w:tc>
        <w:tc>
          <w:tcPr>
            <w:tcW w:type="dxa" w:w="3458"/>
            <w:vAlign w:val="center"/>
          </w:tcPr>
          <w:p>
            <w:pPr>
              <w:spacing w:after="0" w:line="259" w:lineRule="auto"/>
            </w:pPr>
            <w:r>
              <w:rPr>
                <w:rFonts w:ascii="Aptos" w:hAnsi="Aptos"/>
                <w:color w:val="000000"/>
                <w:sz w:val="17"/>
              </w:rPr>
              <w:t>Fixar sem interferir no uso, comparar voltas manuais e revisar instalação.</w:t>
            </w:r>
          </w:p>
        </w:tc>
      </w:tr>
      <w:tr>
        <w:trPr>
          <w:cantSplit/>
        </w:trPr>
        <w:tc>
          <w:tcPr>
            <w:tcW w:type="dxa" w:w="1701"/>
            <w:vAlign w:val="center"/>
            <w:shd w:fill="F7F7F7"/>
          </w:tcPr>
          <w:p>
            <w:pPr>
              <w:spacing w:after="0" w:line="259" w:lineRule="auto"/>
            </w:pPr>
            <w:r>
              <w:rPr>
                <w:color w:val="000000"/>
                <w:sz w:val="17"/>
              </w:rPr>
              <w:t>Objetivo terapêutico</w:t>
            </w:r>
          </w:p>
        </w:tc>
        <w:tc>
          <w:tcPr>
            <w:tcW w:type="dxa" w:w="3515"/>
            <w:vAlign w:val="center"/>
            <w:shd w:fill="F7F7F7"/>
          </w:tcPr>
          <w:p>
            <w:pPr>
              <w:spacing w:after="0" w:line="259" w:lineRule="auto"/>
            </w:pPr>
            <w:r>
              <w:rPr>
                <w:rFonts w:ascii="Aptos" w:hAnsi="Aptos"/>
                <w:color w:val="000000"/>
                <w:sz w:val="17"/>
              </w:rPr>
              <w:t>Adequação da pedalada ao público e ao objetivo de reabilitação ainda não foi validada.</w:t>
            </w:r>
          </w:p>
        </w:tc>
        <w:tc>
          <w:tcPr>
            <w:tcW w:type="dxa" w:w="3458"/>
            <w:vAlign w:val="center"/>
            <w:shd w:fill="F7F7F7"/>
          </w:tcPr>
          <w:p>
            <w:pPr>
              <w:spacing w:after="0" w:line="259" w:lineRule="auto"/>
            </w:pPr>
            <w:r>
              <w:rPr>
                <w:color w:val="000000"/>
                <w:sz w:val="17"/>
              </w:rPr>
              <w:t>Revisar com profissional competente e ajustar short paper.</w:t>
            </w:r>
          </w:p>
        </w:tc>
      </w:tr>
      <w:tr>
        <w:trPr>
          <w:cantSplit/>
        </w:trPr>
        <w:tc>
          <w:tcPr>
            <w:tcW w:type="dxa" w:w="1701"/>
            <w:vAlign w:val="center"/>
          </w:tcPr>
          <w:p>
            <w:pPr>
              <w:spacing w:after="0" w:line="259" w:lineRule="auto"/>
            </w:pPr>
            <w:r>
              <w:rPr>
                <w:color w:val="000000"/>
                <w:sz w:val="17"/>
              </w:rPr>
              <w:t>Qualidade do sinal</w:t>
            </w:r>
          </w:p>
        </w:tc>
        <w:tc>
          <w:tcPr>
            <w:tcW w:type="dxa" w:w="3515"/>
            <w:vAlign w:val="center"/>
          </w:tcPr>
          <w:p>
            <w:pPr>
              <w:spacing w:after="0" w:line="259" w:lineRule="auto"/>
            </w:pPr>
            <w:r>
              <w:rPr>
                <w:color w:val="000000"/>
                <w:sz w:val="17"/>
              </w:rPr>
              <w:t>Deslizamento do sensor, ruído e gestos parecidos geram contagem falsa.</w:t>
            </w:r>
          </w:p>
        </w:tc>
        <w:tc>
          <w:tcPr>
            <w:tcW w:type="dxa" w:w="3458"/>
            <w:vAlign w:val="center"/>
          </w:tcPr>
          <w:p>
            <w:pPr>
              <w:spacing w:after="0" w:line="259" w:lineRule="auto"/>
            </w:pPr>
            <w:r>
              <w:rPr>
                <w:color w:val="000000"/>
                <w:sz w:val="17"/>
              </w:rPr>
              <w:t>Fixação, filtros, calibração, testes comparativos e indicadores de confiança.</w:t>
            </w:r>
          </w:p>
        </w:tc>
      </w:tr>
      <w:tr>
        <w:trPr>
          <w:cantSplit/>
        </w:trPr>
        <w:tc>
          <w:tcPr>
            <w:tcW w:type="dxa" w:w="1701"/>
            <w:vAlign w:val="center"/>
            <w:shd w:fill="F7F7F7"/>
          </w:tcPr>
          <w:p>
            <w:pPr>
              <w:spacing w:after="0" w:line="259" w:lineRule="auto"/>
            </w:pPr>
            <w:r>
              <w:rPr>
                <w:color w:val="000000"/>
                <w:sz w:val="17"/>
              </w:rPr>
              <w:t>Menu só com IoT</w:t>
            </w:r>
          </w:p>
        </w:tc>
        <w:tc>
          <w:tcPr>
            <w:tcW w:type="dxa" w:w="3515"/>
            <w:vAlign w:val="center"/>
            <w:shd w:fill="F7F7F7"/>
          </w:tcPr>
          <w:p>
            <w:pPr>
              <w:spacing w:after="0" w:line="259" w:lineRule="auto"/>
            </w:pPr>
            <w:r>
              <w:rPr>
                <w:color w:val="000000"/>
                <w:sz w:val="17"/>
              </w:rPr>
              <w:t>Gesto de navegação pode gerar esforço extra ou falso acionamento.</w:t>
            </w:r>
          </w:p>
        </w:tc>
        <w:tc>
          <w:tcPr>
            <w:tcW w:type="dxa" w:w="3458"/>
            <w:vAlign w:val="center"/>
            <w:shd w:fill="F7F7F7"/>
          </w:tcPr>
          <w:p>
            <w:pPr>
              <w:spacing w:after="0" w:line="259" w:lineRule="auto"/>
            </w:pPr>
            <w:r>
              <w:rPr>
                <w:color w:val="000000"/>
                <w:sz w:val="17"/>
              </w:rPr>
              <w:t>Testar protótipo cedo; levar exceção de acessibilidade ao professor se necessário.</w:t>
            </w:r>
          </w:p>
        </w:tc>
      </w:tr>
      <w:tr>
        <w:trPr>
          <w:cantSplit/>
        </w:trPr>
        <w:tc>
          <w:tcPr>
            <w:tcW w:type="dxa" w:w="1701"/>
            <w:vAlign w:val="center"/>
          </w:tcPr>
          <w:p>
            <w:pPr>
              <w:spacing w:after="0" w:line="259" w:lineRule="auto"/>
            </w:pPr>
            <w:r>
              <w:rPr>
                <w:color w:val="000000"/>
                <w:sz w:val="17"/>
              </w:rPr>
              <w:t>Escopo e prazo</w:t>
            </w:r>
          </w:p>
        </w:tc>
        <w:tc>
          <w:tcPr>
            <w:tcW w:type="dxa" w:w="3515"/>
            <w:vAlign w:val="center"/>
          </w:tcPr>
          <w:p>
            <w:pPr>
              <w:spacing w:after="0" w:line="259" w:lineRule="auto"/>
            </w:pPr>
            <w:r>
              <w:rPr>
                <w:color w:val="000000"/>
                <w:sz w:val="17"/>
              </w:rPr>
              <w:t>Três fases, firmware, métricas e paper competem pelo tempo do grupo.</w:t>
            </w:r>
          </w:p>
        </w:tc>
        <w:tc>
          <w:tcPr>
            <w:tcW w:type="dxa" w:w="3458"/>
            <w:vAlign w:val="center"/>
          </w:tcPr>
          <w:p>
            <w:pPr>
              <w:spacing w:after="0" w:line="259" w:lineRule="auto"/>
            </w:pPr>
            <w:r>
              <w:rPr>
                <w:color w:val="000000"/>
                <w:sz w:val="17"/>
              </w:rPr>
              <w:t>Concluir vertical slice e funções obrigatórias antes de efeitos extras.</w:t>
            </w:r>
          </w:p>
        </w:tc>
      </w:tr>
      <w:tr>
        <w:trPr>
          <w:cantSplit/>
        </w:trPr>
        <w:tc>
          <w:tcPr>
            <w:tcW w:type="dxa" w:w="1701"/>
            <w:vAlign w:val="center"/>
            <w:shd w:fill="F7F7F7"/>
          </w:tcPr>
          <w:p>
            <w:pPr>
              <w:spacing w:after="0" w:line="259" w:lineRule="auto"/>
            </w:pPr>
            <w:r>
              <w:rPr>
                <w:color w:val="000000"/>
                <w:sz w:val="17"/>
              </w:rPr>
              <w:t>Divergência do Kanban</w:t>
            </w:r>
          </w:p>
        </w:tc>
        <w:tc>
          <w:tcPr>
            <w:tcW w:type="dxa" w:w="3515"/>
            <w:vAlign w:val="center"/>
            <w:shd w:fill="F7F7F7"/>
          </w:tcPr>
          <w:p>
            <w:pPr>
              <w:spacing w:after="0" w:line="259" w:lineRule="auto"/>
            </w:pPr>
            <w:r>
              <w:rPr>
                <w:rFonts w:ascii="Aptos" w:hAnsi="Aptos"/>
                <w:color w:val="000000"/>
                <w:sz w:val="17"/>
              </w:rPr>
              <w:t>O cartão “Byte” não reflete a decisão posterior pelo protagonista ELO.</w:t>
            </w:r>
          </w:p>
        </w:tc>
        <w:tc>
          <w:tcPr>
            <w:tcW w:type="dxa" w:w="3458"/>
            <w:vAlign w:val="center"/>
            <w:shd w:fill="F7F7F7"/>
          </w:tcPr>
          <w:p>
            <w:pPr>
              <w:spacing w:after="0" w:line="259" w:lineRule="auto"/>
            </w:pPr>
            <w:r>
              <w:rPr>
                <w:rFonts w:ascii="Aptos" w:hAnsi="Aptos"/>
                <w:color w:val="000000"/>
                <w:sz w:val="17"/>
              </w:rPr>
              <w:t>Atualizar o cartão do personagem e registrar a escolha do mini pedal, preservando histórico.</w:t>
            </w:r>
          </w:p>
        </w:tc>
      </w:tr>
      <w:tr>
        <w:trPr>
          <w:cantSplit/>
        </w:trPr>
        <w:tc>
          <w:tcPr>
            <w:tcW w:type="dxa" w:w="1701"/>
            <w:vAlign w:val="center"/>
          </w:tcPr>
          <w:p>
            <w:pPr>
              <w:spacing w:after="0" w:line="259" w:lineRule="auto"/>
            </w:pPr>
            <w:r>
              <w:rPr>
                <w:color w:val="000000"/>
                <w:sz w:val="17"/>
              </w:rPr>
              <w:t>Privacidade</w:t>
            </w:r>
          </w:p>
        </w:tc>
        <w:tc>
          <w:tcPr>
            <w:tcW w:type="dxa" w:w="3515"/>
            <w:vAlign w:val="center"/>
          </w:tcPr>
          <w:p>
            <w:pPr>
              <w:spacing w:after="0" w:line="259" w:lineRule="auto"/>
            </w:pPr>
            <w:r>
              <w:rPr>
                <w:color w:val="000000"/>
                <w:sz w:val="17"/>
              </w:rPr>
              <w:t>Histórico de desempenho pode se tornar dado de saúde em testes reais.</w:t>
            </w:r>
          </w:p>
        </w:tc>
        <w:tc>
          <w:tcPr>
            <w:tcW w:type="dxa" w:w="3458"/>
            <w:vAlign w:val="center"/>
          </w:tcPr>
          <w:p>
            <w:pPr>
              <w:spacing w:after="0" w:line="259" w:lineRule="auto"/>
            </w:pPr>
            <w:r>
              <w:rPr>
                <w:color w:val="000000"/>
                <w:sz w:val="17"/>
              </w:rPr>
              <w:t>Usar identificador local no MVP; definir consentimento, retenção e acesso antes de coleta real.</w:t>
            </w:r>
          </w:p>
        </w:tc>
      </w:tr>
    </w:tbl>
    <w:p>
      <w:pPr>
        <w:spacing w:after="20"/>
      </w:pPr>
    </w:p>
    <w:p>
      <w:pPr>
        <w:pStyle w:val="Heading2"/>
      </w:pPr>
      <w:r>
        <w:t>13.1 Registro de decisões</w:t>
      </w:r>
    </w:p>
    <w:p>
      <w:pPr>
        <w:pStyle w:val="ListBullet"/>
      </w:pPr>
      <w:r>
        <w:t>Definido: nome ReCode; libGDX; três fases Circuitos Básicos, Rede Instável e Sistema Central; ELO, mascote e vírus consciente; GitHub Kanban; ações centrais controladas por IoT; mini pedal escolhido pelo grupo para o protótipo.</w:t>
      </w:r>
    </w:p>
    <w:p>
      <w:pPr>
        <w:pStyle w:val="ListBullet"/>
      </w:pPr>
      <w:r>
        <w:t>A validar com o professor: objetivo de reabilitação, parâmetros de exercício, navegação dos menus por IoT e plataforma de entrega.</w:t>
      </w:r>
    </w:p>
    <w:p>
      <w:pPr>
        <w:pStyle w:val="ListBullet"/>
      </w:pPr>
      <w:r>
        <w:t>A validar tecnicamente: limiares, protocolo, metas de precisão, taxa de amostragem, perfil de sensor e condições de conclusão das fases.</w:t>
      </w:r>
    </w:p>
    <w:p>
      <w:pPr>
        <w:pStyle w:val="ListBullet"/>
      </w:pPr>
      <w:r>
        <w:t>A validar clinicamente: população, movimento, amplitude, duração, frequência, intensidade, contraindicações e interpretação dos indicadores.</w:t>
      </w:r>
    </w:p>
    <w:p>
      <w:pPr>
        <w:pStyle w:val="Heading1"/>
      </w:pPr>
      <w:r>
        <w:t>14 Entregáveis e referências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left w:w="105" w:type="dxa"/>
          <w:bottom w:w="105" w:type="dxa"/>
          <w:right w:w="105" w:type="dxa"/>
        </w:tblCellMar>
      </w:tblPr>
      <w:tblGrid>
        <w:gridCol w:w="4493"/>
        <w:gridCol w:w="4493"/>
      </w:tblGrid>
      <w:tr>
        <w:trPr>
          <w:tblHeader/>
          <w:cantSplit/>
        </w:trPr>
        <w:tc>
          <w:tcPr>
            <w:tcW w:type="dxa" w:w="1701"/>
            <w:shd w:fill="E8E8E8"/>
            <w:vAlign w:val="center"/>
          </w:tcPr>
          <w:p>
            <w:r>
              <w:rPr>
                <w:b/>
                <w:color w:val="000000"/>
                <w:sz w:val="18"/>
              </w:rPr>
              <w:t>Entregável</w:t>
            </w:r>
          </w:p>
        </w:tc>
        <w:tc>
          <w:tcPr>
            <w:tcW w:type="dxa" w:w="6973"/>
            <w:shd w:fill="E8E8E8"/>
            <w:vAlign w:val="center"/>
          </w:tcPr>
          <w:p>
            <w:r>
              <w:rPr>
                <w:b/>
                <w:color w:val="000000"/>
                <w:sz w:val="18"/>
              </w:rPr>
              <w:t>Conteúdo mínimo</w:t>
            </w:r>
          </w:p>
        </w:tc>
      </w:tr>
      <w:tr>
        <w:trPr>
          <w:cantSplit/>
        </w:trPr>
        <w:tc>
          <w:tcPr>
            <w:tcW w:type="dxa" w:w="1701"/>
            <w:vAlign w:val="center"/>
          </w:tcPr>
          <w:p>
            <w:pPr>
              <w:spacing w:after="0" w:line="259" w:lineRule="auto"/>
            </w:pPr>
            <w:r>
              <w:rPr>
                <w:color w:val="000000"/>
                <w:sz w:val="17"/>
              </w:rPr>
              <w:t>Jogo</w:t>
            </w:r>
          </w:p>
        </w:tc>
        <w:tc>
          <w:tcPr>
            <w:tcW w:type="dxa" w:w="6973"/>
            <w:vAlign w:val="center"/>
          </w:tcPr>
          <w:p>
            <w:pPr>
              <w:spacing w:after="0" w:line="259" w:lineRule="auto"/>
            </w:pPr>
            <w:r>
              <w:rPr>
                <w:color w:val="000000"/>
                <w:sz w:val="17"/>
              </w:rPr>
              <w:t>Código-fonte libGDX, firmware/dispositivo IoT, três fases, menus, personagem, métricas e registro de resultados.</w:t>
            </w:r>
          </w:p>
        </w:tc>
      </w:tr>
      <w:tr>
        <w:trPr>
          <w:cantSplit/>
        </w:trPr>
        <w:tc>
          <w:tcPr>
            <w:tcW w:type="dxa" w:w="1701"/>
            <w:vAlign w:val="center"/>
            <w:shd w:fill="F7F7F7"/>
          </w:tcPr>
          <w:p>
            <w:pPr>
              <w:spacing w:after="0" w:line="259" w:lineRule="auto"/>
            </w:pPr>
            <w:r>
              <w:rPr>
                <w:color w:val="000000"/>
                <w:sz w:val="17"/>
              </w:rPr>
              <w:t>Pacote executável</w:t>
            </w:r>
          </w:p>
        </w:tc>
        <w:tc>
          <w:tcPr>
            <w:tcW w:type="dxa" w:w="6973"/>
            <w:vAlign w:val="center"/>
            <w:shd w:fill="F7F7F7"/>
          </w:tcPr>
          <w:p>
            <w:pPr>
              <w:spacing w:after="0" w:line="259" w:lineRule="auto"/>
            </w:pPr>
            <w:r>
              <w:rPr>
                <w:color w:val="000000"/>
                <w:sz w:val="17"/>
              </w:rPr>
              <w:t>Executável desktop ou APK escolhido e testado, instruções de conexão e calibração, lista de dependências.</w:t>
            </w:r>
          </w:p>
        </w:tc>
      </w:tr>
      <w:tr>
        <w:trPr>
          <w:cantSplit/>
        </w:trPr>
        <w:tc>
          <w:tcPr>
            <w:tcW w:type="dxa" w:w="1701"/>
            <w:vAlign w:val="center"/>
          </w:tcPr>
          <w:p>
            <w:pPr>
              <w:spacing w:after="0" w:line="259" w:lineRule="auto"/>
            </w:pPr>
            <w:r>
              <w:rPr>
                <w:color w:val="000000"/>
                <w:sz w:val="17"/>
              </w:rPr>
              <w:t>Short paper</w:t>
            </w:r>
          </w:p>
        </w:tc>
        <w:tc>
          <w:tcPr>
            <w:tcW w:type="dxa" w:w="6973"/>
            <w:vAlign w:val="center"/>
          </w:tcPr>
          <w:p>
            <w:pPr>
              <w:spacing w:after="0" w:line="259" w:lineRule="auto"/>
            </w:pPr>
            <w:r>
              <w:rPr>
                <w:color w:val="000000"/>
                <w:sz w:val="17"/>
              </w:rPr>
              <w:t>Até seis páginas: problema/contexto de reabilitação, justificativa da gamificação, descrição do jogo e integração IoT, capturas reais.</w:t>
            </w:r>
          </w:p>
        </w:tc>
      </w:tr>
      <w:tr>
        <w:trPr>
          <w:cantSplit/>
        </w:trPr>
        <w:tc>
          <w:tcPr>
            <w:tcW w:type="dxa" w:w="1701"/>
            <w:vAlign w:val="center"/>
            <w:shd w:fill="F7F7F7"/>
          </w:tcPr>
          <w:p>
            <w:pPr>
              <w:spacing w:after="0" w:line="259" w:lineRule="auto"/>
            </w:pPr>
            <w:r>
              <w:rPr>
                <w:color w:val="000000"/>
                <w:sz w:val="17"/>
              </w:rPr>
              <w:t>Evidências de gestão</w:t>
            </w:r>
          </w:p>
        </w:tc>
        <w:tc>
          <w:tcPr>
            <w:tcW w:type="dxa" w:w="6973"/>
            <w:vAlign w:val="center"/>
            <w:shd w:fill="F7F7F7"/>
          </w:tcPr>
          <w:p>
            <w:pPr>
              <w:spacing w:after="0" w:line="259" w:lineRule="auto"/>
            </w:pPr>
            <w:r>
              <w:rPr>
                <w:color w:val="000000"/>
                <w:sz w:val="17"/>
              </w:rPr>
              <w:t>Repositório GitHub, commits semanais individuais, Kanban atualizado, resultados de teste e registro de decisões.</w:t>
            </w:r>
          </w:p>
        </w:tc>
      </w:tr>
    </w:tbl>
    <w:p>
      <w:pPr>
        <w:spacing w:after="20"/>
      </w:pPr>
    </w:p>
    <w:p>
      <w:pPr>
        <w:pStyle w:val="Heading2"/>
      </w:pPr>
      <w:r>
        <w:t>14.1 Fontes e alcance</w:t>
      </w:r>
    </w:p>
    <w:p>
      <w:r>
        <w:t>Projeto_Descricao_Geral.docx, arquivo de referência do projeto acadêmico, consultado em 13 out. 2026. ReCode_Importar_Kanban_corrigido/cartoes.json e ReCode_Kanban_campos.csv, planejamento local do grupo, consultados em 13 out. 2026. Decisões de conceito e personagens informadas na solicitação do GDD; escolha do mini pedal informada pelo grupo em 13 out. 2026. Não há protocolo clínico validado nem decisão do professor documentada sobre parâmetros de exercício.</w:t>
      </w:r>
    </w:p>
    <w:sectPr w:rsidR="00FC693F" w:rsidRPr="0006063C" w:rsidSect="00034616">
      <w:footerReference w:type="default" r:id="rId9"/>
      <w:pgSz w:w="11906" w:h="16838"/>
      <w:pgMar w:top="1332" w:right="1361" w:bottom="1219" w:left="1559"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000000"/>
        <w:sz w:val="16"/>
      </w:rPr>
      <w:t xml:space="preserve">ReCode  |  GDD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9" w:lineRule="auto"/>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line="259" w:lineRule="auto"/>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59" w:lineRule="auto" w:before="0"/>
      <w:contextualSpacing/>
      <w:pBdr>
        <w:bottom w:val="nil"/>
      </w:pBdr>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9" w:lineRule="auto"/>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ReCode</dc:title>
  <dc:subject>Reconstruindo um Mundo Digital: protótipo com mini pedal</dc:subject>
  <dc:creator>python-docx</dc:creator>
  <cp:keywords>GDD, ReCode, libGDX, IoT, reabilitação</cp:keywords>
  <dc:description>generated by python-docx</dc:description>
  <cp:lastModifiedBy/>
  <cp:revision>1</cp:revision>
  <dcterms:created xsi:type="dcterms:W3CDTF">2013-12-23T23:15:00Z</dcterms:created>
  <dcterms:modified xsi:type="dcterms:W3CDTF">2013-12-23T23:15:00Z</dcterms:modified>
  <cp:category/>
</cp:coreProperties>
</file>