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RELATÓRIO DE PROJETO</w:t>
      </w:r>
    </w:p>
    <w:p>
      <w:pPr>
        <w:pStyle w:val="Title"/>
      </w:pPr>
      <w:r>
        <w:t>Relatório final do projeto ReCode</w:t>
      </w:r>
    </w:p>
    <w:p>
      <w:pPr>
        <w:pStyle w:val="Subtitle"/>
      </w:pPr>
      <w:r>
        <w:t>Jogo sério para movimento do antebraço com ESP32, MPU6050 e libGDX</w:t>
      </w:r>
    </w:p>
    <w:p>
      <w:r>
        <w:t>Equipe ReCode  |  Projeto Final de IoT e Jogos Digitais  |  29 de outubro de 2026</w:t>
      </w:r>
    </w:p>
    <w:p>
      <w:pPr>
        <w:pStyle w:val="Heading1"/>
      </w:pPr>
      <w:r>
        <w:t>Resumo executivo</w:t>
      </w:r>
    </w:p>
    <w:p>
      <w:r>
        <w:t>ReCode Reconstruindo um Mundo Digital transforma giros controlados do antebraço em ações de ELO, personagem que restaura circuitos e enfrenta o vírus Nó Zero. O jogo desktop em Java e libGDX reúne três fases, menu, pausa, progressão, três vidas, escudo, resultados e um canal serial para receber dados de um ESP32 com MPU6050. A proposta física é praticar rotação ativa do antebraço com coordenação, repetição e regularidade, em amplitude confortável definida para cada pessoa. Os indicadores atuais descrevem desempenho no jogo; não medem recuperação clínica.</w:t>
      </w:r>
    </w:p>
    <w:p>
      <w:r>
        <w:t>A lógica do jogo e o firmware estão implementados na cópia local analisada. Uma captura antiga mostrou comunicação instável com o sensor, e os pinos do MPU6050 ainda não haviam sido soldados na última informação recebida. Por isso, a integração física contínua, a calibração final e a adequação do exercício a participantes precisam de validação antes de qualquer uso de reabilitação.</w:t>
      </w:r>
    </w:p>
    <w:p>
      <w:pPr>
        <w:pStyle w:val="Heading1"/>
      </w:pPr>
      <w:r>
        <w:t>1 Contexto e finalidade física</w:t>
      </w:r>
    </w:p>
    <w:p>
      <w:r>
        <w:t>O projeto acadêmico pede um jogo sério em libGDX controlado por dados de um dispositivo IoT, com pelo menos três fases e métricas de velocidade e consistência. O conceito inicial do GDD, de 13 de outubro, empregava um mini pedal ergométrico. O projeto evoluiu para uma braçadeira com ESP32 e MPU6050, descrita no guia de equipamentos de 15 de outubro e adotada no jogo atual. O nome histórico da pasta prototipo_pedal foi preservado, embora o controle atual não use pedal.</w:t>
      </w:r>
    </w:p>
    <w:p>
      <w:r>
        <w:t>A tarefa motora proposta é a pronação e supinação do antebraço: partindo de uma posição central apoiada, a pessoa gira a palma para um lado, retorna ao centro e gira para o outro, sem buscar velocidade ou amplitude máximas. O objetivo funcional de projeto é exercitar controle voluntário da rotação, alternância de direção, percepção de ritmo e manutenção de movimentos regulares. O jogo não mede força, dor, amplitude articular clínica nem resistência cardiovascular. A população elegível, a duração e a dose do exercício dependem de orientação de profissional de saúde e da aprovação acadêmica pertinente.</w:t>
      </w:r>
    </w:p>
    <w:p>
      <w:pPr>
        <w:pStyle w:val="Heading2"/>
      </w:pPr>
      <w:r>
        <w:t>1.1 Fundamentação da proposta</w:t>
      </w:r>
    </w:p>
    <w:p>
      <w:r>
        <w:t>A literatura oferece uma justificativa para estudar tarefas de membro superior com feedback digital. Em ensaio randomizado com 84 pessoas após AVC isquêmico leve a moderado, Sun et al. observaram ganhos em medidas de função do membro superior ao acrescentar treinamento com jogos de realidade virtual à reabilitação convencional. O programa incluía, entre outros movimentos, pronação e supinação do antebraço [1]. Em outro ensaio randomizado, Ase et al. usaram uma luva com sensores e tarefas domiciliares que incluíam a mesma rotação, com calibração da amplitude inicial. A amostra final foi pequena, 14 participantes, o que limita generalizações [2].</w:t>
      </w:r>
    </w:p>
    <w:p>
      <w:r>
        <w:t>Esses estudos investigaram intervenções e populações específicas, diferentes de ReCode. Eles sustentam a plausibilidade de combinar repetição, objetivos claros e retorno imediato, mas não demonstram eficácia terapêutica deste jogo. A progressão lúdica de ReCode aumenta a complexidade de coordenação e leitura de pistas; ela não deve elevar automaticamente a intensidade física. Uma avaliação clínica futura exigiria protocolo, seleção de participantes, supervisão, medidas padronizadas e autorização ética quando aplicável.</w:t>
      </w:r>
    </w:p>
    <w:p>
      <w:pPr>
        <w:pStyle w:val="Heading1"/>
      </w:pPr>
      <w:r>
        <w:t>2 Visão de jogo e GDD consolidado</w:t>
      </w:r>
    </w:p>
    <w:p>
      <w:r>
        <w:t>O mundo digital perdeu suas conexões após a ação do vírus consciente Nó Zero. ELO é uma centelha restauradora; cada gesto válido fornece energia para reparar estruturas. O mascote Guardião Orbital orienta e protege. O ciclo central é: calibrar o sensor, executar o gesto, receber retorno visual, cumprir o objetivo da fase, consultar o resultado e avançar. Cenas curtas e sinais no cenário explicam a progressão sem interromper o fluxo de movimento.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4025"/>
      </w:tblGrid>
      <w:tr>
        <w:trPr>
          <w:tblHeader w:val="true"/>
          <w:cantSplit/>
        </w:trPr>
        <w:tc>
          <w:tcPr>
            <w:tcW w:type="dxa" w:w="1814"/>
            <w:shd w:fill="E8EDF3"/>
            <w:vAlign w:val="center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3402"/>
            <w:shd w:fill="E8EDF3"/>
            <w:vAlign w:val="center"/>
          </w:tcPr>
          <w:p>
            <w:r>
              <w:rPr>
                <w:b/>
                <w:sz w:val="18"/>
              </w:rPr>
              <w:t>Tarefa do jogador</w:t>
            </w:r>
          </w:p>
        </w:tc>
        <w:tc>
          <w:tcPr>
            <w:tcW w:type="dxa" w:w="4025"/>
            <w:shd w:fill="E8EDF3"/>
            <w:vAlign w:val="center"/>
          </w:tcPr>
          <w:p>
            <w:r>
              <w:rPr>
                <w:b/>
                <w:sz w:val="18"/>
              </w:rPr>
              <w:t>Objetivo do jogo e evolução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 Circuitos Básicos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Realizar giros válidos e observar ELO seguir a trilha.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20 giros; circuitos reparados em 5, 10 e 15. Ensina o vínculo entre gesto e cenário.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 Rede Instável</w:t>
            </w:r>
          </w:p>
        </w:tc>
        <w:tc>
          <w:tcPr>
            <w:tcW w:type="dxa" w:w="3402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Manter intervalos regulares entre giros e recuperar os nós.</w:t>
            </w:r>
          </w:p>
        </w:tc>
        <w:tc>
          <w:tcPr>
            <w:tcW w:type="dxa" w:w="4025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Três nós; cada um exige ao menos 8 giros e 2 pares regulares seguidos. Nó Zero ataca.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 Sistema Central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Combinar giros individuais, direção solicitada, ritmo e estabilidade.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Três escudos do núcleo. ELO alterna entre linhas por um gesto dirigido e enfrenta Nó Zero.</w:t>
            </w:r>
          </w:p>
        </w:tc>
      </w:tr>
    </w:tbl>
    <w:p>
      <w:pPr>
        <w:spacing w:after="20"/>
      </w:pPr>
    </w:p>
    <w:p>
      <w:r>
        <w:t>A campanha conserva fase, giros, objetivos, pares regulares, fragmentos e tempo estimado em movimento durante a tentativa. Há três corações visíveis. Um projétil que alcança ELO sem proteção remove uma vida; após a terceira perda, a animação de impacto termina, o resultado aparece por três segundos e uma nova tentativa começa na fase 1. A vitória exibe o acumulado. O menu e a pausa permitem iniciar, continuar, reiniciar ou voltar ao menu. Teclado e simulação servem ao desenvolvimento; a demonstração exigida pelo enunciado depende do controle IoT.</w:t>
      </w:r>
    </w:p>
    <w:p>
      <w:pPr>
        <w:pStyle w:val="Heading2"/>
      </w:pPr>
      <w:r>
        <w:t>2.1 Personagens e direção visual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12"/>
        <w:gridCol w:w="3628"/>
      </w:tblGrid>
      <w:tr>
        <w:trPr>
          <w:tblHeader w:val="true"/>
          <w:cantSplit/>
        </w:trPr>
        <w:tc>
          <w:tcPr>
            <w:tcW w:type="dxa" w:w="1701"/>
            <w:shd w:fill="E8EDF3"/>
            <w:vAlign w:val="center"/>
          </w:tcPr>
          <w:p>
            <w:r>
              <w:rPr>
                <w:b/>
                <w:sz w:val="18"/>
              </w:rPr>
              <w:t>Personagem</w:t>
            </w:r>
          </w:p>
        </w:tc>
        <w:tc>
          <w:tcPr>
            <w:tcW w:type="dxa" w:w="3912"/>
            <w:shd w:fill="E8EDF3"/>
            <w:vAlign w:val="center"/>
          </w:tcPr>
          <w:p>
            <w:r>
              <w:rPr>
                <w:b/>
                <w:sz w:val="18"/>
              </w:rPr>
              <w:t>Identidade e função</w:t>
            </w:r>
          </w:p>
        </w:tc>
        <w:tc>
          <w:tcPr>
            <w:tcW w:type="dxa" w:w="3628"/>
            <w:shd w:fill="E8EDF3"/>
            <w:vAlign w:val="center"/>
          </w:tcPr>
          <w:p>
            <w:r>
              <w:rPr>
                <w:b/>
                <w:sz w:val="18"/>
              </w:rPr>
              <w:t>Expressão no jogo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ELO</w:t>
            </w:r>
          </w:p>
        </w:tc>
        <w:tc>
          <w:tcPr>
            <w:tcW w:type="dxa" w:w="391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Criatura de energia restauradora, curiosa e persistente; protagoniza os reparos.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Silhueta pequena em azul e ciano; repouso, deslocamento, reparo e reação ao impacto.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Guardião Orbital</w:t>
            </w:r>
          </w:p>
        </w:tc>
        <w:tc>
          <w:tcPr>
            <w:tcW w:type="dxa" w:w="3912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Companheiro flutuante que informa objetivos e oferece apoio sem assumir o controle.</w:t>
            </w:r>
          </w:p>
        </w:tc>
        <w:tc>
          <w:tcPr>
            <w:tcW w:type="dxa" w:w="3628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Núcleo rosa com anéis orbitais; aproximação, alerta e escudo carregado por regularidade.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Nó Zero</w:t>
            </w:r>
          </w:p>
        </w:tc>
        <w:tc>
          <w:tcPr>
            <w:tcW w:type="dxa" w:w="391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Vírus Raiz consciente, calculista, que tenta paralisar e reescrever o sistema.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Escala de chefe, tons escuros e magenta; portal na fase 2, ruptura e fios arrancados na fase 3.</w:t>
            </w:r>
          </w:p>
        </w:tc>
      </w:tr>
    </w:tbl>
    <w:p>
      <w:pPr>
        <w:spacing w:after="20"/>
      </w:pPr>
    </w:p>
    <w:p>
      <w:r>
        <w:t>O relatório de personagens define ELO como energia de restauração, o mascote como guia e Nó Zero como força de imobilidade. A presença do antagonista cresce ao longo das fases: interferências no começo, forma parcial na Rede Instável e confronto de grande escala no Sistema Central. A câmera e camadas do cenário se deslocam com o avanço de ELO; projéteis têm origem, trajetória, bloqueio e impacto legíveis. A opção de efeitos suaves reduz movimento decorativo e tremor da tela.</w:t>
      </w:r>
    </w:p>
    <w:p>
      <w:pPr>
        <w:pStyle w:val="Heading2"/>
      </w:pPr>
      <w:r>
        <w:t>2.2 Capturas da campanha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24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 Circuitos Básicos em modo simulado, com ELO, reparos e progresso.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-ataque-corrigi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 Rede Instável em modo simulado, com Nó Zero e trajetória de ataque.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-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 Sistema Central em modo simulado, com duas linhas e Nó Zero ao fundo.</w:t>
      </w:r>
    </w:p>
    <w:p>
      <w:pPr>
        <w:pStyle w:val="Heading1"/>
      </w:pPr>
      <w:r>
        <w:t>3 Equipamentos e integração IoT</w:t>
      </w:r>
    </w:p>
    <w:p>
      <w:r>
        <w:t>O controle vestível combina uma placa ESP32 DevKit com módulo MPU6050 GY 521, quatro ligações I²C, cabo USB de dados, caixa isolante e braçadeira ajustável. O eixo X do módulo deve acompanhar o antebraço; o sensor precisa permanecer rígido em relação à faixa. A caixa protege contatos da pele, e o cabo deve ficar preso sem limitar o gesto. O módulo inclui acelerômetro e giroscópio, mas o firmware atual usa apenas a leitura do acelerômetro.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324"/>
        <w:gridCol w:w="4989"/>
      </w:tblGrid>
      <w:tr>
        <w:trPr>
          <w:tblHeader w:val="true"/>
          <w:cantSplit/>
        </w:trPr>
        <w:tc>
          <w:tcPr>
            <w:tcW w:type="dxa" w:w="1928"/>
            <w:shd w:fill="E8EDF3"/>
            <w:vAlign w:val="center"/>
          </w:tcPr>
          <w:p>
            <w:r>
              <w:rPr>
                <w:b/>
                <w:sz w:val="18"/>
              </w:rPr>
              <w:t>MPU6050</w:t>
            </w:r>
          </w:p>
        </w:tc>
        <w:tc>
          <w:tcPr>
            <w:tcW w:type="dxa" w:w="2324"/>
            <w:shd w:fill="E8EDF3"/>
            <w:vAlign w:val="center"/>
          </w:tcPr>
          <w:p>
            <w:r>
              <w:rPr>
                <w:b/>
                <w:sz w:val="18"/>
              </w:rPr>
              <w:t>ESP32 DevKit</w:t>
            </w:r>
          </w:p>
        </w:tc>
        <w:tc>
          <w:tcPr>
            <w:tcW w:type="dxa" w:w="4989"/>
            <w:shd w:fill="E8EDF3"/>
            <w:vAlign w:val="center"/>
          </w:tcPr>
          <w:p>
            <w:r>
              <w:rPr>
                <w:b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VCC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3V3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Alimentação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GND</w:t>
            </w:r>
          </w:p>
        </w:tc>
        <w:tc>
          <w:tcPr>
            <w:tcW w:type="dxa" w:w="4989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Terra comum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SDA</w:t>
            </w:r>
          </w:p>
        </w:tc>
        <w:tc>
          <w:tcPr>
            <w:tcW w:type="dxa" w:w="232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GPIO 21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Dados I²C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SCL</w:t>
            </w:r>
          </w:p>
        </w:tc>
        <w:tc>
          <w:tcPr>
            <w:tcW w:type="dxa" w:w="2324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GPIO 22</w:t>
            </w:r>
          </w:p>
        </w:tc>
        <w:tc>
          <w:tcPr>
            <w:tcW w:type="dxa" w:w="4989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Relógio I²C</w:t>
            </w:r>
          </w:p>
        </w:tc>
      </w:tr>
    </w:tbl>
    <w:p>
      <w:pPr>
        <w:spacing w:after="20"/>
      </w:pPr>
    </w:p>
    <w:p>
      <w:r>
        <w:t>O firmware procura o sensor nos endereços I²C 0x68 e 0x69, configura os registradores e coleta aceleração a cada 20 ms. A especificação e o mapa de registradores do fabricante fundamentam a leitura dos eixos e a escala de ±2 g [3, 4]. A comunicação com o jogo é USB serial a 115200 baud, com uma linha JSON aproximadamente a cada 100 ms.</w:t>
      </w:r>
    </w:p>
    <w:p>
      <w:r>
        <w:t>Exemplo de quadro: {"v":2,"seq":42,"ms":123456,"mode":"forearm","movement":7,"lastMovementMs":122900,"direction":-1,"angleDeg":-27.4,"accelG":1.01,"calibrationSamples":100,"state":"ok"}. Os campos seq e ms ordenam as leituras; movement é o contador acumulado de gestos; direction distingue as duas posições; state indica ok, calibrating ou sensor_error. A primeira leitura após conexão ou recuperação estabelece a referência de contagem e não gera avanço retroativo.</w:t>
      </w:r>
    </w:p>
    <w:p>
      <w:r>
        <w:t>No desktop, SerialPedalSource lê a porta em uma thread e tenta reconectar quando ela fica disponível. PedalFrame valida a versão 2, o modo forearm, o estado e os campos numéricos; PedalCounter descarta duplicatas, reinícios e saltos incompatíveis com o intervalo mínimo. Sem quadros válidos por cerca de 2 segundos, ou se o sensor informa erro/calibração, a campanha pausa e conserva vidas e progresso. O monitor serial deve estar fechado ao jogar, pois a porta é compartilhada pelo computador.</w:t>
      </w:r>
    </w:p>
    <w:p>
      <w:pPr>
        <w:pStyle w:val="Heading1"/>
      </w:pPr>
      <w:r>
        <w:t>4 Fórmulas e regras implementadas</w:t>
      </w:r>
    </w:p>
    <w:p>
      <w:pPr>
        <w:pStyle w:val="Heading2"/>
      </w:pPr>
      <w:r>
        <w:t>4.1 Calibração e detecção do gesto</w:t>
      </w:r>
    </w:p>
    <w:p>
      <w:r>
        <w:t>Sejam ax, ay e az as leituras brutas do acelerômetro; (Y0,Z0) a média de 100 leituras estáveis em posição neutra; (Yf,Zf) o vetor filtrado; tᵢ o instante do i ésimo gesto. As equações abaixo representam o firmware atual. Os limiares são parâmetros técnicos do jogo, não amplitudes terapêuticas prescritas.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458"/>
      </w:tblGrid>
      <w:tr>
        <w:trPr>
          <w:tblHeader w:val="true"/>
          <w:cantSplit/>
        </w:trPr>
        <w:tc>
          <w:tcPr>
            <w:tcW w:type="dxa" w:w="1701"/>
            <w:shd w:fill="E8EDF3"/>
            <w:vAlign w:val="center"/>
          </w:tcPr>
          <w:p>
            <w:r>
              <w:rPr>
                <w:b/>
                <w:sz w:val="18"/>
              </w:rPr>
              <w:t>Cálculo</w:t>
            </w:r>
          </w:p>
        </w:tc>
        <w:tc>
          <w:tcPr>
            <w:tcW w:type="dxa" w:w="4082"/>
            <w:shd w:fill="E8EDF3"/>
            <w:vAlign w:val="center"/>
          </w:tcPr>
          <w:p>
            <w:r>
              <w:rPr>
                <w:b/>
                <w:sz w:val="18"/>
              </w:rPr>
              <w:t>Fórmula ou regra exata</w:t>
            </w:r>
          </w:p>
        </w:tc>
        <w:tc>
          <w:tcPr>
            <w:tcW w:type="dxa" w:w="3458"/>
            <w:shd w:fill="E8EDF3"/>
            <w:vAlign w:val="center"/>
          </w:tcPr>
          <w:p>
            <w:r>
              <w:rPr>
                <w:b/>
                <w:sz w:val="18"/>
              </w:rPr>
              <w:t>Interpretação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Módulo da aceleração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 = √(ax² + ay² + az²) / 16384; aceitar 0,70 ≤ g ≤ 1,30.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Descarta leituras com aceleração total muito distante de 1 g.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Referência neutra</w:t>
            </w:r>
          </w:p>
        </w:tc>
        <w:tc>
          <w:tcPr>
            <w:tcW w:type="dxa" w:w="4082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Y0 = Σay / 100; Z0 = Σaz / 100; |deriva| ≤ 8° durante a coleta.</w:t>
            </w:r>
          </w:p>
        </w:tc>
        <w:tc>
          <w:tcPr>
            <w:tcW w:type="dxa" w:w="3458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100 amostras a 20 ms dão aproximadamente 2 s; movimento reinicia a coleta.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Filtro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Yfₖ = 0,82Yfₖ₋₁ + 0,18ayₖ; Zfₖ = 0,82Zfₖ₋₁ + 0,18azₖ.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Suavização exponencial independente nos eixos Y e Z.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Ângulo relativo</w:t>
            </w:r>
          </w:p>
        </w:tc>
        <w:tc>
          <w:tcPr>
            <w:tcW w:type="dxa" w:w="4082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 = Y0Yf + Z0Zf; c = Y0Zf − Z0Yf; θ = s·atan2(c,d)·180/π.</w:t>
            </w:r>
          </w:p>
        </w:tc>
        <w:tc>
          <w:tcPr>
            <w:tcW w:type="dxa" w:w="3458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s é DIRECTION_SIGN, 1 ou −1 conforme a orientação da montagem.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Registro do gesto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Nova zona se θ ≥ 25° ou θ ≤ −25°; liberar em |θ| ≤ 10°; tᵢ − tᵢ₋₁ ≥ 250 ms.</w:t>
            </w:r>
          </w:p>
        </w:tc>
        <w:tc>
          <w:tcPr>
            <w:tcW w:type="dxa" w:w="3458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Exige sair do neutro, retornar e respeitar intervalo mínimo.</w:t>
            </w:r>
          </w:p>
        </w:tc>
      </w:tr>
    </w:tbl>
    <w:p>
      <w:pPr>
        <w:spacing w:after="20"/>
      </w:pPr>
    </w:p>
    <w:p>
      <w:r>
        <w:t>O ângulo é uma inclinação do módulo em relação à postura inicial inferida pela gravidade. Ele não equivale automaticamente ao ângulo anatômico de pronação ou supinação. Com a orientação errada, fixação solta ou interferência dinâmica, a estimativa pode falhar.</w:t>
      </w:r>
    </w:p>
    <w:p>
      <w:pPr>
        <w:pStyle w:val="Heading2"/>
      </w:pPr>
      <w:r>
        <w:t>4.2 Ritmo, avanço, escudo e ataques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00"/>
      </w:tblGrid>
      <w:tr>
        <w:trPr>
          <w:tblHeader w:val="true"/>
          <w:cantSplit/>
        </w:trPr>
        <w:tc>
          <w:tcPr>
            <w:tcW w:type="dxa" w:w="2041"/>
            <w:shd w:fill="E8EDF3"/>
            <w:vAlign w:val="center"/>
          </w:tcPr>
          <w:p>
            <w:r>
              <w:rPr>
                <w:b/>
                <w:sz w:val="18"/>
              </w:rPr>
              <w:t>Regra</w:t>
            </w:r>
          </w:p>
        </w:tc>
        <w:tc>
          <w:tcPr>
            <w:tcW w:type="dxa" w:w="7200"/>
            <w:shd w:fill="E8EDF3"/>
            <w:vAlign w:val="center"/>
          </w:tcPr>
          <w:p>
            <w:r>
              <w:rPr>
                <w:b/>
                <w:sz w:val="18"/>
              </w:rPr>
              <w:t>Fórmula ou condição implementada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Intervalo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Δtᵢ = tᵢ − tᵢ₋₁, em milissegundos.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Par regular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180 ≤ Δtᵢ ≤ 10000 e 0,65Δtᵢ₋₁ ≤ Δtᵢ ≤ 1,35Δtᵢ₋₁.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Ritmo exibido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giros/min = 60000 × Δmovimentos / Δt entre os últimos gestos, quando há dados válidos.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Fase 1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20 gestos aceitos; reparos em 5, 10 e 15.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Fase 2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3 nós; cada nó exige ≥8 gestos e ≥2 pares regulares consecutivos.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Fase 3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Por trecho: 3 giros individuais, 1 giro na direção pedida, 2 pares de ritmo e 3 de estabilidade; 3 trechos.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Escudo do mascote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Ativar após 3 pares regulares; duração = 15 s de tempo jogável; pausa congela o relógio.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Inatividade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Ataque após 7 s sem gesto válido na fase 2 ou 6 s na fase 3; aviso nos 2 s finais.</w:t>
            </w:r>
          </w:p>
        </w:tc>
      </w:tr>
    </w:tbl>
    <w:p>
      <w:pPr>
        <w:spacing w:after="20"/>
      </w:pPr>
    </w:p>
    <w:p>
      <w:r>
        <w:t>A regularidade compara cada intervalo com o anterior da própria pessoa e não impõe cadência mínima. Na fase 3, a chave pede alternadamente giro para baixo, para cima e para baixo; um giro no sentido oposto não muda a linha. A vida é descontada quando o projétil chega ao personagem; o escudo ou a barreira do ritmo pode bloqueá-lo. O GDD propunha para o mini pedal uma pontuação S = 0,4P + 0,3C + 0,3A, baseada em progresso, consistência estatística e aderência à faixa. Essa fórmula foi uma proposta anterior e não é calculada pela versão atual; apresentá-la como pontuação implementada seria incorreto.</w:t>
      </w:r>
    </w:p>
    <w:p>
      <w:pPr>
        <w:pStyle w:val="Heading1"/>
      </w:pPr>
      <w:r>
        <w:t>5 Indicadores de evolução e plano de avaliação</w:t>
      </w:r>
    </w:p>
    <w:p>
      <w:r>
        <w:t>O jogo já guarda, durante uma tentativa, contagem de gestos aceitos, objetivos concluídos, pares regulares, fragmentos, tempo estimado em movimento, vidas, ataques bloqueados e ativações do escudo. O tempo em movimento é uma aproximação atualizada quando há sinal e ritmo recente, não uma medida clínica de dose. Esses resultados aparecem por fase e ao final da campanha, mas não há histórico persistente entre sessões nem prontuário.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2154"/>
      </w:tblGrid>
      <w:tr>
        <w:trPr>
          <w:tblHeader w:val="true"/>
          <w:cantSplit/>
        </w:trPr>
        <w:tc>
          <w:tcPr>
            <w:tcW w:type="dxa" w:w="1701"/>
            <w:shd w:fill="E8EDF3"/>
            <w:vAlign w:val="center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5386"/>
            <w:shd w:fill="E8EDF3"/>
            <w:vAlign w:val="center"/>
          </w:tcPr>
          <w:p>
            <w:r>
              <w:rPr>
                <w:b/>
                <w:sz w:val="18"/>
              </w:rPr>
              <w:t>Cálculo e leitura proposta</w:t>
            </w:r>
          </w:p>
        </w:tc>
        <w:tc>
          <w:tcPr>
            <w:tcW w:type="dxa" w:w="2154"/>
            <w:shd w:fill="E8EDF3"/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Conclusão da tarefa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100 × objetivos concluídos / objetivos previstos; comparar fases distintas com seus próprios objetivos.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Contagens implementadas; percentual derivável.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Ritmo de gesto</w:t>
            </w:r>
          </w:p>
        </w:tc>
        <w:tc>
          <w:tcPr>
            <w:tcW w:type="dxa" w:w="5386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60000 × Δmovimentos / Δtempo dos últimos gestos; observar tendência, sem meta universal.</w:t>
            </w:r>
          </w:p>
        </w:tc>
        <w:tc>
          <w:tcPr>
            <w:tcW w:type="dxa" w:w="2154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Exibido em tempo real.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Regularidade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100 × comparações regulares / comparações válidas; excluir pausas, perdas de sinal e segmentos sem intervalos suficientes.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Pares contados; percentual e registro longitudinal a implementar.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Direção correta</w:t>
            </w:r>
          </w:p>
        </w:tc>
        <w:tc>
          <w:tcPr>
            <w:tcW w:type="dxa" w:w="5386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100 × giros dirigidos corretos / oportunidades de chave; observar acertos e necessidade de repetição.</w:t>
            </w:r>
          </w:p>
        </w:tc>
        <w:tc>
          <w:tcPr>
            <w:tcW w:type="dxa" w:w="2154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Regra implementada; taxa a registrar.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Qualidade do sinal</w:t>
            </w:r>
          </w:p>
        </w:tc>
        <w:tc>
          <w:tcPr>
            <w:tcW w:type="dxa" w:w="5386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100 × quadros state ok / quadros recebidos; relatar desconexões separadamente do desempenho motor.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Estados reconhecidos; indicador a registrar por sessão.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Evolução entre sessões</w:t>
            </w:r>
          </w:p>
        </w:tc>
        <w:tc>
          <w:tcPr>
            <w:tcW w:type="dxa" w:w="5386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Diferença da mediana das últimas sessões em relação à linha de base individual, sob calibração e tarefa comparáveis.</w:t>
            </w:r>
          </w:p>
        </w:tc>
        <w:tc>
          <w:tcPr>
            <w:tcW w:type="dxa" w:w="2154"/>
            <w:vAlign w:val="center"/>
            <w:shd w:fill="F7F9FB"/>
          </w:tcPr>
          <w:p>
            <w:pPr>
              <w:spacing w:after="40" w:before="40" w:line="252" w:lineRule="auto"/>
            </w:pPr>
            <w:r>
              <w:rPr>
                <w:sz w:val="18"/>
              </w:rPr>
              <w:t>Proposta futura; sem dados clínicos atuais.</w:t>
            </w:r>
          </w:p>
        </w:tc>
      </w:tr>
    </w:tbl>
    <w:p>
      <w:pPr>
        <w:spacing w:after="20"/>
      </w:pPr>
    </w:p>
    <w:p>
      <w:r>
        <w:t>A interpretação recomendada é intrapessoal: comparar a mesma pessoa consigo mesma em condições semelhantes, sempre junto da qualidade do sinal e do conforto relatado. Uma melhora na pontuação do jogo pode refletir aprendizagem da regra, familiaridade com o dispositivo ou variação do sensor. Para investigar função do membro superior seria preciso usar medidas aplicadas por profissional, como FMA UE, e um desenho de avaliação apropriado [1, 2]. O jogo não deve transformar contagens em diagnóstico.</w:t>
      </w:r>
    </w:p>
    <w:p>
      <w:pPr>
        <w:pStyle w:val="Heading2"/>
      </w:pPr>
      <w:r>
        <w:t>5.1 Verificações para a próxima etapa física</w:t>
      </w:r>
    </w:p>
    <w:p>
      <w:pPr>
        <w:pStyle w:val="ListBullet"/>
      </w:pPr>
      <w:r>
        <w:t>Soldar os pinos do MPU6050, proteger os contatos e confirmar as quatro ligações com o ESP32 desligado.</w:t>
      </w:r>
    </w:p>
    <w:p>
      <w:pPr>
        <w:pStyle w:val="ListBullet"/>
      </w:pPr>
      <w:r>
        <w:t>Registrar ao menos 2 minutos contínuos em state ok, sem sensor_error, após a calibração; conferir accelG perto de 1 em repouso.</w:t>
      </w:r>
    </w:p>
    <w:p>
      <w:pPr>
        <w:pStyle w:val="ListBullet"/>
      </w:pPr>
      <w:r>
        <w:t>Comparar pelo menos 30 gestos observados manualmente com movement e direction, nos dois sentidos e com retorno ao centro.</w:t>
      </w:r>
    </w:p>
    <w:p>
      <w:pPr>
        <w:pStyle w:val="ListBullet"/>
      </w:pPr>
      <w:r>
        <w:t>Conferir angleDeg perto de zero no neutro, mudanças de sinal nos dois lados e alcance confortável dos limiares antes de alterar constantes.</w:t>
      </w:r>
    </w:p>
    <w:p>
      <w:pPr>
        <w:pStyle w:val="ListBullet"/>
      </w:pPr>
      <w:r>
        <w:t>Desconectar e reconectar o USB durante uma tentativa; confirmar pausa, preservação das vidas e retomada sem gestos fantasmas.</w:t>
      </w:r>
    </w:p>
    <w:p>
      <w:pPr>
        <w:pStyle w:val="ListBullet"/>
      </w:pPr>
      <w:r>
        <w:t>Somente depois, avaliar usabilidade, conforto e adequação da tarefa com supervisão e autorização aplicáveis.</w:t>
      </w:r>
    </w:p>
    <w:p>
      <w:pPr>
        <w:pStyle w:val="Heading1"/>
      </w:pPr>
      <w:r>
        <w:t>6 Arquitetura e estado de verificação</w:t>
      </w:r>
    </w:p>
    <w:p>
      <w:r>
        <w:t>O fluxo técnico é MPU6050 → ESP32 → USB serial → SerialPedalSource → PedalFrame → PedalCounter → regras das fases → CampaignProgress → telas libGDX. CampaignGame controla menu, pausa, apresentações, transições, resultado e reinício. PhaseOneProgress, PhaseTwoProgress e PhaseThreeProgress aplicam as metas de cada etapa. MascotShield controla a proteção; BossIdleClock ativa a ameaça quando ELO permanece parado; ScenarioBackground, StageMotion, StageDecor e CombatVisuals mantêm cenário, câmera, objetos e disparos em movimento.</w:t>
      </w:r>
    </w:p>
    <w:p>
      <w:r>
        <w:t>A estrutura principal fica em prototipo_pedal/desktop/src/main/java/br/edu/recode; imagens em desktop/src/main/resources; firmware em firmware/recode_pedal. O desktop usa Java 17, libGDX e jSerialComm. Os modos de teclado e simulação seguem a mesma interface de entrada para testes, mas não substituem a prova com o dispositivo IoT exigida pelo projeto. A cópia local analisada não é um checkout Git; antes da entrega do jogo, é necessário conferir se as alterações recentes do código foram sincronizadas com a branch main.</w:t>
      </w:r>
    </w:p>
    <w:p>
      <w:r>
        <w:t>Na captura serial analisada em 27 de outubro houve 31.668 quadros JSON válidos, dos quais 30.438 (96,1%) informavam sensor_error; 503 estavam em calibrating e 727 em ok. O maior trecho contínuo em ok durou 33,3 segundos. Foram observados 13 incrementos de movement em quadros ok, com predominância de uma direção. Isso demonstra leitura intermitente, mas não valida o conjunto vestível. O contato sem solda é uma hipótese forte para a perda de I²C, a confirmar depois da montagem. O firmware foi compilado e a lógica do jogo passou por checagens automatizadas e visuais na cópia local; a execução contínua com hardware estável permanece pendente.</w:t>
      </w:r>
    </w:p>
    <w:p>
      <w:pPr>
        <w:pStyle w:val="Heading1"/>
      </w:pPr>
      <w:r>
        <w:t>7 Conclusão</w:t>
      </w:r>
    </w:p>
    <w:p>
      <w:r>
        <w:t>ReCode reúne narrativa, três fases e resposta direta a movimentos do antebraço em uma estrutura de jogo verificável. A fundamentação disponível justifica investigar jogos de movimento como apoio à prática orientada, sem autorizar afirmações de eficácia do projeto. A documentação final distingue o que já funciona no software do que ainda exige teste físico: solda, fixação, estabilidade I²C, calibração, direção, contagem, conforto e avaliação por profissionais. O próximo marco de conclusão técnica é uma sessão integral com o ESP32 e o MPU6050 montados de forma estável, registrada e comparada com gestos observados.</w:t>
      </w:r>
    </w:p>
    <w:p>
      <w:pPr>
        <w:pStyle w:val="Heading1"/>
      </w:pPr>
      <w:r>
        <w:t>Referências</w:t>
      </w:r>
    </w:p>
    <w:p>
      <w:pPr>
        <w:spacing w:after="100"/>
      </w:pPr>
      <w:r>
        <w:rPr>
          <w:sz w:val="18"/>
        </w:rPr>
        <w:t>[1] SUN, Y. et al. Effects of self directed game based virtual reality program on upper limb motor recovery in mild to moderate ischemic stroke: a randomized controlled trial. European Journal of Physical and Rehabilitation Medicine, 2026. DOI 10.23736/S1973-9087.25.09129-4. https://pmc.ncbi.nlm.nih.gov/articles/PMC13159033/</w:t>
      </w:r>
    </w:p>
    <w:p>
      <w:pPr>
        <w:spacing w:after="100"/>
      </w:pPr>
      <w:r>
        <w:rPr>
          <w:sz w:val="18"/>
        </w:rPr>
        <w:t>[2] ASE, H. et al. Effects of home based virtual reality upper extremity rehabilitation in persons with chronic stroke: a randomized controlled trial. Journal of NeuroEngineering and Rehabilitation, v. 22, art. 20, 2025. DOI 10.1186/s12984-025-01564-5. https://pmc.ncbi.nlm.nih.gov/articles/PMC11792398/</w:t>
      </w:r>
    </w:p>
    <w:p>
      <w:pPr>
        <w:spacing w:after="100"/>
      </w:pPr>
      <w:r>
        <w:rPr>
          <w:sz w:val="18"/>
        </w:rPr>
        <w:t>[3] TDK InvenSense. MPU 6000 and MPU 6050 Register Map and Descriptions. Rev. 4.2, 2013. https://invensense.tdk.com/wp-content/uploads/2015/02/MPU-6000-Register-Map1.pdf</w:t>
      </w:r>
    </w:p>
    <w:p>
      <w:pPr>
        <w:spacing w:after="100"/>
      </w:pPr>
      <w:r>
        <w:rPr>
          <w:sz w:val="18"/>
        </w:rPr>
        <w:t>[4] TDK InvenSense. MPU 6000 and MPU 6050 Product Specification. Rev. 3.4, 2013. https://invensense.tdk.com/wp-content/uploads/2015/02/MPU-6000-Datasheet.pdf</w:t>
      </w:r>
    </w:p>
    <w:p>
      <w:pPr>
        <w:spacing w:after="100"/>
      </w:pPr>
      <w:r>
        <w:rPr>
          <w:sz w:val="18"/>
        </w:rPr>
        <w:t>[5] Equipe ReCode. Game Design Document ReCode, versão 1.1, 13 out. 2026; Relatório de personagens de ReCode, out. 2026; Guia de compras e montagem do controle IoT, 15 out. 2026; Projeto Final Desenvolvimento de Jogo Sério para Reabilitação com IoT e libGDX. Documentos do projeto no repositório.</w:t>
      </w:r>
    </w:p>
    <w:p>
      <w:pPr>
        <w:spacing w:after="100"/>
      </w:pPr>
      <w:r>
        <w:rPr>
          <w:sz w:val="18"/>
        </w:rPr>
        <w:t>[6] Equipe ReCode. Código local de firmware e campanha libGDX; Análise da captura ESP32 + MPU6050, 27 out. 2026. Materiais de desenvolvimento consultados em 29 out. 2026.</w:t>
      </w:r>
    </w:p>
    <w:sectPr w:rsidR="00FC693F" w:rsidRPr="0006063C" w:rsidSect="00034616">
      <w:footerReference w:type="default" r:id="rId9"/>
      <w:pgSz w:w="11906" w:h="16838"/>
      <w:pgMar w:top="1276" w:right="1276" w:bottom="1162" w:left="138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F6976"/>
        <w:sz w:val="16"/>
      </w:rPr>
      <w:t xml:space="preserve">ReCode  |  Relatório final  |  </w:t>
    </w:r>
    <w:r>
      <w:rPr>
        <w:color w:val="5F6976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41B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00"/>
    </w:pPr>
    <w:rPr>
      <w:rFonts w:ascii="Aptos" w:hAnsi="Aptos"/>
      <w:b/>
      <w:bCs/>
      <w:i/>
      <w:color w:val="48526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do projeto ReCode</dc:title>
  <dc:subject>Jogo sério com ESP32, MPU6050 e libGDX</dc:subject>
  <dc:creator>Equipe ReCode</dc:creator>
  <cp:keywords>ReCode; libGDX; ESP32; MPU6050; reabilitação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