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72"/>
        <w:ind w:right="180" w:left="1180" w:hanging="1181"/>
        <w:jc w:val="center"/>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        </w:t>
      </w:r>
      <w:r>
        <w:rPr>
          <w:rFonts w:ascii="Times New Roman" w:hAnsi="Times New Roman" w:cs="Times New Roman" w:eastAsia="Times New Roman"/>
          <w:color w:val="auto"/>
          <w:spacing w:val="0"/>
          <w:position w:val="0"/>
          <w:sz w:val="27"/>
          <w:shd w:fill="auto" w:val="clear"/>
        </w:rPr>
        <w:t xml:space="preserve">МИНИСТЕРСТВО ОБРАЗОВАНИЯ И НАУКИ РОССИЙСКОЙ ФЕДЕРАЦИИ</w:t>
      </w:r>
    </w:p>
    <w:p>
      <w:pPr>
        <w:spacing w:before="0" w:after="0" w:line="372"/>
        <w:ind w:right="180" w:left="1180" w:hanging="1181"/>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Федеральное государственное автономное образовательное</w:t>
      </w:r>
    </w:p>
    <w:p>
      <w:pPr>
        <w:spacing w:before="0" w:after="0" w:line="348"/>
        <w:ind w:right="1900" w:left="1740" w:firstLine="97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учреждение высшего образования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Севастопольский государственный университет</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1"/>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ОТЧЕТ</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 лабораторной работе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4</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по дисциплине: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Теория электрических цепей</w:t>
      </w:r>
      <w:r>
        <w:rPr>
          <w:rFonts w:ascii="Times New Roman" w:hAnsi="Times New Roman" w:cs="Times New Roman" w:eastAsia="Times New Roman"/>
          <w:color w:val="auto"/>
          <w:spacing w:val="0"/>
          <w:position w:val="0"/>
          <w:sz w:val="28"/>
          <w:shd w:fill="auto" w:val="clear"/>
        </w:rPr>
        <w:t xml:space="preser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 w:after="200" w:line="276"/>
        <w:ind w:right="1296" w:left="1196"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ПЕРЕХОДНЫЕ ПРОЦЕССЫ В ИНДУКТИВНО-ЕМКОСТНЫХ ЦЕПЯХ С ИСТОЧНИКАМИ ПОСТОЯННОГО НАПРЯЖЕНИЯ. ИССЛЕДОВАНИЕ АПЕРИОДИЧЕСКИХ</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8"/>
          <w:shd w:fill="auto" w:val="clear"/>
        </w:rPr>
        <w:t xml:space="preserve">ПРОЦЕССОВ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72"/>
        <w:ind w:right="0" w:left="0" w:firstLine="0"/>
        <w:jc w:val="right"/>
        <w:rPr>
          <w:rFonts w:ascii="Times New Roman" w:hAnsi="Times New Roman" w:cs="Times New Roman" w:eastAsia="Times New Roman"/>
          <w:color w:val="auto"/>
          <w:spacing w:val="0"/>
          <w:position w:val="0"/>
          <w:sz w:val="24"/>
          <w:shd w:fill="auto" w:val="clear"/>
        </w:rPr>
      </w:pPr>
    </w:p>
    <w:p>
      <w:pPr>
        <w:spacing w:before="0" w:after="200" w:line="276"/>
        <w:ind w:right="0" w:left="553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Выполнил:</w:t>
      </w:r>
    </w:p>
    <w:p>
      <w:pPr>
        <w:spacing w:before="0" w:after="200" w:line="276"/>
        <w:ind w:right="0" w:left="553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ст.группы: ИВТ/б-21-0</w:t>
      </w:r>
    </w:p>
    <w:p>
      <w:pPr>
        <w:spacing w:before="0" w:after="200" w:line="276"/>
        <w:ind w:right="0" w:left="553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Козлитин И.О.</w:t>
      </w:r>
    </w:p>
    <w:p>
      <w:pPr>
        <w:spacing w:before="0" w:after="200" w:line="276"/>
        <w:ind w:right="0" w:left="553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Проверил:</w:t>
      </w:r>
    </w:p>
    <w:p>
      <w:pPr>
        <w:spacing w:before="0" w:after="200" w:line="276"/>
        <w:ind w:right="0" w:left="5538"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Татурин В.А.</w:t>
      </w: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5060"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Севастополь</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2017</w:t>
      </w:r>
    </w:p>
    <w:p>
      <w:pPr>
        <w:spacing w:before="0" w:after="0" w:line="240"/>
        <w:ind w:right="0" w:left="0" w:firstLine="0"/>
        <w:jc w:val="center"/>
        <w:rPr>
          <w:rFonts w:ascii="Times New Roman" w:hAnsi="Times New Roman" w:cs="Times New Roman" w:eastAsia="Times New Roman"/>
          <w:color w:val="auto"/>
          <w:spacing w:val="0"/>
          <w:position w:val="0"/>
          <w:sz w:val="28"/>
          <w:shd w:fill="auto" w:val="clear"/>
        </w:rPr>
      </w:pPr>
    </w:p>
    <w:p>
      <w:pPr>
        <w:keepNext w:val="true"/>
        <w:keepLines w:val="true"/>
        <w:numPr>
          <w:ilvl w:val="0"/>
          <w:numId w:val="17"/>
        </w:numPr>
        <w:spacing w:before="480" w:after="0" w:line="276"/>
        <w:ind w:right="0" w:left="720" w:hanging="36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ЦЕЛЬ РАБОТЫ</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40"/>
        <w:ind w:right="323" w:left="230"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Выполнение лабораторной работы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Переходные процессы в       индуктивно-емкостных  цепях с источниками постоянного напряжения. Исследование апериодических процессов</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имеет своей целью формирование у студентов практических навыков работы с простейшими электрическими цепями и их моделями. В данной работе изучаются:</w:t>
      </w:r>
    </w:p>
    <w:p>
      <w:pPr>
        <w:numPr>
          <w:ilvl w:val="0"/>
          <w:numId w:val="20"/>
        </w:numPr>
        <w:tabs>
          <w:tab w:val="left" w:pos="822" w:leader="none"/>
        </w:tabs>
        <w:spacing w:before="0" w:after="0" w:line="242"/>
        <w:ind w:right="345" w:left="230"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апериодические переходные процессы заряда конденсатора через резистор и катушку индуктивности от источника постоянного</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напряжения;</w:t>
      </w:r>
    </w:p>
    <w:p>
      <w:pPr>
        <w:numPr>
          <w:ilvl w:val="0"/>
          <w:numId w:val="20"/>
        </w:numPr>
        <w:tabs>
          <w:tab w:val="left" w:pos="844" w:leader="none"/>
        </w:tabs>
        <w:spacing w:before="0" w:after="0" w:line="242"/>
        <w:ind w:right="320" w:left="230"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влияние величины сопротивления резистора, емкости конденсатора и </w:t>
      </w:r>
      <w:r>
        <w:rPr>
          <w:rFonts w:ascii="Times New Roman" w:hAnsi="Times New Roman" w:cs="Times New Roman" w:eastAsia="Times New Roman"/>
          <w:color w:val="auto"/>
          <w:spacing w:val="8"/>
          <w:position w:val="0"/>
          <w:sz w:val="28"/>
          <w:shd w:fill="auto" w:val="clear"/>
        </w:rPr>
        <w:t xml:space="preserve">ин</w:t>
      </w:r>
      <w:r>
        <w:rPr>
          <w:rFonts w:ascii="Times New Roman" w:hAnsi="Times New Roman" w:cs="Times New Roman" w:eastAsia="Times New Roman"/>
          <w:color w:val="auto"/>
          <w:spacing w:val="0"/>
          <w:position w:val="0"/>
          <w:sz w:val="28"/>
          <w:shd w:fill="auto" w:val="clear"/>
        </w:rPr>
        <w:t xml:space="preserve">дуктивности катушки на параметры переходных</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процессов.</w:t>
      </w:r>
    </w:p>
    <w:p>
      <w:pPr>
        <w:spacing w:before="8" w:after="0" w:line="240"/>
        <w:ind w:right="0" w:left="0" w:firstLine="0"/>
        <w:jc w:val="left"/>
        <w:rPr>
          <w:rFonts w:ascii="Times New Roman" w:hAnsi="Times New Roman" w:cs="Times New Roman" w:eastAsia="Times New Roman"/>
          <w:color w:val="auto"/>
          <w:spacing w:val="0"/>
          <w:position w:val="0"/>
          <w:sz w:val="27"/>
          <w:shd w:fill="auto" w:val="clear"/>
        </w:rPr>
      </w:pPr>
    </w:p>
    <w:p>
      <w:pPr>
        <w:spacing w:before="4"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auto"/>
          <w:spacing w:val="0"/>
          <w:position w:val="0"/>
          <w:sz w:val="28"/>
          <w:shd w:fill="auto" w:val="clear"/>
        </w:rPr>
        <w:t xml:space="preserve">ХОД РАБОТЫ</w:t>
      </w:r>
    </w:p>
    <w:p>
      <w:pPr>
        <w:spacing w:before="9" w:after="0" w:line="240"/>
        <w:ind w:right="0" w:left="0" w:firstLine="0"/>
        <w:jc w:val="left"/>
        <w:rPr>
          <w:rFonts w:ascii="Times New Roman" w:hAnsi="Times New Roman" w:cs="Times New Roman" w:eastAsia="Times New Roman"/>
          <w:color w:val="auto"/>
          <w:spacing w:val="0"/>
          <w:position w:val="0"/>
          <w:sz w:val="27"/>
          <w:shd w:fill="auto" w:val="clear"/>
        </w:rPr>
      </w:pPr>
    </w:p>
    <w:p>
      <w:pPr>
        <w:numPr>
          <w:ilvl w:val="0"/>
          <w:numId w:val="25"/>
        </w:numPr>
        <w:tabs>
          <w:tab w:val="left" w:pos="1167" w:leader="none"/>
        </w:tabs>
        <w:spacing w:before="0" w:after="0" w:line="242"/>
        <w:ind w:right="323" w:left="230"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5"/>
          <w:position w:val="0"/>
          <w:sz w:val="28"/>
          <w:shd w:fill="auto" w:val="clear"/>
        </w:rPr>
        <w:t xml:space="preserve">На </w:t>
      </w:r>
      <w:r>
        <w:rPr>
          <w:rFonts w:ascii="Times New Roman" w:hAnsi="Times New Roman" w:cs="Times New Roman" w:eastAsia="Times New Roman"/>
          <w:color w:val="auto"/>
          <w:spacing w:val="0"/>
          <w:position w:val="0"/>
          <w:sz w:val="28"/>
          <w:shd w:fill="auto" w:val="clear"/>
        </w:rPr>
        <w:t xml:space="preserve">рисунке 1 приведена схема, в которой происходит переходный </w:t>
      </w:r>
      <w:r>
        <w:rPr>
          <w:rFonts w:ascii="Times New Roman" w:hAnsi="Times New Roman" w:cs="Times New Roman" w:eastAsia="Times New Roman"/>
          <w:color w:val="auto"/>
          <w:spacing w:val="3"/>
          <w:position w:val="0"/>
          <w:sz w:val="28"/>
          <w:shd w:fill="auto" w:val="clear"/>
        </w:rPr>
        <w:t xml:space="preserve">про</w:t>
      </w:r>
      <w:r>
        <w:rPr>
          <w:rFonts w:ascii="Times New Roman" w:hAnsi="Times New Roman" w:cs="Times New Roman" w:eastAsia="Times New Roman"/>
          <w:color w:val="auto"/>
          <w:spacing w:val="0"/>
          <w:position w:val="0"/>
          <w:sz w:val="28"/>
          <w:shd w:fill="auto" w:val="clear"/>
        </w:rPr>
        <w:t xml:space="preserve">цесс заряда конденсатора С через резистор r и катушку индуктивности L от </w:t>
      </w:r>
      <w:r>
        <w:rPr>
          <w:rFonts w:ascii="Times New Roman" w:hAnsi="Times New Roman" w:cs="Times New Roman" w:eastAsia="Times New Roman"/>
          <w:color w:val="auto"/>
          <w:spacing w:val="6"/>
          <w:position w:val="0"/>
          <w:sz w:val="28"/>
          <w:shd w:fill="auto" w:val="clear"/>
        </w:rPr>
        <w:t xml:space="preserve">ис</w:t>
      </w:r>
      <w:r>
        <w:rPr>
          <w:rFonts w:ascii="Times New Roman" w:hAnsi="Times New Roman" w:cs="Times New Roman" w:eastAsia="Times New Roman"/>
          <w:color w:val="auto"/>
          <w:spacing w:val="0"/>
          <w:position w:val="0"/>
          <w:sz w:val="28"/>
          <w:shd w:fill="auto" w:val="clear"/>
        </w:rPr>
        <w:t xml:space="preserve">точника постоянного напряжения</w:t>
      </w:r>
      <w:r>
        <w:rPr>
          <w:rFonts w:ascii="Times New Roman" w:hAnsi="Times New Roman" w:cs="Times New Roman" w:eastAsia="Times New Roman"/>
          <w:color w:val="auto"/>
          <w:spacing w:val="-3"/>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Е.</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6235" w:dyaOrig="2145">
          <v:rect xmlns:o="urn:schemas-microsoft-com:office:office" xmlns:v="urn:schemas-microsoft-com:vml" id="rectole0000000000" style="width:311.750000pt;height:107.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64" w:after="0" w:line="240"/>
        <w:ind w:right="0" w:left="1484" w:firstLine="0"/>
        <w:jc w:val="left"/>
        <w:rPr>
          <w:rFonts w:ascii="Times New Roman" w:hAnsi="Times New Roman" w:cs="Times New Roman" w:eastAsia="Times New Roman"/>
          <w:color w:val="auto"/>
          <w:spacing w:val="0"/>
          <w:position w:val="0"/>
          <w:sz w:val="28"/>
          <w:shd w:fill="auto" w:val="clear"/>
        </w:rPr>
      </w:pPr>
    </w:p>
    <w:p>
      <w:pPr>
        <w:spacing w:before="264" w:after="0" w:line="240"/>
        <w:ind w:right="0" w:left="148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1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Схема включения конденсатора через резистор</w:t>
      </w:r>
    </w:p>
    <w:p>
      <w:pPr>
        <w:spacing w:before="2" w:after="0" w:line="240"/>
        <w:ind w:right="0" w:left="1189"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 катушку индуктивности к источнику постоянного напряжения</w:t>
      </w:r>
    </w:p>
    <w:p>
      <w:pPr>
        <w:spacing w:before="0" w:after="0" w:line="240"/>
        <w:ind w:right="0" w:left="0" w:firstLine="0"/>
        <w:jc w:val="left"/>
        <w:rPr>
          <w:rFonts w:ascii="Times New Roman" w:hAnsi="Times New Roman" w:cs="Times New Roman" w:eastAsia="Times New Roman"/>
          <w:color w:val="auto"/>
          <w:spacing w:val="0"/>
          <w:position w:val="0"/>
          <w:sz w:val="30"/>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5"/>
          <w:shd w:fill="auto" w:val="clear"/>
        </w:rPr>
      </w:pPr>
    </w:p>
    <w:p>
      <w:pPr>
        <w:spacing w:before="11" w:after="0" w:line="240"/>
        <w:ind w:right="0" w:left="0" w:firstLine="0"/>
        <w:jc w:val="left"/>
        <w:rPr>
          <w:rFonts w:ascii="Times New Roman" w:hAnsi="Times New Roman" w:cs="Times New Roman" w:eastAsia="Times New Roman"/>
          <w:color w:val="auto"/>
          <w:spacing w:val="0"/>
          <w:position w:val="0"/>
          <w:sz w:val="25"/>
          <w:shd w:fill="auto" w:val="clear"/>
        </w:rPr>
      </w:pPr>
    </w:p>
    <w:p>
      <w:pPr>
        <w:numPr>
          <w:ilvl w:val="0"/>
          <w:numId w:val="31"/>
        </w:numPr>
        <w:tabs>
          <w:tab w:val="left" w:pos="1159" w:leader="none"/>
        </w:tabs>
        <w:spacing w:before="0" w:after="0" w:line="242"/>
        <w:ind w:right="347" w:left="230" w:firstLine="426"/>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3"/>
          <w:position w:val="0"/>
          <w:sz w:val="28"/>
          <w:shd w:fill="auto" w:val="clear"/>
        </w:rPr>
        <w:t xml:space="preserve">Переходный </w:t>
      </w:r>
      <w:r>
        <w:rPr>
          <w:rFonts w:ascii="Times New Roman" w:hAnsi="Times New Roman" w:cs="Times New Roman" w:eastAsia="Times New Roman"/>
          <w:color w:val="auto"/>
          <w:spacing w:val="0"/>
          <w:position w:val="0"/>
          <w:sz w:val="28"/>
          <w:shd w:fill="auto" w:val="clear"/>
        </w:rPr>
        <w:t xml:space="preserve">процесс начинается в момент времени t = 0 при замыкании выключателя S1.</w:t>
      </w:r>
    </w:p>
    <w:p>
      <w:pPr>
        <w:numPr>
          <w:ilvl w:val="0"/>
          <w:numId w:val="31"/>
        </w:numPr>
        <w:tabs>
          <w:tab w:val="left" w:pos="1159" w:leader="none"/>
        </w:tabs>
        <w:spacing w:before="0" w:after="0" w:line="242"/>
        <w:ind w:right="347" w:left="230" w:firstLine="426"/>
        <w:jc w:val="both"/>
        <w:rPr>
          <w:rFonts w:ascii="Times New Roman" w:hAnsi="Times New Roman" w:cs="Times New Roman" w:eastAsia="Times New Roman"/>
          <w:color w:val="auto"/>
          <w:spacing w:val="0"/>
          <w:position w:val="0"/>
          <w:sz w:val="28"/>
          <w:shd w:fill="auto" w:val="clear"/>
        </w:rPr>
      </w:pPr>
    </w:p>
    <w:p>
      <w:pPr>
        <w:spacing w:before="0" w:after="0" w:line="318"/>
        <w:ind w:right="0" w:left="65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Запишем уравнение цепи, используя второй закон Кирхгофа:</w:t>
      </w:r>
    </w:p>
    <w:p>
      <w:pPr>
        <w:tabs>
          <w:tab w:val="left" w:pos="8876" w:leader="none"/>
        </w:tabs>
        <w:spacing w:before="0" w:after="0" w:line="319"/>
        <w:ind w:right="0" w:left="656"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w:t>
      </w:r>
      <w:r>
        <w:rPr>
          <w:rFonts w:ascii="Times New Roman" w:hAnsi="Times New Roman" w:cs="Times New Roman" w:eastAsia="Times New Roman"/>
          <w:color w:val="auto"/>
          <w:spacing w:val="0"/>
          <w:position w:val="0"/>
          <w:sz w:val="28"/>
          <w:shd w:fill="auto" w:val="clear"/>
          <w:vertAlign w:val="subscript"/>
        </w:rPr>
        <w:t xml:space="preserve">L</w:t>
      </w:r>
      <w:r>
        <w:rPr>
          <w:rFonts w:ascii="Times New Roman" w:hAnsi="Times New Roman" w:cs="Times New Roman" w:eastAsia="Times New Roman"/>
          <w:color w:val="auto"/>
          <w:spacing w:val="0"/>
          <w:position w:val="0"/>
          <w:sz w:val="28"/>
          <w:shd w:fill="auto" w:val="clear"/>
        </w:rPr>
        <w:t xml:space="preserve"> + ri + u</w:t>
      </w:r>
      <w:r>
        <w:rPr>
          <w:rFonts w:ascii="Times New Roman" w:hAnsi="Times New Roman" w:cs="Times New Roman" w:eastAsia="Times New Roman"/>
          <w:color w:val="auto"/>
          <w:spacing w:val="0"/>
          <w:position w:val="0"/>
          <w:sz w:val="28"/>
          <w:shd w:fill="auto" w:val="clear"/>
          <w:vertAlign w:val="subscript"/>
        </w:rPr>
        <w:t xml:space="preserve">С</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6"/>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E.</w:t>
        <w:tab/>
        <w:t xml:space="preserve">(1)</w:t>
      </w:r>
    </w:p>
    <w:p>
      <w:pPr>
        <w:spacing w:before="0" w:after="200" w:line="319"/>
        <w:ind w:right="0" w:left="0" w:firstLine="0"/>
        <w:jc w:val="left"/>
        <w:rPr>
          <w:rFonts w:ascii="Calibri" w:hAnsi="Calibri" w:cs="Calibri" w:eastAsia="Calibri"/>
          <w:color w:val="auto"/>
          <w:spacing w:val="0"/>
          <w:position w:val="0"/>
          <w:sz w:val="22"/>
          <w:shd w:fill="auto" w:val="clear"/>
        </w:rPr>
      </w:pPr>
      <w:r>
        <w:object w:dxaOrig="9801" w:dyaOrig="4263">
          <v:rect xmlns:o="urn:schemas-microsoft-com:office:office" xmlns:v="urn:schemas-microsoft-com:vml" id="rectole0000000001" style="width:490.050000pt;height:213.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19"/>
        <w:ind w:right="0" w:left="0" w:firstLine="0"/>
        <w:jc w:val="left"/>
        <w:rPr>
          <w:rFonts w:ascii="Calibri" w:hAnsi="Calibri" w:cs="Calibri" w:eastAsia="Calibri"/>
          <w:color w:val="auto"/>
          <w:spacing w:val="0"/>
          <w:position w:val="0"/>
          <w:sz w:val="22"/>
          <w:shd w:fill="auto" w:val="clear"/>
        </w:rPr>
      </w:pPr>
    </w:p>
    <w:p>
      <w:pPr>
        <w:spacing w:before="0" w:after="200" w:line="319"/>
        <w:ind w:right="0" w:left="0" w:firstLine="0"/>
        <w:jc w:val="left"/>
        <w:rPr>
          <w:rFonts w:ascii="Calibri" w:hAnsi="Calibri" w:cs="Calibri" w:eastAsia="Calibri"/>
          <w:color w:val="auto"/>
          <w:spacing w:val="0"/>
          <w:position w:val="0"/>
          <w:sz w:val="22"/>
          <w:shd w:fill="auto" w:val="clear"/>
        </w:rPr>
      </w:pPr>
      <w:r>
        <w:object w:dxaOrig="9801" w:dyaOrig="4263">
          <v:rect xmlns:o="urn:schemas-microsoft-com:office:office" xmlns:v="urn:schemas-microsoft-com:vml" id="rectole0000000002" style="width:490.050000pt;height:213.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10526" w:dyaOrig="4579">
          <v:rect xmlns:o="urn:schemas-microsoft-com:office:office" xmlns:v="urn:schemas-microsoft-com:vml" id="rectole0000000003" style="width:526.300000pt;height:228.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Запишем условие критического переходного процесса, при котором корни характеристического уравнения кратные: </w: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object w:dxaOrig="8798" w:dyaOrig="374">
          <v:rect xmlns:o="urn:schemas-microsoft-com:office:office" xmlns:v="urn:schemas-microsoft-com:vml" id="rectole0000000004" style="width:439.900000pt;height:18.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Откуда можно найти критические значения параметров цепи, например, сопротивление r</w:t>
      </w:r>
      <w:r>
        <w:rPr>
          <w:rFonts w:ascii="Times New Roman" w:hAnsi="Times New Roman" w:cs="Times New Roman" w:eastAsia="Times New Roman"/>
          <w:color w:val="auto"/>
          <w:spacing w:val="0"/>
          <w:position w:val="0"/>
          <w:sz w:val="28"/>
          <w:shd w:fill="auto" w:val="clear"/>
          <w:vertAlign w:val="subscript"/>
        </w:rPr>
        <w:t xml:space="preserve">кр</w:t>
      </w:r>
      <w:r>
        <w:rPr>
          <w:rFonts w:ascii="Times New Roman" w:hAnsi="Times New Roman" w:cs="Times New Roman" w:eastAsia="Times New Roman"/>
          <w:color w:val="auto"/>
          <w:spacing w:val="0"/>
          <w:position w:val="0"/>
          <w:sz w:val="28"/>
          <w:shd w:fill="auto" w:val="clear"/>
        </w:rPr>
        <w:t xml:space="preserve">:</w:t>
      </w:r>
    </w:p>
    <w:p>
      <w:pPr>
        <w:spacing w:before="0" w:after="200" w:line="240"/>
        <w:ind w:right="0" w:left="0" w:firstLine="0"/>
        <w:jc w:val="center"/>
        <w:rPr>
          <w:rFonts w:ascii="Times New Roman" w:hAnsi="Times New Roman" w:cs="Times New Roman" w:eastAsia="Times New Roman"/>
          <w:color w:val="auto"/>
          <w:spacing w:val="0"/>
          <w:position w:val="0"/>
          <w:sz w:val="28"/>
          <w:shd w:fill="auto" w:val="clear"/>
        </w:rPr>
      </w:pPr>
      <w:r>
        <w:object w:dxaOrig="3052" w:dyaOrig="763">
          <v:rect xmlns:o="urn:schemas-microsoft-com:office:office" xmlns:v="urn:schemas-microsoft-com:vml" id="rectole0000000005" style="width:152.600000pt;height:3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2.3. </w:t>
      </w:r>
      <w:r>
        <w:rPr>
          <w:rFonts w:ascii="Times New Roman" w:hAnsi="Times New Roman" w:cs="Times New Roman" w:eastAsia="Times New Roman"/>
          <w:color w:val="auto"/>
          <w:spacing w:val="0"/>
          <w:position w:val="0"/>
          <w:sz w:val="28"/>
          <w:shd w:fill="auto" w:val="clear"/>
        </w:rPr>
        <w:t xml:space="preserve">Апериодический переходный процесс.  </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object w:dxaOrig="10353" w:dyaOrig="4579">
          <v:rect xmlns:o="urn:schemas-microsoft-com:office:office" xmlns:v="urn:schemas-microsoft-com:vml" id="rectole0000000006" style="width:517.650000pt;height:228.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Из выражения (8) следует, что для вещественных различных корней ток i(t), как и напряжение u</w:t>
      </w:r>
      <w:r>
        <w:rPr>
          <w:rFonts w:ascii="Times New Roman" w:hAnsi="Times New Roman" w:cs="Times New Roman" w:eastAsia="Times New Roman"/>
          <w:color w:val="auto"/>
          <w:spacing w:val="0"/>
          <w:position w:val="0"/>
          <w:sz w:val="28"/>
          <w:shd w:fill="auto" w:val="clear"/>
          <w:vertAlign w:val="subscript"/>
        </w:rPr>
        <w:t xml:space="preserve">С</w:t>
      </w:r>
      <w:r>
        <w:rPr>
          <w:rFonts w:ascii="Times New Roman" w:hAnsi="Times New Roman" w:cs="Times New Roman" w:eastAsia="Times New Roman"/>
          <w:color w:val="auto"/>
          <w:spacing w:val="0"/>
          <w:position w:val="0"/>
          <w:sz w:val="28"/>
          <w:shd w:fill="auto" w:val="clear"/>
        </w:rPr>
        <w:t xml:space="preserve">(t), изменяется по апериодическому закону. </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рисунке 2 приведены графики апериодического переходного процесса. </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w:t>
      </w:r>
      <w:r>
        <w:rPr>
          <w:rFonts w:ascii="Times New Roman" w:hAnsi="Times New Roman" w:cs="Times New Roman" w:eastAsia="Times New Roman"/>
          <w:color w:val="auto"/>
          <w:spacing w:val="0"/>
          <w:position w:val="0"/>
          <w:sz w:val="28"/>
          <w:shd w:fill="auto" w:val="clear"/>
        </w:rPr>
        <w:t xml:space="preserve">а Критический переходный процесс </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object w:dxaOrig="8980" w:dyaOrig="5918">
          <v:rect xmlns:o="urn:schemas-microsoft-com:office:office" xmlns:v="urn:schemas-microsoft-com:vml" id="rectole0000000007" style="width:449.000000pt;height:295.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Рисунок 2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Апериодический переходный процесс. Временные диаграммы  напряжения и тока</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 рисунке 3 приведены графики критического переходного процесса для напряжения u</w:t>
      </w:r>
      <w:r>
        <w:rPr>
          <w:rFonts w:ascii="Times New Roman" w:hAnsi="Times New Roman" w:cs="Times New Roman" w:eastAsia="Times New Roman"/>
          <w:color w:val="auto"/>
          <w:spacing w:val="0"/>
          <w:position w:val="0"/>
          <w:sz w:val="28"/>
          <w:shd w:fill="auto" w:val="clear"/>
          <w:vertAlign w:val="subscript"/>
        </w:rPr>
        <w:t xml:space="preserve">С</w:t>
      </w:r>
      <w:r>
        <w:rPr>
          <w:rFonts w:ascii="Times New Roman" w:hAnsi="Times New Roman" w:cs="Times New Roman" w:eastAsia="Times New Roman"/>
          <w:color w:val="auto"/>
          <w:spacing w:val="0"/>
          <w:position w:val="0"/>
          <w:sz w:val="28"/>
          <w:shd w:fill="auto" w:val="clear"/>
        </w:rPr>
        <w:t xml:space="preserve">(t) и тока i(t). Вид графиков позволяет считать критический процесс как частный случай апериодического процесса.  </w: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object w:dxaOrig="8265" w:dyaOrig="4219">
          <v:rect xmlns:o="urn:schemas-microsoft-com:office:office" xmlns:v="urn:schemas-microsoft-com:vml" id="rectole0000000008" style="width:413.250000pt;height:210.9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2.4.</w:t>
      </w:r>
      <w:r>
        <w:rPr>
          <w:rFonts w:ascii="Times New Roman" w:hAnsi="Times New Roman" w:cs="Times New Roman" w:eastAsia="Times New Roman"/>
          <w:color w:val="auto"/>
          <w:spacing w:val="0"/>
          <w:position w:val="0"/>
          <w:sz w:val="28"/>
          <w:shd w:fill="auto" w:val="clear"/>
        </w:rPr>
        <w:t xml:space="preserve">б Колебательный переходный процесс</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8980" w:dyaOrig="4389">
          <v:rect xmlns:o="urn:schemas-microsoft-com:office:office" xmlns:v="urn:schemas-microsoft-com:vml" id="rectole0000000009" style="width:449.000000pt;height:219.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object w:dxaOrig="8222" w:dyaOrig="5990">
          <v:rect xmlns:o="urn:schemas-microsoft-com:office:office" xmlns:v="urn:schemas-microsoft-com:vml" id="rectole0000000010" style="width:411.100000pt;height:299.5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2.5. </w:t>
      </w:r>
      <w:r>
        <w:rPr>
          <w:rFonts w:ascii="Times New Roman" w:hAnsi="Times New Roman" w:cs="Times New Roman" w:eastAsia="Times New Roman"/>
          <w:color w:val="auto"/>
          <w:spacing w:val="0"/>
          <w:position w:val="0"/>
          <w:sz w:val="28"/>
          <w:shd w:fill="auto" w:val="clear"/>
        </w:rPr>
        <w:t xml:space="preserve">Как видно из рассмотренных примеров, переходные процессы в линейных электрических цепях с сосредоточенными параметрами описываются системами интегро-дифференциальных уравнений с постоянными коэффициентами. Наиболее просто такие системы решаются операторным методом, который основан на применении прямого и обратного преобразований Лапласа. В этом случае исходная система уравнений относительно оригиналов (функций времени) заменяется по определенным правилам (на основании прямого преобразования Лапласа) системой алгебраических уравнений относительно их изображений. При этом учитываются начальные значения самой функции, ее производных  и  интегралов  (учет  начальных  условий).  Затем решается  полученная система  алгебраических  уравнений  и  определяются  изображения  искомых функций. По найденным изображениям, при помощи обратного преобразования Лапласа (например, по таблице оригиналов и изображений, или по теореме разложения), определяются оригиналы, то есть искомые функции времени. В результате применения преобразования Лапласа отпадает необходимость вычисления постоянных интегрирования по начальным  условиям, так как их учет  осуществляется  при  переходе  от  системы  интегро-дифференциальных уравнений к системе алгебраических уравнений. </w:t>
      </w:r>
    </w:p>
    <w:p>
      <w:pPr>
        <w:spacing w:before="0" w:after="200" w:line="276"/>
        <w:ind w:right="0" w:left="0" w:firstLine="0"/>
        <w:jc w:val="both"/>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both"/>
        <w:rPr>
          <w:rFonts w:ascii="Times New Roman" w:hAnsi="Times New Roman" w:cs="Times New Roman" w:eastAsia="Times New Roman"/>
          <w:color w:val="auto"/>
          <w:spacing w:val="0"/>
          <w:position w:val="0"/>
          <w:sz w:val="28"/>
          <w:shd w:fill="auto" w:val="clear"/>
        </w:rPr>
      </w:pPr>
      <w:r>
        <w:object w:dxaOrig="8980" w:dyaOrig="4348">
          <v:rect xmlns:o="urn:schemas-microsoft-com:office:office" xmlns:v="urn:schemas-microsoft-com:vml" id="rectole0000000011" style="width:449.000000pt;height:217.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ВЫВОД</w:t>
      </w:r>
    </w:p>
    <w:p>
      <w:pPr>
        <w:spacing w:before="0" w:after="0" w:line="240"/>
        <w:ind w:right="331" w:left="230" w:firstLine="425"/>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Были приобретены практические навыки работы с простейшими электрическими цепями и их моделями. Были изучены апериодические переходные процессы заряда конденсатора через резистор и катушку индуктивности от источника постоянного</w:t>
      </w:r>
      <w:r>
        <w:rPr>
          <w:rFonts w:ascii="Times New Roman" w:hAnsi="Times New Roman" w:cs="Times New Roman" w:eastAsia="Times New Roman"/>
          <w:color w:val="auto"/>
          <w:spacing w:val="-14"/>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напряжения; влияние величины сопротивления резистора, емкости конденсатора и </w:t>
      </w:r>
      <w:r>
        <w:rPr>
          <w:rFonts w:ascii="Times New Roman" w:hAnsi="Times New Roman" w:cs="Times New Roman" w:eastAsia="Times New Roman"/>
          <w:color w:val="auto"/>
          <w:spacing w:val="8"/>
          <w:position w:val="0"/>
          <w:sz w:val="28"/>
          <w:shd w:fill="auto" w:val="clear"/>
        </w:rPr>
        <w:t xml:space="preserve">ин</w:t>
      </w:r>
      <w:r>
        <w:rPr>
          <w:rFonts w:ascii="Times New Roman" w:hAnsi="Times New Roman" w:cs="Times New Roman" w:eastAsia="Times New Roman"/>
          <w:color w:val="auto"/>
          <w:spacing w:val="0"/>
          <w:position w:val="0"/>
          <w:sz w:val="28"/>
          <w:shd w:fill="auto" w:val="clear"/>
        </w:rPr>
        <w:t xml:space="preserve">дуктивности катушки на параметры переходных</w:t>
      </w:r>
      <w:r>
        <w:rPr>
          <w:rFonts w:ascii="Times New Roman" w:hAnsi="Times New Roman" w:cs="Times New Roman" w:eastAsia="Times New Roman"/>
          <w:color w:val="auto"/>
          <w:spacing w:val="-5"/>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процессов.</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7">
    <w:abstractNumId w:val="18"/>
  </w:num>
  <w:num w:numId="20">
    <w:abstractNumId w:val="12"/>
  </w:num>
  <w:num w:numId="25">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