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16" w:type="dxa"/>
        <w:jc w:val="left"/>
        <w:tblInd w:w="0" w:type="dxa"/>
        <w:tblBorders/>
        <w:tblCellMar>
          <w:top w:w="60" w:type="dxa"/>
          <w:left w:w="80" w:type="dxa"/>
          <w:bottom w:w="60" w:type="dxa"/>
          <w:right w:w="80" w:type="dxa"/>
        </w:tblCellMar>
      </w:tblPr>
      <w:tblGrid>
        <w:gridCol w:w="10716"/>
      </w:tblGrid>
      <w:tr>
        <w:trPr>
          <w:trHeight w:val="3031" w:hRule="exact"/>
        </w:trPr>
        <w:tc>
          <w:tcPr>
            <w:tcW w:w="10716" w:type="dxa"/>
            <w:tcBorders/>
            <w:shd w:fill="auto" w:val="clear"/>
          </w:tcPr>
          <w:p>
            <w:pPr>
              <w:pStyle w:val="ConsPlusTitlePage"/>
              <w:tabs>
                <w:tab w:val="clear" w:pos="720"/>
              </w:tabs>
              <w:ind w:left="0" w:hanging="0"/>
              <w:jc w:val="left"/>
              <w:rPr/>
            </w:pPr>
            <w:r>
              <w:rPr/>
              <w:drawing>
                <wp:inline distT="0" distB="0" distL="0" distR="0">
                  <wp:extent cx="3810000" cy="90487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c>
          <w:tcPr>
            <w:tcW w:w="10716" w:type="dxa"/>
            <w:tcBorders/>
            <w:shd w:fill="auto" w:val="clear"/>
            <w:vAlign w:val="center"/>
          </w:tcPr>
          <w:p>
            <w:pPr>
              <w:pStyle w:val="ConsPlusTitlePage"/>
              <w:tabs>
                <w:tab w:val="clear" w:pos="720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sz w:val="48"/>
              </w:rPr>
              <w:t>"ТОИ Р-45-084-01. Типовая инструкция по охране труда при работе на персональном компьютере"</w:t>
            </w:r>
            <w:r>
              <w:rPr/>
              <w:br/>
            </w:r>
            <w:r>
              <w:rPr>
                <w:sz w:val="48"/>
              </w:rPr>
              <w:t>(утв. Приказом Минсвязи РФ от 02.07.2001 N 162)</w:t>
            </w:r>
          </w:p>
        </w:tc>
      </w:tr>
      <w:tr>
        <w:trPr>
          <w:trHeight w:val="3031" w:hRule="exact"/>
        </w:trPr>
        <w:tc>
          <w:tcPr>
            <w:tcW w:w="10716" w:type="dxa"/>
            <w:tcBorders/>
            <w:shd w:fill="auto" w:val="clear"/>
            <w:vAlign w:val="center"/>
          </w:tcPr>
          <w:p>
            <w:pPr>
              <w:pStyle w:val="ConsPlusTitlePage"/>
              <w:tabs>
                <w:tab w:val="clear" w:pos="720"/>
              </w:tabs>
              <w:ind w:left="0" w:hanging="0"/>
              <w:jc w:val="center"/>
              <w:rPr/>
            </w:pPr>
            <w:r>
              <w:rPr>
                <w:sz w:val="28"/>
              </w:rPr>
              <w:t xml:space="preserve">Документ предоставлен </w:t>
            </w:r>
            <w:hyperlink r:id="rId3">
              <w:r>
                <w:rPr>
                  <w:rStyle w:val="ListLabel2"/>
                  <w:b/>
                  <w:color w:val="0000FF"/>
                  <w:sz w:val="28"/>
                </w:rPr>
                <w:t>КонсультантПлюс</w:t>
              </w:r>
              <w:r>
                <w:rPr>
                  <w:rStyle w:val="ListLabel2"/>
                </w:rPr>
                <w:br/>
                <w:br/>
              </w:r>
            </w:hyperlink>
            <w:hyperlink r:id="rId4">
              <w:r>
                <w:rPr>
                  <w:rStyle w:val="ListLabel1"/>
                  <w:b/>
                  <w:color w:val="0000FF"/>
                  <w:sz w:val="28"/>
                </w:rPr>
                <w:t>www.consultant.ru</w:t>
              </w:r>
            </w:hyperlink>
            <w:r>
              <w:rPr/>
              <w:br/>
              <w:br/>
            </w:r>
            <w:r>
              <w:rPr>
                <w:sz w:val="28"/>
              </w:rPr>
              <w:t>Дата сохранения: 19.04.2020</w:t>
            </w:r>
            <w:r>
              <w:rPr/>
              <w:br/>
            </w:r>
            <w:r>
              <w:rPr>
                <w:sz w:val="28"/>
              </w:rPr>
              <w:t> </w:t>
            </w:r>
          </w:p>
        </w:tc>
      </w:tr>
    </w:tbl>
    <w:p>
      <w:pPr>
        <w:sectPr>
          <w:type w:val="nextPage"/>
          <w:pgSz w:w="11906" w:h="16838"/>
          <w:pgMar w:left="595" w:right="595" w:header="0" w:top="841" w:footer="0" w:bottom="841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ConsPlusNormal"/>
        <w:numPr>
          <w:ilvl w:val="0"/>
          <w:numId w:val="0"/>
        </w:numPr>
        <w:ind w:left="0" w:hanging="0"/>
        <w:jc w:val="both"/>
        <w:outlineLvl w:val="0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right"/>
        <w:outlineLvl w:val="0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Утверждена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Приказом</w:t>
      </w:r>
    </w:p>
    <w:p>
      <w:pPr>
        <w:pStyle w:val="ConsPlusNormal"/>
        <w:ind w:left="0" w:hanging="0"/>
        <w:jc w:val="right"/>
        <w:rPr/>
      </w:pPr>
      <w:r>
        <w:rPr>
          <w:b w:val="false"/>
          <w:i w:val="false"/>
          <w:strike w:val="false"/>
          <w:dstrike w:val="false"/>
          <w:sz w:val="24"/>
          <w:u w:val="none"/>
        </w:rPr>
        <w:t>Министерства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Российской Федерации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по связи и информатизации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от 2 июля 2001 г. N 162</w:t>
      </w:r>
    </w:p>
    <w:p>
      <w:pPr>
        <w:pStyle w:val="ConsPlusNormal"/>
        <w:ind w:lef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Согласовано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письмом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Центрального комитета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Общероссийского профсоюза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работников связи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Российской Федерации</w:t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от 20 апреля 2001 г. N 4-380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righ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Дата введения - 1 июля 2001 года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Title"/>
        <w:ind w:left="0" w:hanging="0"/>
        <w:jc w:val="center"/>
        <w:rPr>
          <w:b w:val="false"/>
          <w:b w:val="false"/>
        </w:rPr>
      </w:pPr>
      <w:r>
        <w:rPr>
          <w:b/>
          <w:i w:val="false"/>
          <w:strike w:val="false"/>
          <w:dstrike w:val="false"/>
          <w:sz w:val="24"/>
          <w:u w:val="none"/>
        </w:rPr>
        <w:t>ТИПОВАЯ ИНСТРУКЦИЯ</w:t>
      </w:r>
    </w:p>
    <w:p>
      <w:pPr>
        <w:pStyle w:val="ConsPlusTitle"/>
        <w:ind w:left="0" w:hanging="0"/>
        <w:jc w:val="center"/>
        <w:rPr>
          <w:b w:val="false"/>
          <w:b w:val="false"/>
        </w:rPr>
      </w:pPr>
      <w:r>
        <w:rPr>
          <w:b/>
          <w:i w:val="false"/>
          <w:strike w:val="false"/>
          <w:dstrike w:val="false"/>
          <w:sz w:val="24"/>
          <w:u w:val="none"/>
        </w:rPr>
        <w:t>ПО ОХРАНЕ ТРУДА ПРИ РАБОТЕ НА ПЕРСОНАЛЬНОМ КОМПЬЮТЕРЕ</w:t>
      </w:r>
    </w:p>
    <w:p>
      <w:pPr>
        <w:pStyle w:val="ConsPlusTitle"/>
        <w:ind w:left="0" w:hanging="0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sz w:val="24"/>
          <w:u w:val="none"/>
        </w:rPr>
      </w:pPr>
      <w:r>
        <w:rPr>
          <w:b/>
          <w:i w:val="false"/>
          <w:strike w:val="false"/>
          <w:dstrike w:val="false"/>
          <w:sz w:val="24"/>
          <w:u w:val="none"/>
        </w:rPr>
      </w:r>
    </w:p>
    <w:p>
      <w:pPr>
        <w:pStyle w:val="ConsPlusTitle"/>
        <w:ind w:left="0" w:hanging="0"/>
        <w:jc w:val="center"/>
        <w:rPr>
          <w:b w:val="false"/>
          <w:b w:val="false"/>
        </w:rPr>
      </w:pPr>
      <w:r>
        <w:rPr>
          <w:b/>
          <w:i w:val="false"/>
          <w:strike w:val="false"/>
          <w:dstrike w:val="false"/>
          <w:sz w:val="24"/>
          <w:u w:val="none"/>
        </w:rPr>
        <w:t>ТОИ Р-45-084-01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center"/>
        <w:outlineLvl w:val="1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 Общие требования безопасности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повышенный уровень электромагнитных излучений;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повышенный уровень статического электричества;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пониженная ионизация воздуха;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статические физические перегрузки;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перенапряжение зрительных анализаторов.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1.3. Работник обязан: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1.3.1. Выполнять только ту работу, которая определена его должностной инструкцией.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1.3.2. Содержать в чистоте рабочее место.</w:t>
      </w:r>
    </w:p>
    <w:p>
      <w:pPr>
        <w:pStyle w:val="ConsPlusNormal"/>
        <w:spacing w:before="240" w:after="0"/>
        <w:ind w:left="0" w:firstLine="540"/>
        <w:jc w:val="both"/>
        <w:rPr/>
      </w:pPr>
      <w:r>
        <w:rPr>
          <w:b w:val="false"/>
          <w:i w:val="false"/>
          <w:strike w:val="false"/>
          <w:dstrike w:val="false"/>
          <w:sz w:val="24"/>
          <w:u w:val="none"/>
        </w:rPr>
        <w:t xml:space="preserve">1.3.3. Соблюдать режим труда и отдыха в зависимости от продолжительности, вида и категории трудовой деятельности </w:t>
      </w:r>
      <w:hyperlink w:anchor="Par90" w:tgtFrame="ВРЕМЯ РЕГЛАМЕНТИРОВАННЫХ ПЕРЕРЫВОВ">
        <w:r>
          <w:rPr>
            <w:rStyle w:val="ListLabel3"/>
            <w:b w:val="false"/>
            <w:i w:val="false"/>
            <w:strike w:val="false"/>
            <w:dstrike w:val="false"/>
            <w:color w:val="0000FF"/>
            <w:sz w:val="24"/>
            <w:u w:val="none"/>
          </w:rPr>
          <w:t>(Приложение 1).</w:t>
        </w:r>
      </w:hyperlink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1.3.3. Соблюдать меры пожарной безопасности.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1.7. Рабочая мебель для пользователей компьютерной техникой должна отвечать следующим требованиям: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рабочее место с персональным компьютером должно быть оснащено легко перемещаемым пюпитром для документов.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center"/>
        <w:outlineLvl w:val="1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 Требования безопасности перед началом работы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2.1. Подготовить рабочее место.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2.2. Отрегулировать освещение на рабочем месте, убедиться в отсутствии бликов на экране.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2.3. Проверить правильность подключения оборудования к электросети.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2.4. Проверить исправность проводов питания и отсутствие оголенных участков проводов.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2.5. Убедиться в наличии заземления системного блока, монитора и защитного экрана.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2.6. Протереть антистатической салфеткой поверхность экрана монитора и защитного экрана.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center"/>
        <w:outlineLvl w:val="1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3. Требования безопасности во время работы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3.1. Работнику при работе на ПК запрещается: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прикасаться к задней панели системного блока (процессора) при включенном питании;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переключать разъемы интерфейсных кабелей периферийных устройств при включенном питании;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производить самостоятельное вскрытие и ремонт оборудования;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работать на компьютере при снятых кожухах;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отключать оборудование от электросети и выдергивать электровилку, держась за шнур.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center"/>
        <w:outlineLvl w:val="1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4. Требования безопасности в аварийных ситуациях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4.2. Не приступать к работе до устранения неисправностей.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center"/>
        <w:outlineLvl w:val="1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5. Требования безопасности по окончании работы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5.1. Отключить питание компьютера.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5.2. Привести в порядок рабочее место.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5.3. Выполнить упражнения для глаз и пальцев рук на расслабление.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numPr>
          <w:ilvl w:val="0"/>
          <w:numId w:val="0"/>
        </w:numPr>
        <w:ind w:left="0" w:hanging="0"/>
        <w:jc w:val="right"/>
        <w:outlineLvl w:val="0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Приложение 1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center"/>
        <w:rPr>
          <w:b w:val="false"/>
          <w:b w:val="false"/>
        </w:rPr>
      </w:pPr>
      <w:bookmarkStart w:id="0" w:name="Par90"/>
      <w:bookmarkEnd w:id="0"/>
      <w:r>
        <w:rPr>
          <w:b w:val="false"/>
          <w:i w:val="false"/>
          <w:strike w:val="false"/>
          <w:dstrike w:val="false"/>
          <w:sz w:val="24"/>
          <w:u w:val="none"/>
        </w:rPr>
        <w:t>ВРЕМЯ РЕГЛАМЕНТИРОВАННЫХ ПЕРЕРЫВОВ</w:t>
      </w:r>
    </w:p>
    <w:p>
      <w:pPr>
        <w:pStyle w:val="ConsPlusNormal"/>
        <w:ind w:left="0" w:hanging="0"/>
        <w:jc w:val="center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В ЗАВИСИМОСТИ ОТ ПРОДОЛЖИТЕЛЬНОСТИ РАБОЧЕЙ СМЕНЫ,</w:t>
      </w:r>
    </w:p>
    <w:p>
      <w:pPr>
        <w:pStyle w:val="ConsPlusNormal"/>
        <w:ind w:left="0" w:hanging="0"/>
        <w:jc w:val="center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ВИДА И КАТЕГОРИИ ТРУДОВОЙ ДЕЯТЕЛЬНОСТИ</w:t>
      </w:r>
    </w:p>
    <w:p>
      <w:pPr>
        <w:pStyle w:val="ConsPlusNormal"/>
        <w:ind w:left="0" w:hanging="0"/>
        <w:jc w:val="center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С ПЕРСОНАЛЬНЫМ КОМПЬЮТЕРОМ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- по суммарному времени непосредственной работы с компьютером за рабочую смену (не более 6 часов за смену).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3. При 8-часовой рабочей смене и работе на компьютере регламентированные перерывы следует устанавливать: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>
      <w:pPr>
        <w:pStyle w:val="ConsPlusNormal"/>
        <w:spacing w:before="240" w:after="0"/>
        <w:ind w:left="0" w:firstLine="54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┌─────────┬─────────────────────────────────┬────────────────────┐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</w:t>
      </w:r>
      <w:r>
        <w:rPr>
          <w:b w:val="false"/>
          <w:i w:val="false"/>
          <w:strike w:val="false"/>
          <w:dstrike w:val="false"/>
          <w:sz w:val="20"/>
          <w:u w:val="none"/>
        </w:rPr>
        <w:t>Категория│Уровень нагрузки за рабочую смену│   Суммарное время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 xml:space="preserve">│ </w:t>
      </w:r>
      <w:r>
        <w:rPr>
          <w:b w:val="false"/>
          <w:i w:val="false"/>
          <w:strike w:val="false"/>
          <w:dstrike w:val="false"/>
          <w:sz w:val="20"/>
          <w:u w:val="none"/>
        </w:rPr>
        <w:t>работы  │  при видах работ с компьютером  │ регламентированных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 xml:space="preserve">│         │                                 │   </w:t>
      </w:r>
      <w:r>
        <w:rPr>
          <w:b w:val="false"/>
          <w:i w:val="false"/>
          <w:strike w:val="false"/>
          <w:dstrike w:val="false"/>
          <w:sz w:val="20"/>
          <w:u w:val="none"/>
        </w:rPr>
        <w:t>перерывов, мин.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         ├───────────┬──────────┬──────────┼─────────┬──────────┤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 xml:space="preserve">│         │ </w:t>
      </w:r>
      <w:r>
        <w:rPr>
          <w:b w:val="false"/>
          <w:i w:val="false"/>
          <w:strike w:val="false"/>
          <w:dstrike w:val="false"/>
          <w:sz w:val="20"/>
          <w:u w:val="none"/>
        </w:rPr>
        <w:t>группа А, │ группа Б,│ группа В,│   при   │   при  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         │</w:t>
      </w:r>
      <w:r>
        <w:rPr>
          <w:b w:val="false"/>
          <w:i w:val="false"/>
          <w:strike w:val="false"/>
          <w:dstrike w:val="false"/>
          <w:sz w:val="20"/>
          <w:u w:val="none"/>
        </w:rPr>
        <w:t>количество │количество│   час.   │8-часовой│12-часовой│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 xml:space="preserve">│         │  </w:t>
      </w:r>
      <w:r>
        <w:rPr>
          <w:b w:val="false"/>
          <w:i w:val="false"/>
          <w:strike w:val="false"/>
          <w:dstrike w:val="false"/>
          <w:sz w:val="20"/>
          <w:u w:val="none"/>
        </w:rPr>
        <w:t>знаков   │  знаков  │          │  смене  │  смене 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├─────────┼───────────┼──────────┼──────────┼─────────┼──────────┤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</w:t>
      </w:r>
      <w:r>
        <w:rPr>
          <w:b w:val="false"/>
          <w:i w:val="false"/>
          <w:strike w:val="false"/>
          <w:dstrike w:val="false"/>
          <w:sz w:val="20"/>
          <w:u w:val="none"/>
        </w:rPr>
        <w:t>I        │ До 20000  │ До 15000 │  До 2,0  │   30    │    70  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</w:t>
      </w:r>
      <w:r>
        <w:rPr>
          <w:b w:val="false"/>
          <w:i w:val="false"/>
          <w:strike w:val="false"/>
          <w:dstrike w:val="false"/>
          <w:sz w:val="20"/>
          <w:u w:val="none"/>
        </w:rPr>
        <w:t>II       │ До 40000  │ До 30000 │  До 4,0  │   50    │    90  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│</w:t>
      </w:r>
      <w:r>
        <w:rPr>
          <w:b w:val="false"/>
          <w:i w:val="false"/>
          <w:strike w:val="false"/>
          <w:dstrike w:val="false"/>
          <w:sz w:val="20"/>
          <w:u w:val="none"/>
        </w:rPr>
        <w:t>III      │ До 60000  │ До 40000 │  До 6,0  │   70    │   120    │</w:t>
      </w:r>
    </w:p>
    <w:p>
      <w:pPr>
        <w:pStyle w:val="ConsPlusCell"/>
        <w:ind w:left="0" w:hanging="0"/>
        <w:jc w:val="both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sz w:val="20"/>
          <w:u w:val="none"/>
        </w:rPr>
        <w:t>└─────────┴───────────┴──────────┴──────────┴─────────┴──────────┘</w:t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ind w:lef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sz w:val="24"/>
          <w:u w:val="none"/>
        </w:rPr>
      </w:pPr>
      <w:r>
        <w:rPr>
          <w:b w:val="false"/>
          <w:i w:val="false"/>
          <w:strike w:val="false"/>
          <w:dstrike w:val="false"/>
          <w:sz w:val="24"/>
          <w:u w:val="none"/>
        </w:rPr>
      </w:r>
    </w:p>
    <w:p>
      <w:pPr>
        <w:pStyle w:val="ConsPlusNormal"/>
        <w:pBdr>
          <w:top w:val="single" w:sz="6" w:space="0" w:color="000000"/>
        </w:pBdr>
        <w:spacing w:before="100" w:after="100"/>
        <w:ind w:left="0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1"/>
      </w:rPr>
    </w:pPr>
    <w:r>
      <w:rPr>
        <w:sz w:val="1"/>
      </w:rPr>
    </w:r>
  </w:p>
  <w:tbl>
    <w:tblPr>
      <w:tblW w:w="10207" w:type="dxa"/>
      <w:jc w:val="left"/>
      <w:tblInd w:w="0" w:type="dxa"/>
      <w:tblBorders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rPr>
        <w:trHeight w:val="1663" w:hRule="exact"/>
      </w:trPr>
      <w:tc>
        <w:tcPr>
          <w:tcW w:w="3368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left"/>
            <w:rPr/>
          </w:pPr>
          <w:r>
            <w:rPr>
              <w:rFonts w:ascii="0" w:hAnsi="0"/>
              <w:b/>
              <w:i w:val="false"/>
              <w:color w:val="F58220"/>
              <w:sz w:val="28"/>
            </w:rPr>
            <w:t>КонсультантПлюс</w:t>
          </w:r>
          <w:r>
            <w:rPr/>
            <w:br/>
          </w:r>
          <w:r>
            <w:rPr>
              <w:rFonts w:ascii="0" w:hAnsi="0"/>
              <w:b/>
              <w:i w:val="false"/>
              <w:color w:val="000000"/>
              <w:sz w:val="16"/>
            </w:rPr>
            <w:t>надежная правовая поддержка</w:t>
          </w:r>
        </w:p>
      </w:tc>
      <w:tc>
        <w:tcPr>
          <w:tcW w:w="3470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center"/>
            <w:rPr/>
          </w:pPr>
          <w:hyperlink r:id="rId1">
            <w:r>
              <w:rPr>
                <w:rStyle w:val="ListLabel5"/>
                <w:rFonts w:ascii="0" w:hAnsi="0"/>
                <w:b/>
                <w:i w:val="false"/>
                <w:color w:val="0000FF"/>
                <w:sz w:val="20"/>
              </w:rPr>
              <w:t>www.consultant.ru</w:t>
            </w:r>
          </w:hyperlink>
        </w:p>
      </w:tc>
      <w:tc>
        <w:tcPr>
          <w:tcW w:w="3369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right"/>
            <w:rPr/>
          </w:pPr>
          <w:r>
            <w:rPr>
              <w:rFonts w:ascii="0" w:hAnsi="0"/>
              <w:b w:val="false"/>
              <w:i w:val="false"/>
              <w:sz w:val="20"/>
            </w:rPr>
            <w:t xml:space="preserve">Страница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>
              <w:rFonts w:ascii="0" w:hAnsi="0"/>
              <w:b w:val="false"/>
              <w:i w:val="false"/>
              <w:sz w:val="20"/>
            </w:rPr>
            <w:t xml:space="preserve"> из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ConsPlusNormal"/>
      <w:rPr>
        <w:sz w:val="1"/>
      </w:rPr>
    </w:pPr>
    <w:r>
      <w:rPr>
        <w:sz w:val="1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0" w:type="dxa"/>
      <w:tblBorders/>
      <w:tblCellMar>
        <w:top w:w="0" w:type="dxa"/>
        <w:left w:w="40" w:type="dxa"/>
        <w:bottom w:w="0" w:type="dxa"/>
        <w:right w:w="40" w:type="dxa"/>
      </w:tblCellMar>
    </w:tblPr>
    <w:tblGrid>
      <w:gridCol w:w="5612"/>
      <w:gridCol w:w="511"/>
      <w:gridCol w:w="4084"/>
    </w:tblGrid>
    <w:tr>
      <w:trPr>
        <w:trHeight w:val="1683" w:hRule="exact"/>
      </w:trPr>
      <w:tc>
        <w:tcPr>
          <w:tcW w:w="5612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left"/>
            <w:rPr/>
          </w:pPr>
          <w:r>
            <w:rPr>
              <w:rFonts w:ascii="0" w:hAnsi="0"/>
              <w:b w:val="false"/>
              <w:i w:val="false"/>
              <w:sz w:val="16"/>
            </w:rPr>
            <w:t>"ТОИ Р-45-084-01. Типовая инструкция по охране труда при работе на персональном компьютере"</w:t>
          </w:r>
          <w:r>
            <w:rPr/>
            <w:br/>
          </w:r>
          <w:r>
            <w:rPr>
              <w:rFonts w:ascii="0" w:hAnsi="0"/>
              <w:b w:val="false"/>
              <w:i w:val="false"/>
              <w:sz w:val="16"/>
            </w:rPr>
            <w:t>(утв. Приказом Минсвязи РФ о...</w:t>
          </w:r>
        </w:p>
      </w:tc>
      <w:tc>
        <w:tcPr>
          <w:tcW w:w="511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center"/>
            <w:rPr/>
          </w:pPr>
          <w:r>
            <w:rPr/>
          </w:r>
        </w:p>
        <w:p>
          <w:pPr>
            <w:pStyle w:val="ConsPlusNormal"/>
            <w:tabs>
              <w:tab w:val="clear" w:pos="720"/>
            </w:tabs>
            <w:jc w:val="center"/>
            <w:rPr/>
          </w:pPr>
          <w:r>
            <w:rPr/>
          </w:r>
        </w:p>
      </w:tc>
      <w:tc>
        <w:tcPr>
          <w:tcW w:w="4084" w:type="dxa"/>
          <w:tcBorders/>
          <w:shd w:fill="auto" w:val="clear"/>
          <w:vAlign w:val="center"/>
        </w:tcPr>
        <w:p>
          <w:pPr>
            <w:pStyle w:val="ConsPlusNormal"/>
            <w:tabs>
              <w:tab w:val="clear" w:pos="720"/>
            </w:tabs>
            <w:jc w:val="right"/>
            <w:rPr/>
          </w:pPr>
          <w:r>
            <w:rPr>
              <w:rFonts w:ascii="0" w:hAnsi="0"/>
              <w:b w:val="false"/>
              <w:i w:val="false"/>
              <w:sz w:val="18"/>
            </w:rPr>
            <w:t xml:space="preserve">Документ предоставлен </w:t>
          </w:r>
          <w:hyperlink r:id="rId1">
            <w:r>
              <w:rPr>
                <w:rStyle w:val="ListLabel4"/>
                <w:rFonts w:ascii="0" w:hAnsi="0"/>
                <w:b w:val="false"/>
                <w:i w:val="false"/>
                <w:color w:val="0000FF"/>
                <w:sz w:val="18"/>
              </w:rPr>
              <w:t>КонсультантПлюс</w:t>
            </w:r>
          </w:hyperlink>
          <w:r>
            <w:rPr/>
            <w:br/>
          </w:r>
          <w:r>
            <w:rPr>
              <w:rFonts w:ascii="0" w:hAnsi="0"/>
              <w:b w:val="false"/>
              <w:i w:val="false"/>
              <w:sz w:val="16"/>
            </w:rPr>
            <w:t>Дата сохранения: 19.04.2020</w:t>
          </w:r>
        </w:p>
      </w:tc>
    </w:tr>
  </w:tbl>
  <w:p>
    <w:pPr>
      <w:pStyle w:val="ConsPlusNormal"/>
      <w:pBdr>
        <w:bottom w:val="single" w:sz="12" w:space="0" w:color="000000"/>
      </w:pBdr>
      <w:jc w:val="center"/>
      <w:rPr>
        <w:sz w:val="1"/>
      </w:rPr>
    </w:pPr>
    <w:r>
      <w:rPr>
        <w:sz w:val="1"/>
      </w:rPr>
    </w:r>
  </w:p>
  <w:p>
    <w:pPr>
      <w:pStyle w:val="ConsPlusNormal"/>
      <w:jc w:val="center"/>
      <w:rPr/>
    </w:pPr>
    <w:r>
      <w:rPr>
        <w:sz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1">
    <w:name w:val="ListLabel 1"/>
    <w:qFormat/>
    <w:rPr>
      <w:b/>
      <w:color w:val="0000FF"/>
      <w:sz w:val="28"/>
    </w:rPr>
  </w:style>
  <w:style w:type="character" w:styleId="ListLabel2">
    <w:name w:val="ListLabel 2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strike w:val="false"/>
      <w:dstrike w:val="false"/>
      <w:color w:val="0000FF"/>
      <w:sz w:val="24"/>
      <w:u w:val="none"/>
    </w:rPr>
  </w:style>
  <w:style w:type="character" w:styleId="ListLabel4">
    <w:name w:val="ListLabel 4"/>
    <w:qFormat/>
    <w:rPr>
      <w:rFonts w:ascii="0" w:hAnsi="0"/>
      <w:b w:val="false"/>
      <w:i w:val="false"/>
      <w:color w:val="0000FF"/>
      <w:sz w:val="18"/>
    </w:rPr>
  </w:style>
  <w:style w:type="character" w:styleId="ListLabel5">
    <w:name w:val="ListLabel 5"/>
    <w:qFormat/>
    <w:rPr>
      <w:rFonts w:ascii="0" w:hAnsi="0"/>
      <w:b/>
      <w:i w:val="false"/>
      <w:color w:val="0000FF"/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>
    <w:name w:val="ConsPlusNormal"/>
    <w:qFormat/>
    <w:pPr>
      <w:widowControl/>
      <w:bidi w:val="0"/>
      <w:jc w:val="left"/>
    </w:pPr>
    <w:rPr>
      <w:rFonts w:ascii="Times New Roman" w:hAnsi="Times New Roman" w:eastAsia="Arial" w:cs="Courier New"/>
      <w:b w:val="false"/>
      <w:i w:val="false"/>
      <w:strike w:val="false"/>
      <w:dstrike w:val="false"/>
      <w:color w:val="auto"/>
      <w:kern w:val="2"/>
      <w:sz w:val="24"/>
      <w:szCs w:val="24"/>
      <w:u w:val="none"/>
      <w:lang w:val="ru-RU" w:eastAsia="zh-CN" w:bidi="hi-IN"/>
    </w:rPr>
  </w:style>
  <w:style w:type="paragraph" w:styleId="ConsPlusNonformat">
    <w:name w:val="ConsPlusNonformat"/>
    <w:qFormat/>
    <w:pPr>
      <w:widowControl/>
      <w:bidi w:val="0"/>
      <w:jc w:val="left"/>
    </w:pPr>
    <w:rPr>
      <w:rFonts w:ascii="Courier New" w:hAnsi="Courier New" w:eastAsia="Arial" w:cs="Courier New"/>
      <w:b w:val="false"/>
      <w:i w:val="false"/>
      <w:strike w:val="false"/>
      <w:dstrike w:val="false"/>
      <w:color w:val="auto"/>
      <w:kern w:val="2"/>
      <w:sz w:val="20"/>
      <w:szCs w:val="24"/>
      <w:u w:val="none"/>
      <w:lang w:val="ru-RU" w:eastAsia="zh-CN" w:bidi="hi-IN"/>
    </w:rPr>
  </w:style>
  <w:style w:type="paragraph" w:styleId="ConsPlusTitle">
    <w:name w:val="ConsPlusTitle"/>
    <w:qFormat/>
    <w:pPr>
      <w:widowControl/>
      <w:bidi w:val="0"/>
      <w:jc w:val="left"/>
    </w:pPr>
    <w:rPr>
      <w:rFonts w:ascii="Arial" w:hAnsi="Arial" w:eastAsia="Arial" w:cs="Courier New"/>
      <w:b/>
      <w:i w:val="false"/>
      <w:strike w:val="false"/>
      <w:dstrike w:val="false"/>
      <w:color w:val="auto"/>
      <w:kern w:val="2"/>
      <w:sz w:val="24"/>
      <w:szCs w:val="24"/>
      <w:u w:val="none"/>
      <w:lang w:val="ru-RU" w:eastAsia="zh-CN" w:bidi="hi-IN"/>
    </w:rPr>
  </w:style>
  <w:style w:type="paragraph" w:styleId="ConsPlusCell">
    <w:name w:val="ConsPlusCell"/>
    <w:qFormat/>
    <w:pPr>
      <w:widowControl/>
      <w:bidi w:val="0"/>
      <w:jc w:val="left"/>
    </w:pPr>
    <w:rPr>
      <w:rFonts w:ascii="Courier New" w:hAnsi="Courier New" w:eastAsia="Arial" w:cs="Courier New"/>
      <w:b w:val="false"/>
      <w:i w:val="false"/>
      <w:strike w:val="false"/>
      <w:dstrike w:val="false"/>
      <w:color w:val="auto"/>
      <w:kern w:val="2"/>
      <w:sz w:val="20"/>
      <w:szCs w:val="24"/>
      <w:u w:val="none"/>
      <w:lang w:val="ru-RU" w:eastAsia="zh-CN" w:bidi="hi-IN"/>
    </w:rPr>
  </w:style>
  <w:style w:type="paragraph" w:styleId="ConsPlusDocList">
    <w:name w:val="ConsPlusDocList"/>
    <w:qFormat/>
    <w:pPr>
      <w:widowControl/>
      <w:bidi w:val="0"/>
      <w:jc w:val="left"/>
    </w:pPr>
    <w:rPr>
      <w:rFonts w:ascii="Tahoma" w:hAnsi="Tahoma" w:eastAsia="Arial" w:cs="Courier New"/>
      <w:b w:val="false"/>
      <w:i w:val="false"/>
      <w:strike w:val="false"/>
      <w:dstrike w:val="false"/>
      <w:color w:val="auto"/>
      <w:kern w:val="2"/>
      <w:sz w:val="18"/>
      <w:szCs w:val="24"/>
      <w:u w:val="none"/>
      <w:lang w:val="ru-RU" w:eastAsia="zh-CN" w:bidi="hi-IN"/>
    </w:rPr>
  </w:style>
  <w:style w:type="paragraph" w:styleId="ConsPlusTitlePage">
    <w:name w:val="ConsPlusTitlePage"/>
    <w:qFormat/>
    <w:pPr>
      <w:widowControl/>
      <w:bidi w:val="0"/>
      <w:jc w:val="left"/>
    </w:pPr>
    <w:rPr>
      <w:rFonts w:ascii="Tahoma" w:hAnsi="Tahoma" w:eastAsia="Arial" w:cs="Courier New"/>
      <w:b w:val="false"/>
      <w:i w:val="false"/>
      <w:strike w:val="false"/>
      <w:dstrike w:val="false"/>
      <w:color w:val="auto"/>
      <w:kern w:val="2"/>
      <w:sz w:val="24"/>
      <w:szCs w:val="24"/>
      <w:u w:val="none"/>
      <w:lang w:val="ru-RU" w:eastAsia="zh-CN" w:bidi="hi-IN"/>
    </w:rPr>
  </w:style>
  <w:style w:type="paragraph" w:styleId="ConsPlusJurTerm">
    <w:name w:val="ConsPlusJurTerm"/>
    <w:qFormat/>
    <w:pPr>
      <w:widowControl/>
      <w:bidi w:val="0"/>
      <w:jc w:val="left"/>
    </w:pPr>
    <w:rPr>
      <w:rFonts w:ascii="Times New Roman" w:hAnsi="Times New Roman" w:eastAsia="Arial" w:cs="Courier New"/>
      <w:b w:val="false"/>
      <w:i w:val="false"/>
      <w:strike w:val="false"/>
      <w:dstrike w:val="false"/>
      <w:color w:val="auto"/>
      <w:kern w:val="2"/>
      <w:sz w:val="24"/>
      <w:szCs w:val="24"/>
      <w:u w:val="none"/>
      <w:lang w:val="ru-RU" w:eastAsia="zh-CN" w:bidi="hi-IN"/>
    </w:rPr>
  </w:style>
  <w:style w:type="paragraph" w:styleId="ConsPlusTextList">
    <w:name w:val="ConsPlusTextList"/>
    <w:qFormat/>
    <w:pPr>
      <w:widowControl/>
      <w:bidi w:val="0"/>
      <w:jc w:val="left"/>
    </w:pPr>
    <w:rPr>
      <w:rFonts w:ascii="Times New Roman" w:hAnsi="Times New Roman" w:eastAsia="Arial" w:cs="Courier New"/>
      <w:b w:val="false"/>
      <w:i w:val="false"/>
      <w:strike w:val="false"/>
      <w:dstrike w:val="false"/>
      <w:color w:val="auto"/>
      <w:kern w:val="2"/>
      <w:sz w:val="24"/>
      <w:szCs w:val="24"/>
      <w:u w:val="none"/>
      <w:lang w:val="ru-RU" w:eastAsia="zh-CN" w:bidi="hi-IN"/>
    </w:rPr>
  </w:style>
  <w:style w:type="paragraph" w:styleId="Style20">
    <w:name w:val="Header"/>
    <w:basedOn w:val="Normal"/>
    <w:pPr/>
    <w:rPr/>
  </w:style>
  <w:style w:type="paragraph" w:styleId="Style21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onsultant.ru/" TargetMode="External"/><Relationship Id="rId4" Type="http://schemas.openxmlformats.org/officeDocument/2006/relationships/hyperlink" Target="http://www.consultant.ru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onsultant.ru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consultant.ru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1237</Words>
  <Characters>7937</Characters>
  <CharactersWithSpaces>9251</CharactersWithSpaces>
  <Paragraphs>101</Paragraphs>
  <Company>КонсультантПлюс Версия 4018.00.50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2020-04-19T16:52:00Z</dcterms:created>
  <dc:creator/>
  <dc:description/>
  <dc:language>ru-RU</dc:language>
  <cp:lastModifiedBy/>
  <cp:revision>0</cp:revision>
  <dc:subject/>
  <dc:title>"ТОИ Р-45-084-01. Типовая инструкция по охране труда при работе на персональном компьютере"(утв. Приказом Минсвязи РФ от 02.07.2001 N 162)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КонсультантПлюс Версия 4018.00.50</vt:lpwstr>
  </property>
</Properties>
</file>