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4E0DD4B" w:rsidR="001C7C27" w:rsidRPr="007C7FF8" w:rsidRDefault="00445791"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641038A5" w:rsidR="001C7C27" w:rsidRPr="007C7FF8" w:rsidRDefault="001C7C27" w:rsidP="001C7C27">
      <w:pPr>
        <w:pStyle w:val="a7"/>
        <w:jc w:val="center"/>
        <w:rPr>
          <w:b/>
          <w:color w:val="000000"/>
          <w:sz w:val="28"/>
          <w:szCs w:val="28"/>
        </w:rPr>
      </w:pPr>
      <w:r w:rsidRPr="007C7FF8">
        <w:rPr>
          <w:b/>
          <w:color w:val="000000"/>
          <w:sz w:val="28"/>
          <w:szCs w:val="28"/>
        </w:rPr>
        <w:t>РАЗРАБОТКА ПЛАГИНА «</w:t>
      </w:r>
      <w:r w:rsidR="00BF68AD">
        <w:rPr>
          <w:b/>
          <w:color w:val="000000"/>
          <w:sz w:val="28"/>
          <w:szCs w:val="28"/>
        </w:rPr>
        <w:t>Бита для отвёртки</w:t>
      </w:r>
      <w:r w:rsidRPr="007C7FF8">
        <w:rPr>
          <w:b/>
          <w:color w:val="000000"/>
          <w:sz w:val="28"/>
          <w:szCs w:val="28"/>
        </w:rPr>
        <w:t>» 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BA1B3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BA1B3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BA1B3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BA1B3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BA1B3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BA1B3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FC59B3">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FC59B3">
      <w:pPr>
        <w:pStyle w:val="a6"/>
        <w:spacing w:line="360" w:lineRule="auto"/>
        <w:ind w:firstLine="567"/>
        <w:rPr>
          <w:rFonts w:ascii="Times New Roman" w:hAnsi="Times New Roman" w:cs="Times New Roman"/>
          <w:sz w:val="28"/>
          <w:szCs w:val="28"/>
        </w:rPr>
      </w:pPr>
    </w:p>
    <w:p w14:paraId="62CBC485" w14:textId="682374E6" w:rsidR="00581938" w:rsidRDefault="00581938" w:rsidP="00FC59B3">
      <w:pPr>
        <w:ind w:firstLine="567"/>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FC59B3">
      <w:pPr>
        <w:pStyle w:val="1"/>
        <w:ind w:firstLine="567"/>
      </w:pPr>
      <w:bookmarkStart w:id="1" w:name="_Toc88798935"/>
      <w:r w:rsidRPr="00EA6D37">
        <w:lastRenderedPageBreak/>
        <w:t>2 Описание API</w:t>
      </w:r>
      <w:bookmarkEnd w:id="1"/>
    </w:p>
    <w:p w14:paraId="153C0F97" w14:textId="71969380" w:rsidR="006C3202" w:rsidRPr="006C3202" w:rsidRDefault="006C3202" w:rsidP="00FC59B3">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FC59B3">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BF68AD"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BF68AD"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BF68AD"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BF68AD"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BF68AD"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BF68AD"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BF68AD"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BF68AD"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BF68AD"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BF68AD"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BF68AD"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BF68AD"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7B54CD">
      <w:pPr>
        <w:pStyle w:val="1"/>
      </w:pPr>
      <w:bookmarkStart w:id="2" w:name="_Toc88798936"/>
      <w:r w:rsidRPr="007B54CD">
        <w:lastRenderedPageBreak/>
        <w:t>3 Обзор аналогов</w:t>
      </w:r>
      <w:bookmarkEnd w:id="2"/>
    </w:p>
    <w:p w14:paraId="114AE58D" w14:textId="55B4083C" w:rsidR="00610CA5" w:rsidRPr="0019635A" w:rsidRDefault="00610CA5" w:rsidP="00FC59B3">
      <w:pPr>
        <w:spacing w:line="276"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FC59B3">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FC59B3">
      <w:pPr>
        <w:pStyle w:val="a7"/>
        <w:ind w:firstLine="567"/>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FC59B3">
      <w:pPr>
        <w:pStyle w:val="a7"/>
        <w:ind w:firstLine="567"/>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FC59B3">
      <w:pPr>
        <w:pStyle w:val="a7"/>
        <w:ind w:firstLine="567"/>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FC59B3">
      <w:pPr>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FC59B3">
      <w:pPr>
        <w:pStyle w:val="1"/>
        <w:ind w:firstLine="567"/>
      </w:pPr>
      <w:bookmarkStart w:id="3" w:name="_Toc88798937"/>
      <w:r w:rsidRPr="008F033E">
        <w:t>4 Описание предмета проектирования</w:t>
      </w:r>
      <w:bookmarkEnd w:id="3"/>
    </w:p>
    <w:p w14:paraId="42A87DBA" w14:textId="3E75D099" w:rsidR="00532C9B" w:rsidRDefault="0068336E" w:rsidP="00FC59B3">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FC59B3">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t xml:space="preserve">Данные насадки различаются между собой размерами, которые варьируются от 0 до 4. Чаще всего используется крестовина №2, так как она позволяет </w:t>
      </w:r>
      <w:r w:rsidRPr="00ED31A4">
        <w:rPr>
          <w:rFonts w:ascii="Times New Roman" w:hAnsi="Times New Roman" w:cs="Times New Roman"/>
          <w:sz w:val="28"/>
          <w:szCs w:val="28"/>
          <w:shd w:val="clear" w:color="auto" w:fill="FFFFFF"/>
        </w:rPr>
        <w:lastRenderedPageBreak/>
        <w:t>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FC59B3">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заранее определенного дизайна</w:t>
      </w:r>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FC59B3">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FC59B3">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FC59B3">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FC59B3">
      <w:pPr>
        <w:pStyle w:val="af5"/>
        <w:numPr>
          <w:ilvl w:val="0"/>
          <w:numId w:val="8"/>
        </w:numPr>
        <w:ind w:left="0" w:firstLine="567"/>
        <w:rPr>
          <w:szCs w:val="28"/>
        </w:rPr>
      </w:pPr>
      <w:r>
        <w:rPr>
          <w:szCs w:val="28"/>
        </w:rPr>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FC59B3">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FC59B3">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FC59B3">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FC59B3">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2CD17610" w:rsidR="008F033E" w:rsidRPr="007B54CD" w:rsidRDefault="00FC59B3"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7AAAFE54" wp14:editId="3281DCFE">
            <wp:extent cx="6120130" cy="5323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32384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FC59B3">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77777777" w:rsidR="007B54CD" w:rsidRDefault="007B54CD" w:rsidP="00FC59B3">
      <w:pPr>
        <w:pStyle w:val="ad"/>
        <w:ind w:left="0" w:firstLine="567"/>
        <w:jc w:val="left"/>
        <w:rPr>
          <w:bCs/>
          <w:color w:val="000000"/>
        </w:rPr>
      </w:pPr>
      <w:r w:rsidRPr="000425EF">
        <w:rPr>
          <w:bCs/>
          <w:color w:val="000000"/>
        </w:rPr>
        <w:t xml:space="preserve">2) </w:t>
      </w:r>
      <w:r>
        <w:rPr>
          <w:bCs/>
          <w:color w:val="000000"/>
          <w:lang w:val="en-US"/>
        </w:rPr>
        <w:t>Rack</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FC59B3">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FC59B3">
      <w:pPr>
        <w:pStyle w:val="ad"/>
        <w:ind w:left="0" w:firstLine="567"/>
        <w:jc w:val="left"/>
        <w:rPr>
          <w:bCs/>
          <w:color w:val="000000"/>
        </w:rPr>
      </w:pPr>
      <w:r w:rsidRPr="000425EF">
        <w:rPr>
          <w:bCs/>
          <w:color w:val="000000"/>
        </w:rPr>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77777777" w:rsidR="007B54CD" w:rsidRDefault="007B54CD" w:rsidP="00FC59B3">
      <w:pPr>
        <w:pStyle w:val="ad"/>
        <w:ind w:left="0" w:firstLine="567"/>
        <w:jc w:val="left"/>
        <w:rPr>
          <w:bCs/>
          <w:color w:val="000000"/>
        </w:rPr>
      </w:pPr>
      <w:r w:rsidRPr="000425EF">
        <w:rPr>
          <w:bCs/>
          <w:color w:val="000000"/>
        </w:rPr>
        <w:lastRenderedPageBreak/>
        <w:t xml:space="preserve">5) </w:t>
      </w:r>
      <w:r>
        <w:rPr>
          <w:bCs/>
          <w:color w:val="000000"/>
          <w:lang w:val="en-US"/>
        </w:rPr>
        <w:t>Rack</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FC59B3">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FC59B3">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FC59B3">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7B54CD">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7B54CD">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7B54CD">
      <w:pPr>
        <w:pStyle w:val="1"/>
      </w:pPr>
      <w:bookmarkStart w:id="7" w:name="_Toc88798940"/>
      <w:r w:rsidRPr="001D7DCE">
        <w:lastRenderedPageBreak/>
        <w:t>Список литературы</w:t>
      </w:r>
      <w:bookmarkEnd w:id="7"/>
    </w:p>
    <w:p w14:paraId="59F3BBB1" w14:textId="69DB93C4" w:rsidR="003100EA" w:rsidRDefault="000B170B" w:rsidP="007B54CD">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 xml:space="preserve">Компас (САПР) </w:t>
      </w:r>
      <w:r>
        <w:rPr>
          <w:rFonts w:ascii="Times New Roman" w:hAnsi="Times New Roman" w:cs="Times New Roman"/>
          <w:sz w:val="28"/>
        </w:rPr>
        <w:t xml:space="preserve">— Википедия.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r w:rsidRPr="00BA27EF">
        <w:rPr>
          <w:rFonts w:ascii="Times New Roman" w:hAnsi="Times New Roman" w:cs="Times New Roman"/>
          <w:sz w:val="28"/>
        </w:rPr>
        <w:t>https://ru.wikipedia.org/wiki/Компас_(САПР)</w:t>
      </w:r>
      <w:r w:rsidR="00C9208E">
        <w:rPr>
          <w:rFonts w:ascii="Times New Roman" w:hAnsi="Times New Roman" w:cs="Times New Roman"/>
          <w:sz w:val="28"/>
        </w:rPr>
        <w:t xml:space="preserve"> (дата обращения </w:t>
      </w:r>
      <w:r w:rsidR="001C7C27">
        <w:rPr>
          <w:rFonts w:ascii="Times New Roman" w:hAnsi="Times New Roman" w:cs="Times New Roman"/>
          <w:sz w:val="28"/>
        </w:rPr>
        <w:t>28</w:t>
      </w:r>
      <w:r>
        <w:rPr>
          <w:rFonts w:ascii="Times New Roman" w:hAnsi="Times New Roman" w:cs="Times New Roman"/>
          <w:sz w:val="28"/>
        </w:rPr>
        <w:t>.</w:t>
      </w:r>
      <w:r w:rsidR="001C7C27">
        <w:rPr>
          <w:rFonts w:ascii="Times New Roman" w:hAnsi="Times New Roman" w:cs="Times New Roman"/>
          <w:sz w:val="28"/>
        </w:rPr>
        <w:t>10</w:t>
      </w:r>
      <w:r>
        <w:rPr>
          <w:rFonts w:ascii="Times New Roman" w:hAnsi="Times New Roman" w:cs="Times New Roman"/>
          <w:sz w:val="28"/>
        </w:rPr>
        <w:t>.2021)</w:t>
      </w:r>
    </w:p>
    <w:p w14:paraId="2F4539F6" w14:textId="33DFBFC6" w:rsidR="0075461B" w:rsidRPr="0075461B" w:rsidRDefault="000B170B" w:rsidP="0075461B">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Кидрук Максим. КОМПАС-3D V10 на 100% / М. Кидрук. – СПб.: Питер, 2009 – 560 с.</w:t>
      </w:r>
    </w:p>
    <w:p w14:paraId="652D2069" w14:textId="426C8E9F" w:rsidR="00A434E1" w:rsidRDefault="00A434E1" w:rsidP="007B54CD">
      <w:pPr>
        <w:pStyle w:val="a6"/>
        <w:numPr>
          <w:ilvl w:val="0"/>
          <w:numId w:val="6"/>
        </w:numPr>
        <w:spacing w:line="360" w:lineRule="auto"/>
        <w:ind w:left="0" w:firstLine="0"/>
        <w:jc w:val="both"/>
        <w:rPr>
          <w:rFonts w:ascii="Times New Roman" w:hAnsi="Times New Roman" w:cs="Times New Roman"/>
          <w:sz w:val="28"/>
        </w:rPr>
      </w:pPr>
      <w:r w:rsidRPr="00A434E1">
        <w:rPr>
          <w:rFonts w:ascii="Times New Roman" w:hAnsi="Times New Roman" w:cs="Times New Roman"/>
          <w:sz w:val="28"/>
        </w:rPr>
        <w:t xml:space="preserve">М. Фаулер. UML. Основы, 3-е издание. </w:t>
      </w:r>
      <w:r w:rsidR="00B27F83">
        <w:rPr>
          <w:rFonts w:ascii="Times New Roman" w:hAnsi="Times New Roman" w:cs="Times New Roman"/>
          <w:sz w:val="28"/>
        </w:rPr>
        <w:t>— Пер. с англ. — СПб: символ-Плюс, 2004</w:t>
      </w:r>
      <w:r w:rsidR="00B9366F">
        <w:rPr>
          <w:rFonts w:ascii="Times New Roman" w:hAnsi="Times New Roman" w:cs="Times New Roman"/>
          <w:sz w:val="28"/>
        </w:rPr>
        <w:t xml:space="preserve"> </w:t>
      </w:r>
      <w:r w:rsidRPr="00A434E1">
        <w:rPr>
          <w:rFonts w:ascii="Times New Roman" w:hAnsi="Times New Roman" w:cs="Times New Roman"/>
          <w:sz w:val="28"/>
        </w:rPr>
        <w:t>– 192 с.</w:t>
      </w:r>
    </w:p>
    <w:p w14:paraId="59A83E81" w14:textId="3EF4BE83" w:rsidR="00ED31A4" w:rsidRDefault="00ED31A4"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 xml:space="preserve">Классификация и виды бит для шуруповерта.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hyperlink r:id="rId22" w:history="1">
        <w:r w:rsidR="00C41BE4" w:rsidRPr="00834B6E">
          <w:rPr>
            <w:rStyle w:val="a4"/>
            <w:rFonts w:ascii="Times New Roman" w:hAnsi="Times New Roman" w:cs="Times New Roman"/>
            <w:sz w:val="28"/>
          </w:rPr>
          <w:t>https://srbu.ru/instrumenty-i-oborudovanie/321-bity-dlya-shurupoverta-klassifikatsiya.html</w:t>
        </w:r>
      </w:hyperlink>
    </w:p>
    <w:p w14:paraId="59958C18" w14:textId="0B9882E1" w:rsidR="00C41BE4" w:rsidRDefault="00610CA5"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Библиотека «Инструмент» для Компас 3</w:t>
      </w:r>
      <w:r>
        <w:rPr>
          <w:rFonts w:ascii="Times New Roman" w:hAnsi="Times New Roman" w:cs="Times New Roman"/>
          <w:sz w:val="28"/>
          <w:lang w:val="en-US"/>
        </w:rPr>
        <w:t>D</w:t>
      </w:r>
      <w:r w:rsidR="00C41BE4" w:rsidRPr="000B170B">
        <w:rPr>
          <w:rFonts w:ascii="Times New Roman" w:hAnsi="Times New Roman" w:cs="Times New Roman"/>
          <w:sz w:val="28"/>
        </w:rPr>
        <w:t xml:space="preserve"> [</w:t>
      </w:r>
      <w:r w:rsidR="00C41BE4">
        <w:rPr>
          <w:rFonts w:ascii="Times New Roman" w:hAnsi="Times New Roman" w:cs="Times New Roman"/>
          <w:sz w:val="28"/>
        </w:rPr>
        <w:t>Электронный ресурс</w:t>
      </w:r>
      <w:r w:rsidR="00C41BE4" w:rsidRPr="000B170B">
        <w:rPr>
          <w:rFonts w:ascii="Times New Roman" w:hAnsi="Times New Roman" w:cs="Times New Roman"/>
          <w:sz w:val="28"/>
        </w:rPr>
        <w:t>]</w:t>
      </w:r>
      <w:r w:rsidR="00C41BE4">
        <w:rPr>
          <w:rFonts w:ascii="Times New Roman" w:hAnsi="Times New Roman" w:cs="Times New Roman"/>
          <w:sz w:val="28"/>
        </w:rPr>
        <w:t xml:space="preserve"> — Режим доступа: </w:t>
      </w:r>
      <w:r w:rsidR="00C41BE4" w:rsidRPr="00C41BE4">
        <w:rPr>
          <w:rFonts w:ascii="Times New Roman" w:hAnsi="Times New Roman" w:cs="Times New Roman"/>
          <w:sz w:val="28"/>
        </w:rPr>
        <w:t>http://www.insoftmach.ru/Instrument.html</w:t>
      </w:r>
    </w:p>
    <w:p w14:paraId="5E66871A" w14:textId="68B64998" w:rsidR="003100EA" w:rsidRPr="00354124" w:rsidRDefault="003100EA" w:rsidP="008F033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021B" w14:textId="77777777" w:rsidR="00BA1B3F" w:rsidRDefault="00BA1B3F">
      <w:r>
        <w:separator/>
      </w:r>
    </w:p>
  </w:endnote>
  <w:endnote w:type="continuationSeparator" w:id="0">
    <w:p w14:paraId="5D3A0B47" w14:textId="77777777" w:rsidR="00BA1B3F" w:rsidRDefault="00BA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AC5D" w14:textId="77777777" w:rsidR="00BA1B3F" w:rsidRDefault="00BA1B3F">
      <w:r>
        <w:separator/>
      </w:r>
    </w:p>
  </w:footnote>
  <w:footnote w:type="continuationSeparator" w:id="0">
    <w:p w14:paraId="6F58033F" w14:textId="77777777" w:rsidR="00BA1B3F" w:rsidRDefault="00BA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F24"/>
    <w:rsid w:val="008F033E"/>
    <w:rsid w:val="008F55F9"/>
    <w:rsid w:val="009030F0"/>
    <w:rsid w:val="009370ED"/>
    <w:rsid w:val="00960920"/>
    <w:rsid w:val="009718A9"/>
    <w:rsid w:val="00972691"/>
    <w:rsid w:val="00983824"/>
    <w:rsid w:val="009E14A1"/>
    <w:rsid w:val="00A06BF9"/>
    <w:rsid w:val="00A15924"/>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1B3F"/>
    <w:rsid w:val="00BA27EF"/>
    <w:rsid w:val="00BF68AD"/>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1817</Words>
  <Characters>10363</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13</cp:revision>
  <dcterms:created xsi:type="dcterms:W3CDTF">2021-11-13T08:42:00Z</dcterms:created>
  <dcterms:modified xsi:type="dcterms:W3CDTF">2021-11-25T23:11:00Z</dcterms:modified>
</cp:coreProperties>
</file>