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approve with the phone's fingerprint or face unlock (WebAuthn); a fictional demo pin is the fallback.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r>
        <w:rPr>
          <w:b/>
          <w:bCs/>
        </w:rPr>
        <w:t xml:space="preserve">Changed after the first TalkBack test (11 October 2026).</w:t>
      </w:r>
      <w:r>
        <w:t xml:space="preserve"> A sighted tester using TalkBack completed a transfer but found it stressful: too many steps, "PIN" spelled out letter by letter, and PIN digits read aloud by the keyboard. Response: fingerprint approval replaces typed PINs, saved payees became one-tap buttons, and the Review screen now opens with a single summary sentence followed by the approve button. Voice commands followed: a Talk screen understands balance, recent activity and payments by saved name or by account number and bank. It reads back the account owner and continues only on a clear yes, opens Review for fingerprint approval, never sends money itself, and limits voice payments to 50,000 naira. Commands are read by on-phone rules today; a Claude-backed reader plugs into the same slot later.</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Fingerprint approval (supporting).</w:t>
      </w:r>
      <w:r>
        <w:t xml:space="preserve"> Sign-in and payments are approved with one touch of the phone's fingerprint or face unlock, through WebAuthn. Nothing is spoken or typed, so nothing can be overheard. Typed PINs cannot be made private for screen-reader users: TalkBack reads each keyboard key aloud as the finger explores it, even in a password field. A demo pin remains as a fallback, with a headphones warning.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t xml:space="preserve">Why these three: each one targets a moment where blind users currently hand over their phone. A judge can see all three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2"/>
        <w:gridCol w:w="378"/>
        <w:gridCol w:w="3307"/>
        <w:gridCol w:w="3309"/>
      </w:tblGrid>
      <w:tr>
        <w:trPr>
          <w:tblHeader/>
        </w:trPr>
        <w:tc>
          <w:tcPr>
            <w:tcW w:type="dxa" w:w="203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37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3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3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demo OTP with no expiry pressure, demo PIN set-up</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Number is checked for format only and never stored; code is printed on screen; real credentials never accepted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bank behaviour chosen by a disclosed switch</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or voice agent that moves money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input via OS tools only</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any Nigerian mobile number and the printed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Demo bank behaviour set to "The connection drops after sending", the app waits 6 seconds, then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3"/>
        <w:gridCol w:w="3806"/>
        <w:gridCol w:w="3807"/>
      </w:tblGrid>
      <w:tr>
        <w:trPr>
          <w:tblHeader/>
        </w:trPr>
        <w:tc>
          <w:tcPr>
            <w:tcW w:type="dxa" w:w="141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0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(070, 080, 081, 090 or 091, or +234) is accepted, held in memory only during sign-in. The code accepts only the printed demo value. No timer, or a timer the user can extend.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Fingerprint approval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Sign-in and payment approval by fingerprint or face unlock (WebAuthn, platform authenticator, user verification required). A returning user signs in with one touch. Demo pin as fallback, spoken as "pin", with a headphones warning.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fingerprint payment needs no typing; a failed touch sends nothing.</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WAYMARK has no custom speech engine. It relies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switch on the Review screen, labelled "Demo bank behaviour", makes the demo bank complete, decline or hold the transfer, or drops the connection after sending. A dropped reply becomes Outcome unknown because the app gives up after 6 seconds, not because the switch says so.</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app/bank/</w:t>
      </w:r>
      <w:r>
        <w:t xml:space="preserve">: the bank boundary (account, activity, name lookup, fee quote, submit with idempotency key, status), the in-browser DemoBank behind it, and the transfer client that turns no reply within 6 seconds into Outcome unknown.</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bank boundary in app/bank mirrors the production API (quote, transfer with idempotency key, status lookup). Going live means a second adapter with the same methods that calls the bank's authorised APIs; the screens do not change. That adapter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trackers or third-party requests. The page makes no network calls after load.</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
        <w:gridCol w:w="596"/>
        <w:gridCol w:w="3804"/>
        <w:gridCol w:w="2983"/>
        <w:gridCol w:w="1047"/>
      </w:tblGrid>
      <w:tr>
        <w:trPr>
          <w:tblHeader/>
        </w:trPr>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80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298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104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Fingerprint sign-in and approval with TalkBack</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Nothing secret spoken or typed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2026-10-11T16:49:12.274Z</dcterms:created>
  <dcterms:modified xsi:type="dcterms:W3CDTF">2026-10-11T16:49:12.274Z</dcterms:modified>
</cp:coreProperties>
</file>

<file path=docProps/custom.xml><?xml version="1.0" encoding="utf-8"?>
<Properties xmlns="http://schemas.openxmlformats.org/officeDocument/2006/custom-properties" xmlns:vt="http://schemas.openxmlformats.org/officeDocument/2006/docPropsVTypes"/>
</file>