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WAYMARK Master PRD</w:t>
      </w:r>
    </w:p>
    <w:p>
      <w:pPr>
        <w:spacing w:after="200"/>
      </w:pPr>
      <w:r>
        <w:rPr>
          <w:color w:val="56615A"/>
          <w:sz w:val="18"/>
          <w:szCs w:val="18"/>
        </w:rPr>
        <w:t xml:space="preserve">Version 1.0  ·  10 October 2026  ·  Zenith Bank Zecathon 6.0, Challenge #7  ·  Replaces Master PRD v0.1 and Engineering Specification 1.0-draft</w:t>
      </w:r>
    </w:p>
    <w:p>
      <w:r>
        <w:t xml:space="preserve">WAYMARK is an accessible banking prototype for Zenith Bank Zecathon 6.0, Challenge #7. This version 1.0 replaces both the Master PRD v0.1 and the Engineering Specification 1.0-draft; where they disagreed, this document decides.</w:t>
      </w:r>
    </w:p>
    <w:p>
      <w:pPr>
        <w:pStyle w:val="Heading1"/>
      </w:pPr>
      <w:r>
        <w:t xml:space="preserve">Decisions in this version</w:t>
      </w:r>
    </w:p>
    <w:p>
      <w:r>
        <w:t xml:space="preserve">This version takes the PRD's scope, the spec's simple build, and adds one headline idea plus a simulated sign-in. Every conflict between the two drafts is settled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1479"/>
        <w:gridCol w:w="1775"/>
        <w:gridCol w:w="3454"/>
      </w:tblGrid>
      <w:tr>
        <w:trPr>
          <w:tblHeader/>
        </w:trPr>
        <w:tc>
          <w:tcPr>
            <w:tcW w:type="dxa" w:w="2318"/>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Topic</w:t>
            </w:r>
          </w:p>
        </w:tc>
        <w:tc>
          <w:tcPr>
            <w:tcW w:type="dxa" w:w="1479"/>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Engineering spec said</w:t>
            </w:r>
          </w:p>
        </w:tc>
        <w:tc>
          <w:tcPr>
            <w:tcW w:type="dxa" w:w="1775"/>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PRD v0.1 said</w:t>
            </w:r>
          </w:p>
        </w:tc>
        <w:tc>
          <w:tcPr>
            <w:tcW w:type="dxa" w:w="3454"/>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v1.0 decision</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Sign-in</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Excluded</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Demo entry, Must</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accessible sign-in with demo OTP, Must. The brief names authentication.</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Paying a new account</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Seeded beneficiaries only</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Seeded only</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 type a fictional 10-digit NUBAN, hear the looked-up name, confirm it. Seeded beneficiaries stay as a shortcut.</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PIN entry</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Excluded</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Excluded</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 approve with the phone's fingerprint or face unlock (WebAuthn); a fictional demo pin is the fallback. No real PIN is ever requested.</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Pending and unknown outcomes</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Production only</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Must</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Simulated, Must. A scripted outcome switch drives them.</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Balance check</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must not exceed balance</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plus fee</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plus fee must not exceed balance.</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Balance after transfer</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Not specified</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Updates once</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Updates exactly once on success only.</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Transaction detail, help, beneficiaries screens</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P1 or absent</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Detail and Help are Must. Beneficiaries screen is Should.</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Settings</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size, contrast, motion</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Spoken feedback</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size, contrast, reduced motion, haptics on or off. No custom speech engine.</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Stack</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Vanilla JS, no build</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Component framework, env vars, build</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Vanilla HTML, CSS and JS. No build step, no env vars. Tests run with node --test.</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Persistence</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Lost on refresh</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Documented storage plus reset</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sessionStorage only, synthetic data only, with a Reset demo control.</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Primary screen reader</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VoiceOver first</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Both</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TalkBack on a low-cost Android phone first; VoiceOver second; NVDA on desktop third.</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Demo disclosure</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Banner on every view</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Every screen</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Full disclosure once at entry; a short skippable notice in the footer landmark; every amount and outcome still says demo.</w:t>
            </w:r>
          </w:p>
        </w:tc>
      </w:tr>
      <w:tr>
        <w:trPr>
          <w:cantSplit/>
        </w:trPr>
        <w:tc>
          <w:tcPr>
            <w:tcW w:type="dxa" w:w="231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Disability scope</w:t>
            </w:r>
          </w:p>
        </w:tc>
        <w:tc>
          <w:tcPr>
            <w:tcW w:type="dxa" w:w="147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Blind only</w:t>
            </w:r>
          </w:p>
        </w:tc>
        <w:tc>
          <w:tcPr>
            <w:tcW w:type="dxa" w:w="177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Blind only, others deferred</w:t>
            </w:r>
          </w:p>
        </w:tc>
        <w:tc>
          <w:tcPr>
            <w:tcW w:type="dxa" w:w="345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Blind and low-vision in depth; a tested baseline for motor, hearing and cognitive needs.</w:t>
            </w:r>
          </w:p>
        </w:tc>
      </w:tr>
    </w:tbl>
    <w:p>
      <w:pPr>
        <w:spacing w:after="80"/>
      </w:pPr>
    </w:p>
    <w:p>
      <w:r>
        <w:t xml:space="preserve">The spec's traceability table marked several requirements as Implemented in demo. No code exists yet, so all statuses are reset to Not started.</w:t>
      </w:r>
    </w:p>
    <w:p>
      <w:r>
        <w:rPr>
          <w:b/>
          <w:bCs/>
        </w:rPr>
        <w:t xml:space="preserve">Changed after the first TalkBack test (11 October 2026).</w:t>
      </w:r>
      <w:r>
        <w:t xml:space="preserve"> A sighted tester using TalkBack completed a transfer but found it stressful: too many steps, "PIN" spelled out letter by letter, and PIN digits read aloud by the keyboard. Response: fingerprint approval replaces typed PINs, saved payees became one-tap buttons, and the Review screen now opens with a single summary sentence followed by the approve button. Voice commands are the next phase.</w:t>
      </w:r>
    </w:p>
    <w:p>
      <w:pPr>
        <w:pStyle w:val="Heading1"/>
      </w:pPr>
      <w:r>
        <w:t xml:space="preserve">Problem and users</w:t>
      </w:r>
    </w:p>
    <w:p>
      <w:r>
        <w:t xml:space="preserve">Blind and low-vision Nigerians can often open a banking app but still need a sighted person for the risky steps: checking who an account number belongs to, typing a PIN, and knowing whether money actually left. Handing the phone to a helper costs privacy and exposes them to fraud.</w:t>
      </w:r>
    </w:p>
    <w:p>
      <w:r>
        <w:t xml:space="preserve">The challenge brief asks that customers with visual, hearing, motor or other needs complete onboarding, authentication, payments and account management on their own. WAYMARK goes deep on blind and low-vision users and meets a tested baseline for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5"/>
        <w:gridCol w:w="3599"/>
        <w:gridCol w:w="3762"/>
      </w:tblGrid>
      <w:tr>
        <w:trPr>
          <w:tblHeader/>
        </w:trPr>
        <w:tc>
          <w:tcPr>
            <w:tcW w:type="dxa" w:w="1665"/>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Persona</w:t>
            </w:r>
          </w:p>
        </w:tc>
        <w:tc>
          <w:tcPr>
            <w:tcW w:type="dxa" w:w="3599"/>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Device and tools</w:t>
            </w:r>
          </w:p>
        </w:tc>
        <w:tc>
          <w:tcPr>
            <w:tcW w:type="dxa" w:w="3762"/>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What they need from WAYMARK</w:t>
            </w:r>
          </w:p>
        </w:tc>
      </w:tr>
      <w:tr>
        <w:trPr>
          <w:cantSplit/>
        </w:trPr>
        <w:tc>
          <w:tcPr>
            <w:tcW w:type="dxa" w:w="166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Ada, blind, salaried, Lagos</w:t>
            </w:r>
          </w:p>
        </w:tc>
        <w:tc>
          <w:tcPr>
            <w:tcW w:type="dxa" w:w="359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Low-cost Android phone, TalkBack, speech rate fast, often in public</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Pay a new account without asking anyone to read the name; never have her PIN spoken aloud</w:t>
            </w:r>
          </w:p>
        </w:tc>
      </w:tr>
      <w:tr>
        <w:trPr>
          <w:cantSplit/>
        </w:trPr>
        <w:tc>
          <w:tcPr>
            <w:tcW w:type="dxa" w:w="166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Musa, low vision, trader, Kano</w:t>
            </w:r>
          </w:p>
        </w:tc>
        <w:tc>
          <w:tcPr>
            <w:tcW w:type="dxa" w:w="359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Android, large text, magnification, high contrast</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Readable amounts at 200% zoom; no information carried only by colour</w:t>
            </w:r>
          </w:p>
        </w:tc>
      </w:tr>
      <w:tr>
        <w:trPr>
          <w:cantSplit/>
        </w:trPr>
        <w:tc>
          <w:tcPr>
            <w:tcW w:type="dxa" w:w="166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Chinedu, blind, uses USSD today</w:t>
            </w:r>
          </w:p>
        </w:tc>
        <w:tc>
          <w:tcPr>
            <w:tcW w:type="dxa" w:w="359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Feature phone plus a basic Android</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 reason to move from USSD: clearer review, safer outcomes, readable history</w:t>
            </w:r>
          </w:p>
        </w:tc>
      </w:tr>
      <w:tr>
        <w:trPr>
          <w:cantSplit/>
        </w:trPr>
        <w:tc>
          <w:tcPr>
            <w:tcW w:type="dxa" w:w="1665"/>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Grace, limited hand mobility</w:t>
            </w:r>
          </w:p>
        </w:tc>
        <w:tc>
          <w:tcPr>
            <w:tcW w:type="dxa" w:w="359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Android, Voice Access or switch control</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Visible labels that match spoken commands; no time pressure; large targets</w:t>
            </w:r>
          </w:p>
        </w:tc>
      </w:tr>
    </w:tbl>
    <w:p>
      <w:pPr>
        <w:spacing w:after="80"/>
      </w:pPr>
    </w:p>
    <w:p>
      <w:r>
        <w:t xml:space="preserve">Context that shapes design:</w:t>
      </w:r>
    </w:p>
    <w:p>
      <w:pPr>
        <w:pStyle w:val="ListParagraph"/>
        <w:numPr>
          <w:ilvl w:val="0"/>
          <w:numId w:val="2"/>
        </w:numPr>
      </w:pPr>
      <w:r>
        <w:t xml:space="preserve">Android is the dominant platform in Nigeria, often on low-RAM devices. TalkBack on such a device is the primary test target.</w:t>
      </w:r>
    </w:p>
    <w:p>
      <w:pPr>
        <w:pStyle w:val="ListParagraph"/>
        <w:numPr>
          <w:ilvl w:val="0"/>
          <w:numId w:val="2"/>
        </w:numPr>
      </w:pPr>
      <w:r>
        <w:t xml:space="preserve">Many users already bank by USSD, for example Zenith's *966#. WAYMARK must be clearly better for the tasks it covers.</w:t>
      </w:r>
    </w:p>
    <w:p>
      <w:pPr>
        <w:pStyle w:val="ListParagraph"/>
        <w:numPr>
          <w:ilvl w:val="0"/>
          <w:numId w:val="2"/>
        </w:numPr>
      </w:pPr>
      <w:r>
        <w:t xml:space="preserve">Data is expensive and connectivity is patchy. The app must work offline once loaded.</w:t>
      </w:r>
    </w:p>
    <w:p>
      <w:pPr>
        <w:pStyle w:val="ListParagraph"/>
        <w:numPr>
          <w:ilvl w:val="0"/>
          <w:numId w:val="2"/>
        </w:numPr>
      </w:pPr>
      <w:r>
        <w:t xml:space="preserve">Screen-reader output in Yoruba, Hausa, Igbo and Pidgin depends on the phone's text-to-speech voices, which are limited. v1.0 ships in plain Nigerian English; other languages wait for research.</w:t>
      </w:r>
    </w:p>
    <w:p>
      <w:pPr>
        <w:pStyle w:val="Heading1"/>
      </w:pPr>
      <w:r>
        <w:t xml:space="preserve">Headline idea: Hear who you pay</w:t>
      </w:r>
    </w:p>
    <w:p>
      <w:r>
        <w:t xml:space="preserve">WAYMARK's pitch is that a blind customer can pay a brand-new account number, privately and confidently, with no sighted help. Everything else in the product supports that one moment.</w:t>
      </w:r>
    </w:p>
    <w:p>
      <w:r>
        <w:rPr>
          <w:b/>
          <w:bCs/>
        </w:rPr>
        <w:t xml:space="preserve">1. Hear who you pay (headline).</w:t>
      </w:r>
      <w:r>
        <w:t xml:space="preserve"> The user types a 10-digit account number and picks a bank. The demo looks the number up in a fictional directory, the way a real name enquiry works, and returns the account name. WAYMARK then:</w:t>
      </w:r>
    </w:p>
    <w:p>
      <w:pPr>
        <w:pStyle w:val="ListParagraph"/>
        <w:numPr>
          <w:ilvl w:val="0"/>
          <w:numId w:val="2"/>
        </w:numPr>
      </w:pPr>
      <w:r>
        <w:t xml:space="preserve">reads the name once, focused and complete, then offers Spell name, which reads it letter by letter;</w:t>
      </w:r>
    </w:p>
    <w:p>
      <w:pPr>
        <w:pStyle w:val="ListParagraph"/>
        <w:numPr>
          <w:ilvl w:val="0"/>
          <w:numId w:val="2"/>
        </w:numPr>
      </w:pPr>
      <w:r>
        <w:t xml:space="preserve">warns when the name closely matches a saved beneficiary but the number differs, for example "This is not your saved Adaeze Okafor. Different account number.";</w:t>
      </w:r>
    </w:p>
    <w:p>
      <w:pPr>
        <w:pStyle w:val="ListParagraph"/>
        <w:numPr>
          <w:ilvl w:val="0"/>
          <w:numId w:val="2"/>
        </w:numPr>
      </w:pPr>
      <w:r>
        <w:t xml:space="preserve">requires the user to confirm the name with a separate control before the amount step;</w:t>
      </w:r>
    </w:p>
    <w:p>
      <w:pPr>
        <w:pStyle w:val="ListParagraph"/>
        <w:numPr>
          <w:ilvl w:val="0"/>
          <w:numId w:val="2"/>
        </w:numPr>
      </w:pPr>
      <w:r>
        <w:t xml:space="preserve">reads back only the last four digits afterwards, as "account ending 4 7 1 9".</w:t>
      </w:r>
    </w:p>
    <w:p>
      <w:r>
        <w:rPr>
          <w:b/>
          <w:bCs/>
        </w:rPr>
        <w:t xml:space="preserve">2. Fingerprint approval (supporting).</w:t>
      </w:r>
      <w:r>
        <w:t xml:space="preserve"> Sign-in and payments are approved with one touch of the phone's fingerprint or face unlock, through WebAuthn. Nothing is spoken or typed, so nothing can be overheard. Typed PINs cannot be made private for screen-reader users: TalkBack reads each keyboard key aloud as the finger explores it, even in a password field. A demo pin remains as a fallback, with a headphones warning. A short warning before PIN entry says that anyone nearby may hear your screen reader.</w:t>
      </w:r>
    </w:p>
    <w:p>
      <w:r>
        <w:rPr>
          <w:b/>
          <w:bCs/>
        </w:rPr>
        <w:t xml:space="preserve">3. Outcome signatures (supporting).</w:t>
      </w:r>
      <w:r>
        <w:t xml:space="preserve"> Success, failure and pending each have a distinct short vibration pattern, alongside the spoken heading. Users who turn off speech in public, or who are deafblind, can still tell the outcome. Haptics can be turned off in Settings and are never the only signal.</w:t>
      </w:r>
    </w:p>
    <w:p>
      <w:r>
        <w:t xml:space="preserve">Why these three: each one targets a moment where blind users currently hand over their phone. A judge can see all three in a 90-second demo.</w:t>
      </w:r>
    </w:p>
    <w:p>
      <w:pPr>
        <w:pStyle w:val="Heading1"/>
      </w:pPr>
      <w:r>
        <w:t xml:space="preserve">Scope</w:t>
      </w:r>
    </w:p>
    <w:p>
      <w:r>
        <w:t xml:space="preserve">Must items make the submission credible. Should items go in if time allows. Nothing marked Out may be implied to exist.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2"/>
        <w:gridCol w:w="378"/>
        <w:gridCol w:w="3307"/>
        <w:gridCol w:w="3309"/>
      </w:tblGrid>
      <w:tr>
        <w:trPr>
          <w:tblHeader/>
        </w:trPr>
        <w:tc>
          <w:tcPr>
            <w:tcW w:type="dxa" w:w="2032"/>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Area</w:t>
            </w:r>
          </w:p>
        </w:tc>
        <w:tc>
          <w:tcPr>
            <w:tcW w:type="dxa" w:w="378"/>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Priority</w:t>
            </w:r>
          </w:p>
        </w:tc>
        <w:tc>
          <w:tcPr>
            <w:tcW w:type="dxa" w:w="330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In the demo</w:t>
            </w:r>
          </w:p>
        </w:tc>
        <w:tc>
          <w:tcPr>
            <w:tcW w:type="dxa" w:w="3309"/>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Boundary</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Welcome and disclosure</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Purpose, demo disclosure, Start demo</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Zenith logo or branding that implies endorsement</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Simulated sign-in</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Any valid Nigerian mobile number, demo OTP with no expiry pressure, demo PIN set-up</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Number is checked for format only and never stored; code is printed on screen; real credentials never accepted</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Home</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Demo balance, primary actions, three recent items</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Balance is not spoken automatically</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Activity and detail</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Full list, detail view with reference and status</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Synthetic only, no statements to download</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Pay a new account</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NUBAN entry, bank picker, name lookup, lookalike warning</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Fictional directory of about 12 accounts</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Pay a saved beneficiary</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Native radio list of seeded beneficiaries</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add or edit</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Review, PIN, outcome</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Review, private PIN, simulated success, failure, pending, unknown</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Demo bank behaviour chosen by a disclosed switch</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Help</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Status meanings, demo limits, how to go back</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phone numbers or live-support claims</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Settings</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size, high contrast, reduced motion, haptics</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Never overrides OS settings</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Reset demo</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Must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One control restores seed data</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Beneficiaries screen</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Should</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Read-only list</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Pidgin copy</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Could</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Only if a native speaker reviews it</w:t>
            </w: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Real KYC, liveness, biometrics</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Out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Explained in pitch as next phase</w:t>
            </w: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Bills, airtime, cards, loans, international</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Out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r>
      <w:tr>
        <w:trPr>
          <w:cantSplit/>
        </w:trPr>
        <w:tc>
          <w:tcPr>
            <w:tcW w:type="dxa" w:w="203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AI or voice agent that moves money</w:t>
            </w:r>
          </w:p>
        </w:tc>
        <w:tc>
          <w:tcPr>
            <w:tcW w:type="dxa" w:w="37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Out</w:t>
            </w:r>
          </w:p>
        </w:tc>
        <w:tc>
          <w:tcPr>
            <w:tcW w:type="dxa" w:w="33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p>
        </w:tc>
        <w:tc>
          <w:tcPr>
            <w:tcW w:type="dxa" w:w="3309"/>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Speech input via OS tools only</w:t>
            </w:r>
          </w:p>
        </w:tc>
      </w:tr>
    </w:tbl>
    <w:p>
      <w:pPr>
        <w:spacing w:after="80"/>
      </w:pPr>
    </w:p>
    <w:p>
      <w:pPr>
        <w:pStyle w:val="Heading1"/>
      </w:pPr>
      <w:r>
        <w:t xml:space="preserve">Journeys</w:t>
      </w:r>
    </w:p>
    <w:p>
      <w:r>
        <w:t xml:space="preserve">The demo script walks J1 to J4 in order in about 90 seconds; J5 and J6 are the alternate demonstrations.</w:t>
      </w:r>
    </w:p>
    <w:p>
      <w:pPr>
        <w:pStyle w:val="ListParagraph"/>
        <w:numPr>
          <w:ilvl w:val="0"/>
          <w:numId w:val="3"/>
        </w:numPr>
      </w:pPr>
      <w:r>
        <w:rPr>
          <w:b/>
          <w:bCs/>
        </w:rPr>
        <w:t xml:space="preserve">J1 Enter and sign in.</w:t>
      </w:r>
      <w:r>
        <w:t xml:space="preserve"> Welcome screen explains the demo once. User enters any Nigerian mobile number and the printed demo OTP. No countdown runs; if the user is idle, the OTP stays valid. User sets a 4-digit demo PIN using the private keypad.</w:t>
      </w:r>
    </w:p>
    <w:p>
      <w:pPr>
        <w:pStyle w:val="ListParagraph"/>
        <w:numPr>
          <w:ilvl w:val="0"/>
          <w:numId w:val="3"/>
        </w:numPr>
      </w:pPr>
      <w:r>
        <w:rPr>
          <w:b/>
          <w:bCs/>
        </w:rPr>
        <w:t xml:space="preserve">J2 Orient.</w:t>
      </w:r>
      <w:r>
        <w:t xml:space="preserve"> Home opens with focus on the heading "Home". User moves by heading to Balance, hears "Demo balance, 245,800 naira", then to Recent activity.</w:t>
      </w:r>
    </w:p>
    <w:p>
      <w:pPr>
        <w:pStyle w:val="ListParagraph"/>
        <w:numPr>
          <w:ilvl w:val="0"/>
          <w:numId w:val="3"/>
        </w:numPr>
      </w:pPr>
      <w:r>
        <w:rPr>
          <w:b/>
          <w:bCs/>
        </w:rPr>
        <w:t xml:space="preserve">J3 Pay a new account.</w:t>
      </w:r>
      <w:r>
        <w:t xml:space="preserve"> User chooses Pay someone, then New account. Types a 10-digit number and chooses a bank from a native select. Hears the looked-up name, optionally spells it, confirms it. Enters amount, hears fee and total, reaches Review.</w:t>
      </w:r>
    </w:p>
    <w:p>
      <w:pPr>
        <w:pStyle w:val="ListParagraph"/>
        <w:numPr>
          <w:ilvl w:val="0"/>
          <w:numId w:val="3"/>
        </w:numPr>
      </w:pPr>
      <w:r>
        <w:rPr>
          <w:b/>
          <w:bCs/>
        </w:rPr>
        <w:t xml:space="preserve">J4 Authorise and confirm.</w:t>
      </w:r>
      <w:r>
        <w:t xml:space="preserve"> Review reads recipient, bank, account ending, amount, fee, total debit and note in one order. User enters the demo PIN and activates Confirm transfer. Focus moves to the outcome heading; the outcome vibration plays; activity and balance update once.</w:t>
      </w:r>
    </w:p>
    <w:p>
      <w:pPr>
        <w:pStyle w:val="ListParagraph"/>
        <w:numPr>
          <w:ilvl w:val="0"/>
          <w:numId w:val="3"/>
        </w:numPr>
      </w:pPr>
      <w:r>
        <w:rPr>
          <w:b/>
          <w:bCs/>
        </w:rPr>
        <w:t xml:space="preserve">J5 Recover.</w:t>
      </w:r>
      <w:r>
        <w:t xml:space="preserve"> User enters an amount over the balance. Error summary names the problem and links to the field; the entered amount is kept. User corrects and continues.</w:t>
      </w:r>
    </w:p>
    <w:p>
      <w:pPr>
        <w:pStyle w:val="ListParagraph"/>
        <w:numPr>
          <w:ilvl w:val="0"/>
          <w:numId w:val="3"/>
        </w:numPr>
      </w:pPr>
      <w:r>
        <w:rPr>
          <w:b/>
          <w:bCs/>
        </w:rPr>
        <w:t xml:space="preserve">J6 Unknown outcome.</w:t>
      </w:r>
      <w:r>
        <w:t xml:space="preserve"> With Demo bank behaviour set to "The connection drops after sending", the app waits 6 seconds, then the outcome screen says "We could not confirm this transfer yet. Do not send it again." The only primary action is Check status. Checking resolves it to Completed, and activity shows one transfer.</w:t>
      </w:r>
    </w:p>
    <w:p>
      <w:pPr>
        <w:pStyle w:val="Heading1"/>
      </w:pPr>
      <w:r>
        <w:t xml:space="preserve">Functional requirements</w:t>
      </w:r>
    </w:p>
    <w:p>
      <w:r>
        <w:t xml:space="preserve">IDs are new in v1.0 and replace both drafts' numbering. All are Must unless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3"/>
        <w:gridCol w:w="3806"/>
        <w:gridCol w:w="3807"/>
      </w:tblGrid>
      <w:tr>
        <w:trPr>
          <w:tblHeader/>
        </w:trPr>
        <w:tc>
          <w:tcPr>
            <w:tcW w:type="dxa" w:w="1413"/>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ID</w:t>
            </w:r>
          </w:p>
        </w:tc>
        <w:tc>
          <w:tcPr>
            <w:tcW w:type="dxa" w:w="3806"/>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Requirement</w:t>
            </w:r>
          </w:p>
        </w:tc>
        <w:tc>
          <w:tcPr>
            <w:tcW w:type="dxa" w:w="380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Acceptance</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FR-01 Disclosure</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Welcome states once that this is a prototype with synthetic data that cannot move money. A short notice sits in the footer landmark on every screen.</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Disclosure is reached before any account data; the footer notice is not read at the top of each screen.</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FR-02 No real credentials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field invites a real password, PIN, OTP, card or BVN. Demo values are printed beside each field.</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Copy review finds no invitation to enter real data.</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FR-03 Demo sign-in</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Any valid Nigerian mobile number (070, 080, 081, 090 or 091, or +234) is accepted, held in memory only during sign-in. The code accepts only the printed demo value. No timer, or a timer the user can extend.</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 screen-reader user finishes sign-in with no time-out.</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FR-04 Balance</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Balance is labelled as the demo balance and spoken in naira words.</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Speech output matches the spoken forms in Accessibility.</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FR-05 Activity</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Newest first; each item gives description, date, amount with direction word, status word.</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Understandable with colour and icons removed.</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FR-06 Detail</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Selecting an item opens description, date and time, amount, direction, fee, status, reference.</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Heading and labelled fields in reading order.</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FR-07 New-account entry</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10-digit numeric entry and native bank select. Rejects wrong length with a field error.</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9 or 11 digits blocked with a specific message.</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FR-08 Name lookup</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Valid number and bank return a fictional name, or "No account found". Spell name control available.</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Name heard once; spelling works letter by letter.</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FR-09 Lookalike warning</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Name similar to a saved beneficiary but different number triggers a warning before confirmation.</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Seeded lookalike case shows the warning.</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FR-10 Name confirmation</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User must activate Yes, this is who I want to pay before the amount step.</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step unreachable without it.</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FR-11 Saved beneficiaries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Native radio group, each option giving name, bank and account ending.</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Selected option announced and carried into Review.</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FR-12 Amount</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input with inputmode decimal. Rejects blank, non-numeric, zero, negative, more than two decimals, and amount plus fee over balance.</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Each case gives its own message; value kept.</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FR-13 Fee</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Fee and total debit shown before Review. A zero fee is stated as zero.</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Total equals amount plus fee everywhere it appears.</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FR-14 Review</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Recipient, bank, account ending, amount, fee, total debit, note, in one reading order. Edit returns with values kept.</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Opening Review or pressing Edit never submits.</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FR-15 Fingerprint approval</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Sign-in and payment approval by fingerprint or face unlock (WebAuthn, platform authenticator, user verification required). A returning user signs in with one touch. Demo pin as fallback, spoken as "pin", with a headphones warning.</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 fingerprint payment needs no typing; a failed touch sends nothing.</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FR-16 Confirm</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Separate Confirm transfer control after PIN. Disabled while processing. One operation id per attempt.</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Ten rapid activations create one transfer.</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FR-17 Outcomes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Completed, Failed, Pending, Outcome unknown, each with heading, recipient, amount, reference where known, next action.</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Each state is distinguishable by text alone.</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FR-18 Unknown safety</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Unknown and Pending offer Check status, not Send again.</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resend path until resolved.</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FR-19 Ledger consistency</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Success debits balance once and adds one activity item. Failure and cancel change nothing.</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Invariant tests pass.</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FR-20 Haptics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Distinct vibration per outcome where the device supports it; toggle in Settings.</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Off by toggle; never the only signal.</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FR-21 Cancel</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Cancel before Confirm states "Nothing was sent" and returns Home.</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ledger change.</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FR-22 Help</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Explains statuses, demo limits, how to go back. No phone or email.</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Reachable from every screen.</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FR-23 Settings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 size, high contrast, reduced motion, haptics. Applied immediately, announced, kept for the session.</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Functions survive every combination.</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FR-24 Reset</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Reset demo restores seed data and settings.</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Same script runs identically after reset.</w:t>
            </w:r>
          </w:p>
        </w:tc>
      </w:tr>
      <w:tr>
        <w:trPr>
          <w:cantSplit/>
        </w:trPr>
        <w:tc>
          <w:tcPr>
            <w:tcW w:type="dxa" w:w="141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FR-25 Errors</w:t>
            </w:r>
          </w:p>
        </w:tc>
        <w:tc>
          <w:tcPr>
            <w:tcW w:type="dxa" w:w="380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Every error says what happened, what to do, and whether money may have moved.</w:t>
            </w:r>
          </w:p>
        </w:tc>
        <w:tc>
          <w:tcPr>
            <w:tcW w:type="dxa" w:w="380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Error catalogue copy review.</w:t>
            </w:r>
          </w:p>
        </w:tc>
      </w:tr>
    </w:tbl>
    <w:p>
      <w:pPr>
        <w:spacing w:after="80"/>
      </w:pPr>
    </w:p>
    <w:p>
      <w:pPr>
        <w:pStyle w:val="Heading1"/>
      </w:pPr>
      <w:r>
        <w:t xml:space="preserve">Accessibility</w:t>
      </w:r>
    </w:p>
    <w:p>
      <w:r>
        <w:t xml:space="preserve">Target is WCAG 2.2 AA, verified by manual testing on real devices. Automated checks are a floor, not evidence of compliance.</w:t>
      </w:r>
    </w:p>
    <w:p>
      <w:pPr>
        <w:pStyle w:val="Heading2"/>
      </w:pPr>
      <w:r>
        <w:t xml:space="preserve">Semantics and focus</w:t>
      </w:r>
    </w:p>
    <w:p>
      <w:pPr>
        <w:pStyle w:val="ListParagraph"/>
        <w:numPr>
          <w:ilvl w:val="0"/>
          <w:numId w:val="2"/>
        </w:numPr>
      </w:pPr>
      <w:r>
        <w:t xml:space="preserve">Native elements first: headings, landmarks, lists, buttons, labels, fieldset with legend, select, radio. No ARIA listbox or custom combobox.</w:t>
      </w:r>
    </w:p>
    <w:p>
      <w:pPr>
        <w:pStyle w:val="ListParagraph"/>
        <w:numPr>
          <w:ilvl w:val="0"/>
          <w:numId w:val="2"/>
        </w:numPr>
      </w:pPr>
      <w:r>
        <w:t xml:space="preserve">One H1 per screen. On every screen change, focus moves to that H1. No live region repeats it.</w:t>
      </w:r>
    </w:p>
    <w:p>
      <w:pPr>
        <w:pStyle w:val="ListParagraph"/>
        <w:numPr>
          <w:ilvl w:val="0"/>
          <w:numId w:val="2"/>
        </w:numPr>
      </w:pPr>
      <w:r>
        <w:t xml:space="preserve">Live regions only for in-place changes that do not move focus, such as "Looking up account" and "Digit 2 of 4 entered".</w:t>
      </w:r>
    </w:p>
    <w:p>
      <w:pPr>
        <w:pStyle w:val="ListParagraph"/>
        <w:numPr>
          <w:ilvl w:val="0"/>
          <w:numId w:val="2"/>
        </w:numPr>
      </w:pPr>
      <w:r>
        <w:t xml:space="preserve">Errors: an error summary with links at the top of the form, focus moved to it, and each field has aria-invalid and aria-describedby.</w:t>
      </w:r>
    </w:p>
    <w:p>
      <w:pPr>
        <w:pStyle w:val="ListParagraph"/>
        <w:numPr>
          <w:ilvl w:val="0"/>
          <w:numId w:val="2"/>
        </w:numPr>
      </w:pPr>
      <w:r>
        <w:t xml:space="preserve">Decorative icons have aria-hidden. Visible focus ring at least 3 px with 3:1 contrast.</w:t>
      </w:r>
    </w:p>
    <w:p>
      <w:pPr>
        <w:pStyle w:val="Heading2"/>
      </w:pPr>
      <w:r>
        <w:t xml:space="preserve">Exact spoken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4"/>
        <w:gridCol w:w="2308"/>
        <w:gridCol w:w="5144"/>
      </w:tblGrid>
      <w:tr>
        <w:trPr>
          <w:tblHeader/>
        </w:trPr>
        <w:tc>
          <w:tcPr>
            <w:tcW w:type="dxa" w:w="1574"/>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Shown on screen</w:t>
            </w:r>
          </w:p>
        </w:tc>
        <w:tc>
          <w:tcPr>
            <w:tcW w:type="dxa" w:w="2308"/>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Accessible text</w:t>
            </w:r>
          </w:p>
        </w:tc>
        <w:tc>
          <w:tcPr>
            <w:tcW w:type="dxa" w:w="5144"/>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Why</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₦245,800.00</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245,800 naira</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Some TTS voices read the ₦ sign as "N" or skip it</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₦1,250.50</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1,250 naira 50 kobo</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Avoids "point five zero"</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******4719</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account ending 4 7 1 9</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Avoids "star star star"</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−₦5,000</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Debit, 5,000 naira</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Minus signs are often silent</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10/10/2026</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10 October 2026</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Avoids month and day ambiguity</w:t>
            </w:r>
          </w:p>
        </w:tc>
      </w:tr>
      <w:tr>
        <w:trPr>
          <w:cantSplit/>
        </w:trPr>
        <w:tc>
          <w:tcPr>
            <w:tcW w:type="dxa" w:w="157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Ref WM-7F3K</w:t>
            </w:r>
          </w:p>
        </w:tc>
        <w:tc>
          <w:tcPr>
            <w:tcW w:type="dxa" w:w="2308"/>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Reference W M 7 F 3 K</w:t>
            </w:r>
          </w:p>
        </w:tc>
        <w:tc>
          <w:tcPr>
            <w:tcW w:type="dxa" w:w="514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Read character by character</w:t>
            </w:r>
          </w:p>
        </w:tc>
      </w:tr>
    </w:tbl>
    <w:p>
      <w:pPr>
        <w:spacing w:after="80"/>
      </w:pPr>
    </w:p>
    <w:p>
      <w:pPr>
        <w:pStyle w:val="Heading2"/>
      </w:pPr>
      <w:r>
        <w:t xml:space="preserve">Cross-disability baseline</w:t>
      </w:r>
    </w:p>
    <w:p>
      <w:pPr>
        <w:pStyle w:val="ListParagraph"/>
        <w:numPr>
          <w:ilvl w:val="0"/>
          <w:numId w:val="2"/>
        </w:numPr>
      </w:pPr>
      <w:r>
        <w:t xml:space="preserve">Motor: every visible label is the start of the accessible name (WCAG 2.5.3) so Voice Access commands work. Targets at least 44 by 44 px. No gestures beyond a single tap. Switch Access tested once.</w:t>
      </w:r>
    </w:p>
    <w:p>
      <w:pPr>
        <w:pStyle w:val="ListParagraph"/>
        <w:numPr>
          <w:ilvl w:val="0"/>
          <w:numId w:val="2"/>
        </w:numPr>
      </w:pPr>
      <w:r>
        <w:t xml:space="preserve">Time: no session time-out in the demo. Any timer can be extended (WCAG 2.2.1).</w:t>
      </w:r>
    </w:p>
    <w:p>
      <w:pPr>
        <w:pStyle w:val="ListParagraph"/>
        <w:numPr>
          <w:ilvl w:val="0"/>
          <w:numId w:val="2"/>
        </w:numPr>
      </w:pPr>
      <w:r>
        <w:t xml:space="preserve">Hearing: no information is carried by sound alone. No audio or video content.</w:t>
      </w:r>
    </w:p>
    <w:p>
      <w:pPr>
        <w:pStyle w:val="ListParagraph"/>
        <w:numPr>
          <w:ilvl w:val="0"/>
          <w:numId w:val="2"/>
        </w:numPr>
      </w:pPr>
      <w:r>
        <w:t xml:space="preserve">Cognitive: one task per screen, plain words, consistent button names, Help reachable everywhere.</w:t>
      </w:r>
    </w:p>
    <w:p>
      <w:pPr>
        <w:pStyle w:val="ListParagraph"/>
        <w:numPr>
          <w:ilvl w:val="0"/>
          <w:numId w:val="2"/>
        </w:numPr>
      </w:pPr>
      <w:r>
        <w:t xml:space="preserve">Low vision: works at 200% zoom and 320 px width with no sideways scroll; text spacing override keeps all content; status never shown by colour alone.</w:t>
      </w:r>
    </w:p>
    <w:p>
      <w:pPr>
        <w:pStyle w:val="Heading2"/>
      </w:pPr>
      <w:r>
        <w:t xml:space="preserve">Privacy of speech</w:t>
      </w:r>
    </w:p>
    <w:p>
      <w:pPr>
        <w:pStyle w:val="ListParagraph"/>
        <w:numPr>
          <w:ilvl w:val="0"/>
          <w:numId w:val="2"/>
        </w:numPr>
      </w:pPr>
      <w:r>
        <w:t xml:space="preserve">Nothing sensitive is read automatically on load; the user moves to it.</w:t>
      </w:r>
    </w:p>
    <w:p>
      <w:pPr>
        <w:pStyle w:val="ListParagraph"/>
        <w:numPr>
          <w:ilvl w:val="0"/>
          <w:numId w:val="2"/>
        </w:numPr>
      </w:pPr>
      <w:r>
        <w:t xml:space="preserve">WAYMARK has no custom speech engine. It relies on the user's own screen reader at their own rate.</w:t>
      </w:r>
    </w:p>
    <w:p>
      <w:pPr>
        <w:pStyle w:val="Heading1"/>
      </w:pPr>
      <w:r>
        <w:t xml:space="preserve">Transfer states</w:t>
      </w:r>
    </w:p>
    <w:p>
      <w:r>
        <w:t xml:space="preserve">A transfer never jumps from Confirm straight to success. Every attempt passes through Processing, and the two uncertain outcomes can only be resolved by checking status.</w:t>
      </w:r>
    </w:p>
    <w:p>
      <w:pPr>
        <w:jc w:val="center"/>
      </w:pPr>
      <w:r>
        <w:drawing>
          <wp:inline distT="0" distB="0" distL="0" distR="0">
            <wp:extent cx="5715000" cy="2686050"/>
            <wp:effectExtent t="0" r="0" b="0" l="0"/>
            <wp:docPr id="1" name="Transfer state machine: Draft, Review, Processing, then Completed, Failed, Pending or Outcome unknown; Pending and Unknown resolve only by Check status; Draft and Review can be cancelled" descr="Transfer state machine: Draft, Review, Processing, then Completed, Failed, Pending or Outcome unknown; Pending and Unknown resolve only by Check status; Draft and Review can be cancelled" title="Transfer state machine: Draft, Review, Processing, then Completed, Failed, Pending or Outcome unknown; Pending and Unknown resolve only by Check status; Draft and Review can be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86050"/>
                    </a:xfrm>
                    <a:prstGeom prst="rect">
                      <a:avLst/>
                    </a:prstGeom>
                  </pic:spPr>
                </pic:pic>
              </a:graphicData>
            </a:graphic>
          </wp:inline>
        </w:drawing>
      </w:r>
    </w:p>
    <w:p>
      <w:pPr>
        <w:pStyle w:val="ListParagraph"/>
        <w:numPr>
          <w:ilvl w:val="0"/>
          <w:numId w:val="2"/>
        </w:numPr>
      </w:pPr>
      <w:r>
        <w:t xml:space="preserve">Draft and Review can be cancelled; the screen then says "Nothing was sent".</w:t>
      </w:r>
    </w:p>
    <w:p>
      <w:pPr>
        <w:pStyle w:val="ListParagraph"/>
        <w:numPr>
          <w:ilvl w:val="0"/>
          <w:numId w:val="2"/>
        </w:numPr>
      </w:pPr>
      <w:r>
        <w:t xml:space="preserve">Only Completed changes the balance and activity, exactly once.</w:t>
      </w:r>
    </w:p>
    <w:p>
      <w:pPr>
        <w:pStyle w:val="ListParagraph"/>
        <w:numPr>
          <w:ilvl w:val="0"/>
          <w:numId w:val="2"/>
        </w:numPr>
      </w:pPr>
      <w:r>
        <w:t xml:space="preserve">Pending and Outcome unknown show Check status as the only primary action. No Send again control exists in those states.</w:t>
      </w:r>
    </w:p>
    <w:p>
      <w:pPr>
        <w:pStyle w:val="ListParagraph"/>
        <w:numPr>
          <w:ilvl w:val="0"/>
          <w:numId w:val="2"/>
        </w:numPr>
      </w:pPr>
      <w:r>
        <w:t xml:space="preserve">A switch on the Review screen, labelled "Demo bank behaviour", makes the demo bank complete, decline or hold the transfer, or drops the connection after sending. A dropped reply becomes Outcome unknown because the app gives up after 6 seconds, not because the switch says so.</w:t>
      </w:r>
    </w:p>
    <w:p>
      <w:pPr>
        <w:pStyle w:val="Heading1"/>
      </w:pPr>
      <w:r>
        <w:t xml:space="preserve">Architecture and data</w:t>
      </w:r>
    </w:p>
    <w:p>
      <w:r>
        <w:t xml:space="preserve">The demo is a static web app: semantic HTML, CSS and plain JavaScript modules, with no build step and no runtime dependencies. It is hosted at a public HTTPS URL for judges and also runs from a local folder.</w:t>
      </w:r>
    </w:p>
    <w:p>
      <w:pPr>
        <w:pStyle w:val="Heading2"/>
      </w:pPr>
      <w:r>
        <w:t xml:space="preserve">Layout</w:t>
      </w:r>
    </w:p>
    <w:p>
      <w:pPr>
        <w:pStyle w:val="ListParagraph"/>
        <w:numPr>
          <w:ilvl w:val="0"/>
          <w:numId w:val="2"/>
        </w:numPr>
      </w:pPr>
      <w:r>
        <w:rPr>
          <w:rFonts w:ascii="Consolas" w:cs="Consolas" w:eastAsia="Consolas" w:hAnsi="Consolas"/>
        </w:rPr>
        <w:t xml:space="preserve">app/index.html</w:t>
      </w:r>
      <w:r>
        <w:t xml:space="preserve">, </w:t>
      </w:r>
      <w:r>
        <w:rPr>
          <w:rFonts w:ascii="Consolas" w:cs="Consolas" w:eastAsia="Consolas" w:hAnsi="Consolas"/>
        </w:rPr>
        <w:t xml:space="preserve">app/styles.css</w:t>
      </w:r>
      <w:r>
        <w:t xml:space="preserve">: shell and screens.</w:t>
      </w:r>
    </w:p>
    <w:p>
      <w:pPr>
        <w:pStyle w:val="ListParagraph"/>
        <w:numPr>
          <w:ilvl w:val="0"/>
          <w:numId w:val="2"/>
        </w:numPr>
      </w:pPr>
      <w:r>
        <w:rPr>
          <w:rFonts w:ascii="Consolas" w:cs="Consolas" w:eastAsia="Consolas" w:hAnsi="Consolas"/>
        </w:rPr>
        <w:t xml:space="preserve">app/domain/</w:t>
      </w:r>
      <w:r>
        <w:t xml:space="preserve">: pure functions for money, validation, the transfer state machine, the ledger and name lookup. No DOM access.</w:t>
      </w:r>
    </w:p>
    <w:p>
      <w:pPr>
        <w:pStyle w:val="ListParagraph"/>
        <w:numPr>
          <w:ilvl w:val="0"/>
          <w:numId w:val="2"/>
        </w:numPr>
      </w:pPr>
      <w:r>
        <w:rPr>
          <w:rFonts w:ascii="Consolas" w:cs="Consolas" w:eastAsia="Consolas" w:hAnsi="Consolas"/>
        </w:rPr>
        <w:t xml:space="preserve">app/ui/</w:t>
      </w:r>
      <w:r>
        <w:t xml:space="preserve">: rendering, focus management, haptics.</w:t>
      </w:r>
    </w:p>
    <w:p>
      <w:pPr>
        <w:pStyle w:val="ListParagraph"/>
        <w:numPr>
          <w:ilvl w:val="0"/>
          <w:numId w:val="2"/>
        </w:numPr>
      </w:pPr>
      <w:r>
        <w:rPr>
          <w:rFonts w:ascii="Consolas" w:cs="Consolas" w:eastAsia="Consolas" w:hAnsi="Consolas"/>
        </w:rPr>
        <w:t xml:space="preserve">app/bank/</w:t>
      </w:r>
      <w:r>
        <w:t xml:space="preserve">: the bank boundary (account, activity, name lookup, fee quote, submit with idempotency key, status), the in-browser DemoBank behind it, and the transfer client that turns no reply within 6 seconds into Outcome unknown.</w:t>
      </w:r>
    </w:p>
    <w:p>
      <w:pPr>
        <w:pStyle w:val="ListParagraph"/>
        <w:numPr>
          <w:ilvl w:val="0"/>
          <w:numId w:val="2"/>
        </w:numPr>
      </w:pPr>
      <w:r>
        <w:rPr>
          <w:rFonts w:ascii="Consolas" w:cs="Consolas" w:eastAsia="Consolas" w:hAnsi="Consolas"/>
        </w:rPr>
        <w:t xml:space="preserve">app/data/seed.js</w:t>
      </w:r>
      <w:r>
        <w:t xml:space="preserve">: fictional accounts, beneficiaries, directory and history.</w:t>
      </w:r>
    </w:p>
    <w:p>
      <w:pPr>
        <w:pStyle w:val="ListParagraph"/>
        <w:numPr>
          <w:ilvl w:val="0"/>
          <w:numId w:val="2"/>
        </w:numPr>
      </w:pPr>
      <w:r>
        <w:rPr>
          <w:rFonts w:ascii="Consolas" w:cs="Consolas" w:eastAsia="Consolas" w:hAnsi="Consolas"/>
        </w:rPr>
        <w:t xml:space="preserve">tests/</w:t>
      </w:r>
      <w:r>
        <w:t xml:space="preserve">: unit tests run with </w:t>
      </w:r>
      <w:r>
        <w:rPr>
          <w:rFonts w:ascii="Consolas" w:cs="Consolas" w:eastAsia="Consolas" w:hAnsi="Consolas"/>
        </w:rPr>
        <w:t xml:space="preserve">node --test</w:t>
      </w:r>
      <w:r>
        <w:t xml:space="preserve">, no packages to install. Optional Playwright plus axe-core run for smoke checks, kept separate.</w:t>
      </w:r>
    </w:p>
    <w:p>
      <w:pPr>
        <w:pStyle w:val="Heading2"/>
      </w:pPr>
      <w:r>
        <w:t xml:space="preserve">Rules</w:t>
      </w:r>
    </w:p>
    <w:p>
      <w:pPr>
        <w:pStyle w:val="ListParagraph"/>
        <w:numPr>
          <w:ilvl w:val="0"/>
          <w:numId w:val="2"/>
        </w:numPr>
      </w:pPr>
      <w:r>
        <w:t xml:space="preserve">Money is integer kobo everywhere. Parsing converts text input to kobo once; display formats from kobo.</w:t>
      </w:r>
    </w:p>
    <w:p>
      <w:pPr>
        <w:pStyle w:val="ListParagraph"/>
        <w:numPr>
          <w:ilvl w:val="0"/>
          <w:numId w:val="2"/>
        </w:numPr>
      </w:pPr>
      <w:r>
        <w:t xml:space="preserve">One ledger module owns balance and activity. Screens never change either directly.</w:t>
      </w:r>
    </w:p>
    <w:p>
      <w:pPr>
        <w:pStyle w:val="ListParagraph"/>
        <w:numPr>
          <w:ilvl w:val="0"/>
          <w:numId w:val="2"/>
        </w:numPr>
      </w:pPr>
      <w:r>
        <w:t xml:space="preserve">State lives in memory and is mirrored to sessionStorage so a refresh keeps the demo. Only synthetic data is stored. Reset clears it.</w:t>
      </w:r>
    </w:p>
    <w:p>
      <w:pPr>
        <w:pStyle w:val="ListParagraph"/>
        <w:numPr>
          <w:ilvl w:val="0"/>
          <w:numId w:val="2"/>
        </w:numPr>
      </w:pPr>
      <w:r>
        <w:t xml:space="preserve">Haptics use the Vibration API where present. iPhone Safari does not support it, so iOS users get speech only; this is stated in Help.</w:t>
      </w:r>
    </w:p>
    <w:p>
      <w:pPr>
        <w:pStyle w:val="ListParagraph"/>
        <w:numPr>
          <w:ilvl w:val="0"/>
          <w:numId w:val="2"/>
        </w:numPr>
      </w:pPr>
      <w:r>
        <w:t xml:space="preserve">Works offline after first load; a service worker caches the static files.</w:t>
      </w:r>
    </w:p>
    <w:p>
      <w:pPr>
        <w:pStyle w:val="Heading2"/>
      </w:pPr>
      <w:r>
        <w:t xml:space="preserve">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7"/>
        <w:gridCol w:w="4387"/>
        <w:gridCol w:w="3762"/>
      </w:tblGrid>
      <w:tr>
        <w:trPr>
          <w:tblHeader/>
        </w:trPr>
        <w:tc>
          <w:tcPr>
            <w:tcW w:type="dxa" w:w="87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Entity</w:t>
            </w:r>
          </w:p>
        </w:tc>
        <w:tc>
          <w:tcPr>
            <w:tcW w:type="dxa" w:w="438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Fields</w:t>
            </w:r>
          </w:p>
        </w:tc>
        <w:tc>
          <w:tcPr>
            <w:tcW w:type="dxa" w:w="3762"/>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Rules</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Account</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id, nickname, currency NGN, balanceKobo</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Changes only through the ledger</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Beneficiary</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id, name, bankCode, accountNumber</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Seeded, fictional</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DirectoryEntry</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bankCode, accountNumber, name</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About 12 fictional entries, including one lookalike</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Transfer</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operationId, beneficiary snapshot, amountKobo, feeKobo, totalKobo, note, state, reference, createdAt</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State follows the state machine; one operationId per attempt</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Transaction</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id, transferId, description, direction, amountKobo, status, occurredAt, reference</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Written by the ledger only</w:t>
            </w:r>
          </w:p>
        </w:tc>
      </w:tr>
      <w:tr>
        <w:trPr>
          <w:cantSplit/>
        </w:trPr>
        <w:tc>
          <w:tcPr>
            <w:tcW w:type="dxa" w:w="87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Preferences</w:t>
            </w:r>
          </w:p>
        </w:tc>
        <w:tc>
          <w:tcPr>
            <w:tcW w:type="dxa" w:w="438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textSize, highContrast, reducedMotion, haptics</w:t>
            </w:r>
          </w:p>
        </w:tc>
        <w:tc>
          <w:tcPr>
            <w:tcW w:type="dxa" w:w="3762"/>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Preferences, never disability data</w:t>
            </w:r>
          </w:p>
        </w:tc>
      </w:tr>
    </w:tbl>
    <w:p>
      <w:pPr>
        <w:spacing w:after="80"/>
      </w:pPr>
    </w:p>
    <w:p>
      <w:r>
        <w:t xml:space="preserve">The bank boundary in app/bank mirrors the production API (quote, transfer with idempotency key, status lookup). Going live means a second adapter with the same methods that calls the bank's authorised APIs; the screens do not change. That adapter is not built.</w:t>
      </w:r>
    </w:p>
    <w:p>
      <w:pPr>
        <w:pStyle w:val="Heading1"/>
      </w:pPr>
      <w:r>
        <w:t xml:space="preserve">Security and privacy</w:t>
      </w:r>
    </w:p>
    <w:p>
      <w:r>
        <w:t xml:space="preserve">The demo holds no real data, so its security job is to be honest and to model safe habits a real build would keep.</w:t>
      </w:r>
    </w:p>
    <w:p>
      <w:pPr>
        <w:pStyle w:val="ListParagraph"/>
        <w:numPr>
          <w:ilvl w:val="0"/>
          <w:numId w:val="2"/>
        </w:numPr>
      </w:pPr>
      <w:r>
        <w:t xml:space="preserve">No secrets, keys or credentials anywhere in the repository or the page.</w:t>
      </w:r>
    </w:p>
    <w:p>
      <w:pPr>
        <w:pStyle w:val="ListParagraph"/>
        <w:numPr>
          <w:ilvl w:val="0"/>
          <w:numId w:val="2"/>
        </w:numPr>
      </w:pPr>
      <w:r>
        <w:t xml:space="preserve">No analytics, trackers or third-party requests. The page makes no network calls after load.</w:t>
      </w:r>
    </w:p>
    <w:p>
      <w:pPr>
        <w:pStyle w:val="ListParagraph"/>
        <w:numPr>
          <w:ilvl w:val="0"/>
          <w:numId w:val="2"/>
        </w:numPr>
      </w:pPr>
      <w:r>
        <w:t xml:space="preserve">No Zenith logo or trade dress. Footer says "Independent prototype for Zecathon 6.0. Not a Zenith Bank service."</w:t>
      </w:r>
    </w:p>
    <w:p>
      <w:pPr>
        <w:pStyle w:val="ListParagraph"/>
        <w:numPr>
          <w:ilvl w:val="0"/>
          <w:numId w:val="2"/>
        </w:numPr>
      </w:pPr>
      <w:r>
        <w:t xml:space="preserve">Demo PIN and OTP are compared in memory and never stored, even in sessionStorage.</w:t>
      </w:r>
    </w:p>
    <w:p>
      <w:pPr>
        <w:pStyle w:val="ListParagraph"/>
        <w:numPr>
          <w:ilvl w:val="0"/>
          <w:numId w:val="2"/>
        </w:numPr>
      </w:pPr>
      <w:r>
        <w:t xml:space="preserve">All names in the directory are invented and checked against obvious real public figures.</w:t>
      </w:r>
    </w:p>
    <w:p>
      <w:pPr>
        <w:pStyle w:val="ListParagraph"/>
        <w:numPr>
          <w:ilvl w:val="0"/>
          <w:numId w:val="2"/>
        </w:numPr>
      </w:pPr>
      <w:r>
        <w:t xml:space="preserve">Threats the demo shows defences for: double confirmation (operation id), wrong recipient (name lookup, lookalike warning), overheard PIN (silent keypad), retry after unknown outcome (Check status only).</w:t>
      </w:r>
    </w:p>
    <w:p>
      <w:pPr>
        <w:pStyle w:val="ListParagraph"/>
        <w:numPr>
          <w:ilvl w:val="0"/>
          <w:numId w:val="2"/>
        </w:numPr>
      </w:pPr>
      <w:r>
        <w:t xml:space="preserve">Threats out of scope and named as such in the pitch: real authentication, device binding, server-side limits and fraud scoring, audit logging.</w:t>
      </w:r>
    </w:p>
    <w:p>
      <w:pPr>
        <w:pStyle w:val="Heading1"/>
      </w:pPr>
      <w:r>
        <w:t xml:space="preserve">Tests and acceptance</w:t>
      </w:r>
    </w:p>
    <w:p>
      <w:r>
        <w:t xml:space="preserve">The build is done when every automated test passes in a clean clone and every manual test has a recorded result. Status starts at Not started for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6"/>
        <w:gridCol w:w="596"/>
        <w:gridCol w:w="3804"/>
        <w:gridCol w:w="2983"/>
        <w:gridCol w:w="1047"/>
      </w:tblGrid>
      <w:tr>
        <w:trPr>
          <w:tblHeader/>
        </w:trPr>
        <w:tc>
          <w:tcPr>
            <w:tcW w:type="dxa" w:w="596"/>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Test</w:t>
            </w:r>
          </w:p>
        </w:tc>
        <w:tc>
          <w:tcPr>
            <w:tcW w:type="dxa" w:w="596"/>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Type</w:t>
            </w:r>
          </w:p>
        </w:tc>
        <w:tc>
          <w:tcPr>
            <w:tcW w:type="dxa" w:w="3804"/>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Scenario</w:t>
            </w:r>
          </w:p>
        </w:tc>
        <w:tc>
          <w:tcPr>
            <w:tcW w:type="dxa" w:w="2983"/>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Pass when</w:t>
            </w:r>
          </w:p>
        </w:tc>
        <w:tc>
          <w:tcPr>
            <w:tcW w:type="dxa" w:w="1047"/>
            <w:tcBorders>
              <w:top w:val="single" w:color="D9DDD6" w:sz="4"/>
              <w:left w:val="single" w:color="D9DDD6" w:sz="4"/>
              <w:bottom w:val="single" w:color="D9DDD6" w:sz="4"/>
              <w:right w:val="single" w:color="D9DDD6" w:sz="4"/>
            </w:tcBorders>
            <w:shd w:fill="E2EFE8" w:color="auto" w:val="clear"/>
            <w:tcMar>
              <w:top w:type="dxa" w:w="60"/>
              <w:left w:type="dxa" w:w="100"/>
              <w:bottom w:type="dxa" w:w="60"/>
              <w:right w:type="dxa" w:w="100"/>
            </w:tcMar>
          </w:tcPr>
          <w:p>
            <w:pPr>
              <w:spacing w:after="0" w:before="0"/>
            </w:pPr>
            <w:r>
              <w:rPr>
                <w:b/>
                <w:bCs/>
                <w:color w:val="18201C"/>
                <w:sz w:val="18"/>
                <w:szCs w:val="18"/>
              </w:rPr>
              <w:t xml:space="preserve">Covers</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T-01</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Parse amounts: blank, abc, 0, -5, 1.234, 1,250.50</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Each gives the right error or kobo value</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FR-12</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T-02</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Amount plus fee over balance</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Rejected, value kept</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FR-12, FR-13</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T-03</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Every state transition, legal and illegal</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Illegal transitions throw</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FR-16 to FR-18</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T-04</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Same operation id submitted ten times</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One ledger entry</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FR-16, FR-19</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T-05</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Success, failure, cancel, unknown then resolved</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Balance and activity agree in all four</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FR-19</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T-06</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Directory lookup, not found, lookalike</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Correct name, message, warning</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FR-08, FR-09</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T-07</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Unit</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Spoken-form formatter on the table in Accessibility</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Exact strings match</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FR-04</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T-08</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Full J1 to J4 on TalkBack, low-cost Android</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sighted help; recording kept</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All Must</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T-09</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Same on VoiceOver, iPhone</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Same</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All Must</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T-10</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Keyboard only, desktop, NVDA</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trap, focus always visible</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Accessibility</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T-11</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Fingerprint sign-in and approval with TalkBack</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Nothing secret spoken or typed</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FR-15</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T-12</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200% zoom and 320 px width</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loss, no sideways scroll</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Accessibility</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T-13</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Voice Access: "Tap Confirm transfer" and others</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Every command works</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Accessibility</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T-14</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J6 unknown outcome</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 resend path offered</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FR-18</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T-15</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Manual</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Reset, then rerun J1 to J4</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Identical result</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FR-24</w:t>
            </w:r>
          </w:p>
        </w:tc>
      </w:tr>
      <w:tr>
        <w:trPr>
          <w:cantSplit/>
        </w:trPr>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b/>
                <w:bCs/>
                <w:color w:val="18201C"/>
                <w:sz w:val="18"/>
                <w:szCs w:val="18"/>
              </w:rPr>
              <w:t xml:space="preserve">T-16</w:t>
            </w:r>
          </w:p>
        </w:tc>
        <w:tc>
          <w:tcPr>
            <w:tcW w:type="dxa" w:w="596"/>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Review</w:t>
            </w:r>
          </w:p>
        </w:tc>
        <w:tc>
          <w:tcPr>
            <w:tcW w:type="dxa" w:w="3804"/>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Repo and page scan for secrets, real data, branding</w:t>
            </w:r>
          </w:p>
        </w:tc>
        <w:tc>
          <w:tcPr>
            <w:tcW w:type="dxa" w:w="2983"/>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None found</w:t>
            </w:r>
          </w:p>
        </w:tc>
        <w:tc>
          <w:tcPr>
            <w:tcW w:type="dxa" w:w="1047"/>
            <w:tcBorders>
              <w:top w:val="single" w:color="D9DDD6" w:sz="4"/>
              <w:left w:val="single" w:color="D9DDD6" w:sz="4"/>
              <w:bottom w:val="single" w:color="D9DDD6" w:sz="4"/>
              <w:right w:val="single" w:color="D9DDD6" w:sz="4"/>
            </w:tcBorders>
            <w:tcMar>
              <w:top w:type="dxa" w:w="60"/>
              <w:left w:type="dxa" w:w="100"/>
              <w:bottom w:type="dxa" w:w="60"/>
              <w:right w:type="dxa" w:w="100"/>
            </w:tcMar>
          </w:tcPr>
          <w:p>
            <w:pPr>
              <w:spacing w:after="0" w:before="0"/>
            </w:pPr>
            <w:r>
              <w:rPr>
                <w:color w:val="18201C"/>
                <w:sz w:val="18"/>
                <w:szCs w:val="18"/>
              </w:rPr>
              <w:t xml:space="preserve">Security</w:t>
            </w:r>
          </w:p>
        </w:tc>
      </w:tr>
    </w:tbl>
    <w:p>
      <w:pPr>
        <w:spacing w:after="80"/>
      </w:pPr>
    </w:p>
    <w:p>
      <w:pPr>
        <w:pStyle w:val="Heading1"/>
      </w:pPr>
      <w:r>
        <w:t xml:space="preserve">User research</w:t>
      </w:r>
    </w:p>
    <w:p>
      <w:r>
        <w:t xml:space="preserve">Three to five blind or low-vision testers before submission is the goal. Their quotes and a short consented video are the strongest evidence the submission can carry.</w:t>
      </w:r>
    </w:p>
    <w:p>
      <w:pPr>
        <w:pStyle w:val="ListParagraph"/>
        <w:numPr>
          <w:ilvl w:val="0"/>
          <w:numId w:val="2"/>
        </w:numPr>
      </w:pPr>
      <w:r>
        <w:t xml:space="preserve">Recruit through a disability organisation such as the Nigeria Association of the Blind, a school for the blind, or a university disability centre. Pay a fair stipend and transport.</w:t>
      </w:r>
    </w:p>
    <w:p>
      <w:pPr>
        <w:pStyle w:val="ListParagraph"/>
        <w:numPr>
          <w:ilvl w:val="0"/>
          <w:numId w:val="2"/>
        </w:numPr>
      </w:pPr>
      <w:r>
        <w:t xml:space="preserve">Sessions are 45 minutes, moderated, on the tester's own phone and screen reader settings.</w:t>
      </w:r>
    </w:p>
    <w:p>
      <w:pPr>
        <w:pStyle w:val="ListParagraph"/>
        <w:numPr>
          <w:ilvl w:val="0"/>
          <w:numId w:val="2"/>
        </w:numPr>
      </w:pPr>
      <w:r>
        <w:t xml:space="preserve">Tasks: find the balance; say whether the last transaction completed; pay a new account; return from Review to change the amount; explain what an unknown outcome means.</w:t>
      </w:r>
    </w:p>
    <w:p>
      <w:pPr>
        <w:pStyle w:val="ListParagraph"/>
        <w:numPr>
          <w:ilvl w:val="0"/>
          <w:numId w:val="2"/>
        </w:numPr>
      </w:pPr>
      <w:r>
        <w:t xml:space="preserve">Record per task: completed alone or not, type of help needed, wrong-recipient or wrong-amount slips, time, and a confidence rating from 1 to 5.</w:t>
      </w:r>
    </w:p>
    <w:p>
      <w:pPr>
        <w:pStyle w:val="ListParagraph"/>
        <w:numPr>
          <w:ilvl w:val="0"/>
          <w:numId w:val="2"/>
        </w:numPr>
      </w:pPr>
      <w:r>
        <w:t xml:space="preserve">No numeric targets are set in advance. With five people, report counts ("4 of 5 paid the new account alone"), not percentages.</w:t>
      </w:r>
    </w:p>
    <w:p>
      <w:pPr>
        <w:pStyle w:val="ListParagraph"/>
        <w:numPr>
          <w:ilvl w:val="0"/>
          <w:numId w:val="2"/>
        </w:numPr>
      </w:pPr>
      <w:r>
        <w:t xml:space="preserve">Get written or recorded consent for notes, quotes and video. Store no tester's banking details.</w:t>
      </w:r>
    </w:p>
    <w:p>
      <w:pPr>
        <w:pStyle w:val="ListParagraph"/>
        <w:numPr>
          <w:ilvl w:val="0"/>
          <w:numId w:val="2"/>
        </w:numPr>
      </w:pPr>
      <w:r>
        <w:t xml:space="preserve">Fix any blocker found and say so in the submission. If no sessions happen, the submission says so plainly.</w:t>
      </w:r>
    </w:p>
    <w:p>
      <w:pPr>
        <w:pStyle w:val="Heading1"/>
      </w:pPr>
      <w:r>
        <w:t xml:space="preserve">Delivery</w:t>
      </w:r>
    </w:p>
    <w:p>
      <w:r>
        <w:t xml:space="preserve">The submission deadline is not yet recorded here, so stages are listed in order with their exit gates. Book research sessions during stage 1 so they land in stage 4.</w:t>
      </w:r>
    </w:p>
    <w:p>
      <w:pPr>
        <w:pStyle w:val="ListParagraph"/>
        <w:numPr>
          <w:ilvl w:val="0"/>
          <w:numId w:val="4"/>
        </w:numPr>
      </w:pPr>
      <w:r>
        <w:rPr>
          <w:b/>
          <w:bCs/>
        </w:rPr>
        <w:t xml:space="preserve">Confirm.</w:t>
      </w:r>
      <w:r>
        <w:t xml:space="preserve"> Read the official brief and judging rubric; record the deadline; book testers. Gate: open decisions OD-1 to OD-3 closed.</w:t>
      </w:r>
    </w:p>
    <w:p>
      <w:pPr>
        <w:pStyle w:val="ListParagraph"/>
        <w:numPr>
          <w:ilvl w:val="0"/>
          <w:numId w:val="4"/>
        </w:numPr>
      </w:pPr>
      <w:r>
        <w:rPr>
          <w:b/>
          <w:bCs/>
        </w:rPr>
        <w:t xml:space="preserve">Domain first.</w:t>
      </w:r>
      <w:r>
        <w:t xml:space="preserve"> Money, validation, state machine, ledger, directory and spoken-form formatter, with tests T-01 to T-07. Gate: all unit tests pass with </w:t>
      </w:r>
      <w:r>
        <w:rPr>
          <w:rFonts w:ascii="Consolas" w:cs="Consolas" w:eastAsia="Consolas" w:hAnsi="Consolas"/>
        </w:rPr>
        <w:t xml:space="preserve">node --test</w:t>
      </w:r>
      <w:r>
        <w:t xml:space="preserve">.</w:t>
      </w:r>
    </w:p>
    <w:p>
      <w:pPr>
        <w:pStyle w:val="ListParagraph"/>
        <w:numPr>
          <w:ilvl w:val="0"/>
          <w:numId w:val="4"/>
        </w:numPr>
      </w:pPr>
      <w:r>
        <w:rPr>
          <w:b/>
          <w:bCs/>
        </w:rPr>
        <w:t xml:space="preserve">Screens.</w:t>
      </w:r>
      <w:r>
        <w:t xml:space="preserve"> Welcome, sign-in, Home, Activity, Detail, Pay new account, Saved beneficiaries, Review, PIN, Outcome, Help, Settings. Gate: J1 to J6 work end to end on desktop.</w:t>
      </w:r>
    </w:p>
    <w:p>
      <w:pPr>
        <w:pStyle w:val="ListParagraph"/>
        <w:numPr>
          <w:ilvl w:val="0"/>
          <w:numId w:val="4"/>
        </w:numPr>
      </w:pPr>
      <w:r>
        <w:rPr>
          <w:b/>
          <w:bCs/>
        </w:rPr>
        <w:t xml:space="preserve">Device testing and research.</w:t>
      </w:r>
      <w:r>
        <w:t xml:space="preserve"> T-08 to T-15 on real phones, then tester sessions. Gate: no open critical defect; findings logged.</w:t>
      </w:r>
    </w:p>
    <w:p>
      <w:pPr>
        <w:pStyle w:val="ListParagraph"/>
        <w:numPr>
          <w:ilvl w:val="0"/>
          <w:numId w:val="4"/>
        </w:numPr>
      </w:pPr>
      <w:r>
        <w:rPr>
          <w:b/>
          <w:bCs/>
        </w:rPr>
        <w:t xml:space="preserve">Submission package.</w:t>
      </w:r>
      <w:r>
        <w:t xml:space="preserve"> Hosted URL, README, demo script, 90-second video, test record, known limits, list of everything simulated. Gate: someone else runs it from the README on a clean machine.</w:t>
      </w:r>
    </w:p>
    <w:p>
      <w:pPr>
        <w:pStyle w:val="Heading1"/>
      </w:pPr>
      <w:r>
        <w:t xml:space="preserve">Open decisions</w:t>
      </w:r>
    </w:p>
    <w:p>
      <w:r>
        <w:t xml:space="preserve">Each of these needs an owner's answer before stage 2 starts.</w:t>
      </w:r>
    </w:p>
    <w:p>
      <w:pPr>
        <w:pStyle w:val="ListParagraph"/>
        <w:numPr>
          <w:ilvl w:val="0"/>
          <w:numId w:val="5"/>
        </w:numPr>
      </w:pPr>
      <w:r>
        <w:t xml:space="preserve">OD-1: What is the submission deadline, and does the rubric require a hosted URL, a video, or both?</w:t>
      </w:r>
    </w:p>
    <w:p>
      <w:pPr>
        <w:pStyle w:val="ListParagraph"/>
        <w:numPr>
          <w:ilvl w:val="0"/>
          <w:numId w:val="5"/>
        </w:numPr>
      </w:pPr>
      <w:r>
        <w:t xml:space="preserve">OD-2: Is Hear who you pay the headline, or should a different differentiator lead (for example trusted-helper view-only access)?</w:t>
      </w:r>
    </w:p>
    <w:p>
      <w:pPr>
        <w:pStyle w:val="ListParagraph"/>
        <w:numPr>
          <w:ilvl w:val="0"/>
          <w:numId w:val="5"/>
        </w:numPr>
      </w:pPr>
      <w:r>
        <w:t xml:space="preserve">OD-3: Who will recruit testers, and through which organisation?</w:t>
      </w:r>
    </w:p>
    <w:p>
      <w:pPr>
        <w:pStyle w:val="ListParagraph"/>
        <w:numPr>
          <w:ilvl w:val="0"/>
          <w:numId w:val="5"/>
        </w:numPr>
      </w:pPr>
      <w:r>
        <w:t xml:space="preserve">OD-4: Does the team have a low-cost Android phone with TalkBack for daily testing?</w:t>
      </w:r>
    </w:p>
    <w:p>
      <w:pPr>
        <w:pStyle w:val="ListParagraph"/>
        <w:numPr>
          <w:ilvl w:val="0"/>
          <w:numId w:val="5"/>
        </w:numPr>
      </w:pPr>
      <w:r>
        <w:t xml:space="preserve">OD-5: Should the demo include a fee? Proposed: ₦10 flat on transfers, labelled as an illustrative demo fee.</w:t>
      </w:r>
    </w:p>
    <w:p>
      <w:pPr>
        <w:pStyle w:val="ListParagraph"/>
        <w:numPr>
          <w:ilvl w:val="0"/>
          <w:numId w:val="5"/>
        </w:numPr>
      </w:pPr>
      <w:r>
        <w:t xml:space="preserve">OD-6: Is the name WAYMARK clear of conflicts in Nigerian trademark and app-store listings? Is a less generic tagline wanted than "Your money. Your way."?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15A"/>
        <w:sz w:val="16"/>
        <w:szCs w:val="16"/>
      </w:rPr>
      <w:t xml:space="preserve">WAYMARK Master PRD v1.0  ·  Page </w:t>
    </w:r>
    <w:r>
      <w:rPr>
        <w:color w:val="5661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01C"/>
        <w:sz w:val="21"/>
        <w:szCs w:val="21"/>
      </w:rPr>
    </w:rPrDefault>
    <w:pPrDefault>
      <w:pPr>
        <w:spacing w:after="120"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8201C"/>
      <w:sz w:val="44"/>
      <w:szCs w:val="44"/>
    </w:rPr>
  </w:style>
  <w:style w:type="paragraph" w:styleId="Heading1">
    <w:name w:val="Heading 1"/>
    <w:basedOn w:val="Normal"/>
    <w:next w:val="Normal"/>
    <w:qFormat/>
    <w:pPr>
      <w:keepNext/>
      <w:spacing w:after="140" w:before="360"/>
      <w:outlineLvl w:val="0"/>
    </w:pPr>
    <w:rPr>
      <w:b/>
      <w:bCs/>
      <w:color w:val="1F6B4F"/>
      <w:sz w:val="30"/>
      <w:szCs w:val="30"/>
    </w:rPr>
  </w:style>
  <w:style w:type="paragraph" w:styleId="Heading2">
    <w:name w:val="Heading 2"/>
    <w:basedOn w:val="Normal"/>
    <w:next w:val="Normal"/>
    <w:qFormat/>
    <w:pPr>
      <w:keepNext/>
      <w:spacing w:after="100" w:before="240"/>
      <w:outlineLvl w:val="1"/>
    </w:pPr>
    <w:rPr>
      <w:b/>
      <w:bCs/>
      <w:color w:val="1820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b8b03f9aca678a02cb26ba07529994ba783148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WAYMARK-Master-PRD-v1.0</dc:title>
  <dc:creator>WAYMARK team</dc:creator>
  <cp:lastModifiedBy>Un-named</cp:lastModifiedBy>
  <cp:revision>1</cp:revision>
  <dcterms:created xsi:type="dcterms:W3CDTF">2026-10-11T15:30:36.206Z</dcterms:created>
  <dcterms:modified xsi:type="dcterms:W3CDTF">2026-10-11T15:30:36.206Z</dcterms:modified>
</cp:coreProperties>
</file>

<file path=docProps/custom.xml><?xml version="1.0" encoding="utf-8"?>
<Properties xmlns="http://schemas.openxmlformats.org/officeDocument/2006/custom-properties" xmlns:vt="http://schemas.openxmlformats.org/officeDocument/2006/docPropsVTypes"/>
</file>