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C1F26"/>
          <w:sz w:val="44"/>
          <w:szCs w:val="44"/>
        </w:rPr>
        <w:t xml:space="preserve">Plan d'implantation</w:t>
      </w:r>
    </w:p>
    <w:p>
      <w:pPr>
        <w:spacing w:after="100"/>
      </w:pPr>
      <w:r>
        <w:rPr>
          <w:rFonts w:ascii="Calibri" w:cs="Calibri" w:eastAsia="Calibri" w:hAnsi="Calibri"/>
          <w:color w:val="2A4B8D"/>
          <w:sz w:val="26"/>
          <w:szCs w:val="26"/>
        </w:rPr>
        <w:t xml:space="preserve">Back-office Qualiopi pour organismes de formation</w:t>
      </w:r>
    </w:p>
    <w:p>
      <w:pPr>
        <w:pBdr>
          <w:bottom w:val="single" w:color="D6D4CD" w:sz="6" w:space="8"/>
        </w:pBdr>
        <w:spacing w:after="320"/>
      </w:pPr>
      <w:r>
        <w:rPr>
          <w:rFonts w:ascii="Calibri" w:cs="Calibri" w:eastAsia="Calibri" w:hAnsi="Calibri"/>
          <w:color w:val="5C6270"/>
          <w:sz w:val="19"/>
          <w:szCs w:val="19"/>
        </w:rPr>
        <w:t xml:space="preserve">Version 2, corrigée après relecture critique   ·   8 septembre 2026   ·   trente premiers jours, puis année de césure septembre 2026 – août 2027</w:t>
      </w:r>
    </w:p>
    <w:p>
      <w:pPr>
        <w:pStyle w:val="Heading1"/>
        <w:pBdr>
          <w:bottom w:val="single" w:color="1C1F26" w:sz="12" w:space="6"/>
        </w:pBdr>
        <w:spacing w:after="160" w:before="400"/>
      </w:pPr>
      <w:r>
        <w:rPr>
          <w:rFonts w:ascii="Calibri" w:cs="Calibri" w:eastAsia="Calibri" w:hAnsi="Calibri"/>
          <w:b/>
          <w:bCs/>
          <w:color w:val="1C1F26"/>
          <w:sz w:val="28"/>
          <w:szCs w:val="28"/>
        </w:rPr>
        <w:t xml:space="preserve">Ce que le plan suppose</w:t>
      </w:r>
    </w:p>
    <w:p>
      <w:pPr>
        <w:spacing w:after="160" w:before="0" w:line="276"/>
      </w:pPr>
      <w:r>
        <w:rPr>
          <w:rFonts w:ascii="Calibri" w:cs="Calibri" w:eastAsia="Calibri" w:hAnsi="Calibri"/>
          <w:color w:val="5C6270"/>
          <w:sz w:val="21"/>
          <w:szCs w:val="21"/>
        </w:rPr>
        <w:t xml:space="preserve">Quatre hypothèses portent tout le reste. Si l'une tombe, le plan change.</w:t>
      </w:r>
    </w:p>
    <w:p>
      <w:pPr>
        <w:pStyle w:val="ListParagraph"/>
        <w:numPr>
          <w:ilvl w:val="0"/>
          <w:numId w:val="2"/>
        </w:numPr>
        <w:spacing w:after="90" w:line="276"/>
      </w:pPr>
      <w:r>
        <w:rPr>
          <w:rFonts w:ascii="Calibri" w:cs="Calibri" w:eastAsia="Calibri" w:hAnsi="Calibri"/>
          <w:b/>
          <w:bCs/>
          <w:color w:val="1C1F26"/>
          <w:sz w:val="21"/>
          <w:szCs w:val="21"/>
        </w:rPr>
        <w:t xml:space="preserve">Le goulot est l'acquisition, pas la construction. </w:t>
      </w:r>
      <w:r>
        <w:rPr>
          <w:rFonts w:ascii="Calibri" w:cs="Calibri" w:eastAsia="Calibri" w:hAnsi="Calibri"/>
          <w:color w:val="1C1F26"/>
          <w:sz w:val="21"/>
          <w:szCs w:val="21"/>
        </w:rPr>
        <w:t xml:space="preserve">Les modèles actuels produisent le système pendant que tu dors. Ils n'obtiennent pas la première réponse d'un prospect. Conséquence : rien n'est construit avant la semaine 4, et le premier cycle client est livré à la main.</w:t>
      </w:r>
    </w:p>
    <w:p>
      <w:pPr>
        <w:pStyle w:val="ListParagraph"/>
        <w:numPr>
          <w:ilvl w:val="0"/>
          <w:numId w:val="2"/>
        </w:numPr>
        <w:spacing w:after="90" w:line="276"/>
      </w:pPr>
      <w:r>
        <w:rPr>
          <w:rFonts w:ascii="Calibri" w:cs="Calibri" w:eastAsia="Calibri" w:hAnsi="Calibri"/>
          <w:b/>
          <w:bCs/>
          <w:color w:val="1C1F26"/>
          <w:sz w:val="21"/>
          <w:szCs w:val="21"/>
        </w:rPr>
        <w:t xml:space="preserve">Zéro appel téléphonique. </w:t>
      </w:r>
      <w:r>
        <w:rPr>
          <w:rFonts w:ascii="Calibri" w:cs="Calibri" w:eastAsia="Calibri" w:hAnsi="Calibri"/>
          <w:color w:val="1C1F26"/>
          <w:sz w:val="21"/>
          <w:szCs w:val="21"/>
        </w:rPr>
        <w:t xml:space="preserve">Tout se vend et se livre par écrit. Cela exclut la publicité, les salons et la visio, et impose un substitut à l'appel de vente : l'audit de preuves gratuit décrit en section 3.</w:t>
      </w:r>
    </w:p>
    <w:p>
      <w:pPr>
        <w:pStyle w:val="ListParagraph"/>
        <w:numPr>
          <w:ilvl w:val="0"/>
          <w:numId w:val="2"/>
        </w:numPr>
        <w:spacing w:after="90" w:line="276"/>
      </w:pPr>
      <w:r>
        <w:rPr>
          <w:rFonts w:ascii="Calibri" w:cs="Calibri" w:eastAsia="Calibri" w:hAnsi="Calibri"/>
          <w:b/>
          <w:bCs/>
          <w:color w:val="1C1F26"/>
          <w:sz w:val="21"/>
          <w:szCs w:val="21"/>
        </w:rPr>
        <w:t xml:space="preserve">Le seuil de survie est de 50 clients environ. </w:t>
      </w:r>
      <w:r>
        <w:rPr>
          <w:rFonts w:ascii="Calibri" w:cs="Calibri" w:eastAsia="Calibri" w:hAnsi="Calibri"/>
          <w:color w:val="1C1F26"/>
          <w:sz w:val="21"/>
          <w:szCs w:val="21"/>
        </w:rPr>
        <w:t xml:space="preserve">À 89 € par mois, une fois déduits les outils, les cotisations et les commissions versées aux prescripteurs, il faut environ 50 clients pour 2 000 € nets mensuels. La section 7 explique comment ce seuil descend.</w:t>
      </w:r>
    </w:p>
    <w:p>
      <w:pPr>
        <w:pStyle w:val="ListParagraph"/>
        <w:numPr>
          <w:ilvl w:val="0"/>
          <w:numId w:val="2"/>
        </w:numPr>
        <w:spacing w:after="90" w:line="276"/>
      </w:pPr>
      <w:r>
        <w:rPr>
          <w:rFonts w:ascii="Calibri" w:cs="Calibri" w:eastAsia="Calibri" w:hAnsi="Calibri"/>
          <w:b/>
          <w:bCs/>
          <w:color w:val="1C1F26"/>
          <w:sz w:val="21"/>
          <w:szCs w:val="21"/>
        </w:rPr>
        <w:t xml:space="preserve">La douleur du client est ponctuelle, l'abonnement est mensuel. </w:t>
      </w:r>
      <w:r>
        <w:rPr>
          <w:rFonts w:ascii="Calibri" w:cs="Calibri" w:eastAsia="Calibri" w:hAnsi="Calibri"/>
          <w:color w:val="1C1F26"/>
          <w:sz w:val="21"/>
          <w:szCs w:val="21"/>
        </w:rPr>
        <w:t xml:space="preserve">C'est la faiblesse structurelle de l'offre : le besoin se manifeste vivement six semaines avant l'audit, et faiblement le reste du temps. Tout le dispositif d'acquisition est bâti pour vendre au moment où la douleur est vive.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3352B" w:sz="6"/>
              <w:left w:val="single" w:color="A3352B" w:sz="18"/>
              <w:bottom w:val="single" w:color="A3352B" w:sz="6"/>
              <w:right w:val="single" w:color="A3352B" w:sz="6"/>
            </w:tcBorders>
            <w:shd w:fill="F6EAE7" w:val="clear"/>
            <w:tcMar>
              <w:top w:type="dxa" w:w="160"/>
              <w:left w:type="dxa" w:w="200"/>
              <w:bottom w:type="dxa" w:w="160"/>
              <w:right w:type="dxa" w:w="200"/>
            </w:tcMar>
          </w:tcPr>
          <w:p>
            <w:pPr>
              <w:spacing w:after="60"/>
            </w:pPr>
            <w:r>
              <w:rPr>
                <w:rFonts w:ascii="Calibri" w:cs="Calibri" w:eastAsia="Calibri" w:hAnsi="Calibri"/>
                <w:b/>
                <w:bCs/>
                <w:color w:val="A3352B"/>
                <w:sz w:val="21"/>
                <w:szCs w:val="21"/>
              </w:rPr>
              <w:t xml:space="preserve">Ce que ce plan ne prouve pas</w:t>
            </w:r>
          </w:p>
          <w:p>
            <w:pPr>
              <w:spacing w:after="60" w:line="276"/>
            </w:pPr>
            <w:r>
              <w:rPr>
                <w:rFonts w:ascii="Calibri" w:cs="Calibri" w:eastAsia="Calibri" w:hAnsi="Calibri"/>
                <w:color w:val="1C1F26"/>
                <w:sz w:val="20"/>
                <w:szCs w:val="20"/>
              </w:rPr>
              <w:t xml:space="preserve">Aucun élément ici ne démontre que des organismes de formation paient pour ce service au prix prévu. Le document décrit une exécution cohérente, pas une demande vérifiée. La seule chose qui tranchera est le test de la section 3.</w:t>
            </w:r>
          </w:p>
        </w:tc>
      </w:tr>
    </w:tbl>
    <w:p>
      <w:pPr>
        <w:pStyle w:val="Heading1"/>
        <w:pBdr>
          <w:bottom w:val="single" w:color="1C1F26" w:sz="12" w:space="6"/>
        </w:pBdr>
        <w:spacing w:after="160" w:before="400"/>
      </w:pPr>
      <w:r>
        <w:rPr>
          <w:rFonts w:ascii="Calibri" w:cs="Calibri" w:eastAsia="Calibri" w:hAnsi="Calibri"/>
          <w:b/>
          <w:bCs/>
          <w:color w:val="1C1F26"/>
          <w:sz w:val="28"/>
          <w:szCs w:val="28"/>
        </w:rPr>
        <w:t xml:space="preserve">1. Le produit, périmètre exact</w:t>
      </w:r>
    </w:p>
    <w:p>
      <w:pPr>
        <w:spacing w:after="160" w:before="0" w:line="276"/>
      </w:pPr>
      <w:r>
        <w:rPr>
          <w:rFonts w:ascii="Calibri" w:cs="Calibri" w:eastAsia="Calibri" w:hAnsi="Calibri"/>
          <w:color w:val="5C6270"/>
          <w:sz w:val="21"/>
          <w:szCs w:val="21"/>
        </w:rPr>
        <w:t xml:space="preserve">La v1 ne couvre qu'un bloc du référentiel qualité. C'est volontaire : c'est le seul bloc qui ne demande aucun identifiant client et aucun portail d'État.</w:t>
      </w:r>
    </w:p>
    <w:p>
      <w:pPr>
        <w:pStyle w:val="Heading2"/>
        <w:spacing w:after="100" w:before="280"/>
      </w:pPr>
      <w:r>
        <w:rPr>
          <w:rFonts w:ascii="Calibri" w:cs="Calibri" w:eastAsia="Calibri" w:hAnsi="Calibri"/>
          <w:b/>
          <w:bCs/>
          <w:color w:val="2A4B8D"/>
          <w:sz w:val="23"/>
          <w:szCs w:val="23"/>
        </w:rPr>
        <w:t xml:space="preserve">Ce que l'abonnement livre chaque mois</w:t>
      </w:r>
    </w:p>
    <w:p>
      <w:pPr>
        <w:pStyle w:val="ListParagraph"/>
        <w:numPr>
          <w:ilvl w:val="0"/>
          <w:numId w:val="3"/>
        </w:numPr>
        <w:spacing w:after="90" w:line="276"/>
      </w:pPr>
      <w:r>
        <w:rPr>
          <w:rFonts w:ascii="Calibri" w:cs="Calibri" w:eastAsia="Calibri" w:hAnsi="Calibri"/>
          <w:color w:val="1C1F26"/>
          <w:sz w:val="21"/>
          <w:szCs w:val="21"/>
        </w:rPr>
        <w:t xml:space="preserve">Envoi automatique du questionnaire à chaud en fin de session, et du questionnaire à froid à J+60, aux stagiaires et aux entreprises financeuses.</w:t>
      </w:r>
    </w:p>
    <w:p>
      <w:pPr>
        <w:pStyle w:val="ListParagraph"/>
        <w:numPr>
          <w:ilvl w:val="0"/>
          <w:numId w:val="3"/>
        </w:numPr>
        <w:spacing w:after="90" w:line="276"/>
      </w:pPr>
      <w:r>
        <w:rPr>
          <w:rFonts w:ascii="Calibri" w:cs="Calibri" w:eastAsia="Calibri" w:hAnsi="Calibri"/>
          <w:color w:val="1C1F26"/>
          <w:sz w:val="21"/>
          <w:szCs w:val="21"/>
        </w:rPr>
        <w:t xml:space="preserve">Deux relances écrites automatiques par destinataire non répondant.</w:t>
      </w:r>
    </w:p>
    <w:p>
      <w:pPr>
        <w:pStyle w:val="ListParagraph"/>
        <w:numPr>
          <w:ilvl w:val="0"/>
          <w:numId w:val="3"/>
        </w:numPr>
        <w:spacing w:after="90" w:line="276"/>
      </w:pPr>
      <w:r>
        <w:rPr>
          <w:rFonts w:ascii="Calibri" w:cs="Calibri" w:eastAsia="Calibri" w:hAnsi="Calibri"/>
          <w:color w:val="1C1F26"/>
          <w:sz w:val="21"/>
          <w:szCs w:val="21"/>
        </w:rPr>
        <w:t xml:space="preserve">Registre horodaté des réclamations, aléas et difficultés, avec traçabilité du traitement de chacun jusqu'à clôture.</w:t>
      </w:r>
    </w:p>
    <w:p>
      <w:pPr>
        <w:pStyle w:val="ListParagraph"/>
        <w:numPr>
          <w:ilvl w:val="0"/>
          <w:numId w:val="3"/>
        </w:numPr>
        <w:spacing w:after="90" w:line="276"/>
      </w:pPr>
      <w:r>
        <w:rPr>
          <w:rFonts w:ascii="Calibri" w:cs="Calibri" w:eastAsia="Calibri" w:hAnsi="Calibri"/>
          <w:color w:val="1C1F26"/>
          <w:sz w:val="21"/>
          <w:szCs w:val="21"/>
        </w:rPr>
        <w:t xml:space="preserve">Tableau de bord mensuel : taux de retour, taux de satisfaction, actions correctives ouvertes et fermées.</w:t>
      </w:r>
    </w:p>
    <w:p>
      <w:pPr>
        <w:pStyle w:val="ListParagraph"/>
        <w:numPr>
          <w:ilvl w:val="0"/>
          <w:numId w:val="3"/>
        </w:numPr>
        <w:spacing w:after="90" w:line="276"/>
      </w:pPr>
      <w:r>
        <w:rPr>
          <w:rFonts w:ascii="Calibri" w:cs="Calibri" w:eastAsia="Calibri" w:hAnsi="Calibri"/>
          <w:color w:val="1C1F26"/>
          <w:sz w:val="21"/>
          <w:szCs w:val="21"/>
        </w:rPr>
        <w:t xml:space="preserve">Dossier de preuves exportable, daté, présentable tel quel à l'auditeur.</w:t>
      </w:r>
    </w:p>
    <w:p>
      <w:pPr>
        <w:pStyle w:val="Heading2"/>
        <w:spacing w:after="100" w:before="280"/>
      </w:pPr>
      <w:r>
        <w:rPr>
          <w:rFonts w:ascii="Calibri" w:cs="Calibri" w:eastAsia="Calibri" w:hAnsi="Calibri"/>
          <w:b/>
          <w:bCs/>
          <w:color w:val="2A4B8D"/>
          <w:sz w:val="23"/>
          <w:szCs w:val="23"/>
        </w:rPr>
        <w:t xml:space="preserve">Ce qui est explicitement exclu</w:t>
      </w:r>
    </w:p>
    <w:p>
      <w:pPr>
        <w:spacing w:after="120" w:before="0" w:line="276"/>
      </w:pPr>
      <w:r>
        <w:rPr>
          <w:rFonts w:ascii="Calibri" w:cs="Calibri" w:eastAsia="Calibri" w:hAnsi="Calibri"/>
          <w:color w:val="1C1F26"/>
          <w:sz w:val="21"/>
          <w:szCs w:val="21"/>
        </w:rPr>
        <w:t xml:space="preserve">Le conseil en certification, la préparation de l'audit lui-même, la rédaction des programmes, la comptabilité, et tout dépôt sur un portail au nom du client. Ces exclusions figurent dans les conditions de vente : elles protègent le coût de production et évitent les activités réglementées.</w:t>
      </w:r>
    </w:p>
    <w:p>
      <w:pPr>
        <w:spacing w:after="200" w:before="0" w:line="276"/>
      </w:pPr>
      <w:r>
        <w:rPr>
          <w:rFonts w:ascii="Calibri" w:cs="Calibri" w:eastAsia="Calibri" w:hAnsi="Calibri"/>
          <w:color w:val="1C1F26"/>
          <w:sz w:val="21"/>
          <w:szCs w:val="21"/>
        </w:rPr>
        <w:t xml:space="preserve">Le bilan pédagogique et financier ne fait pas partie de la v1, mais il constitue la deuxième ligne de revenu prévue en section 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3352B" w:sz="6"/>
              <w:left w:val="single" w:color="A3352B" w:sz="18"/>
              <w:bottom w:val="single" w:color="A3352B" w:sz="6"/>
              <w:right w:val="single" w:color="A3352B" w:sz="6"/>
            </w:tcBorders>
            <w:shd w:fill="F6EAE7" w:val="clear"/>
            <w:tcMar>
              <w:top w:type="dxa" w:w="160"/>
              <w:left w:type="dxa" w:w="200"/>
              <w:bottom w:type="dxa" w:w="160"/>
              <w:right w:type="dxa" w:w="200"/>
            </w:tcMar>
          </w:tcPr>
          <w:p>
            <w:pPr>
              <w:spacing w:after="60"/>
            </w:pPr>
            <w:r>
              <w:rPr>
                <w:rFonts w:ascii="Calibri" w:cs="Calibri" w:eastAsia="Calibri" w:hAnsi="Calibri"/>
                <w:b/>
                <w:bCs/>
                <w:color w:val="A3352B"/>
                <w:sz w:val="21"/>
                <w:szCs w:val="21"/>
              </w:rPr>
              <w:t xml:space="preserve">Formulation interdite</w:t>
            </w:r>
          </w:p>
          <w:p>
            <w:pPr>
              <w:spacing w:after="60" w:line="276"/>
            </w:pPr>
            <w:r>
              <w:rPr>
                <w:rFonts w:ascii="Calibri" w:cs="Calibri" w:eastAsia="Calibri" w:hAnsi="Calibri"/>
                <w:color w:val="1C1F26"/>
                <w:sz w:val="20"/>
                <w:szCs w:val="20"/>
              </w:rPr>
              <w:t xml:space="preserve">Jamais « certification garantie », « conformité garantie », ni aucune promesse de résultat d'audit. C'est une pratique commerciale trompeuse et le certificateur n'est pas partie au contrat. La promesse porte sur les livrables, pas sur la décision de l'auditeur.</w:t>
            </w:r>
          </w:p>
        </w:tc>
      </w:tr>
    </w:tbl>
    <w:p>
      <w:pPr>
        <w:spacing w:after="200"/>
      </w:pPr>
    </w:p>
    <w:p>
      <w:pPr>
        <w:pStyle w:val="Heading1"/>
        <w:pBdr>
          <w:bottom w:val="single" w:color="1C1F26" w:sz="12" w:space="6"/>
        </w:pBdr>
        <w:spacing w:after="160" w:before="400"/>
      </w:pPr>
      <w:r>
        <w:rPr>
          <w:rFonts w:ascii="Calibri" w:cs="Calibri" w:eastAsia="Calibri" w:hAnsi="Calibri"/>
          <w:b/>
          <w:bCs/>
          <w:color w:val="1C1F26"/>
          <w:sz w:val="28"/>
          <w:szCs w:val="28"/>
        </w:rPr>
        <w:t xml:space="preserve">2. Cadre administratif et juridique</w:t>
      </w:r>
    </w:p>
    <w:p>
      <w:pPr>
        <w:spacing w:after="160" w:before="0" w:line="276"/>
      </w:pPr>
      <w:r>
        <w:rPr>
          <w:rFonts w:ascii="Calibri" w:cs="Calibri" w:eastAsia="Calibri" w:hAnsi="Calibri"/>
          <w:color w:val="5C6270"/>
          <w:sz w:val="21"/>
          <w:szCs w:val="21"/>
        </w:rPr>
        <w:t xml:space="preserve">À régler avant la première facture, pas avant le premier e-mail. Rien ici ne bloque la prospection.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91"/>
        <w:gridCol w:w="4399"/>
        <w:gridCol w:w="3370"/>
      </w:tblGrid>
      <w:tr>
        <w:trPr>
          <w:tblHeader/>
        </w:trPr>
        <w:tc>
          <w:tcPr>
            <w:tcW w:type="dxa" w:w="1591"/>
            <w:shd w:fill="E7E6E1" w:val="clear"/>
            <w:tcMar>
              <w:top w:type="dxa" w:w="90"/>
              <w:left w:type="dxa" w:w="120"/>
              <w:bottom w:type="dxa" w:w="90"/>
              <w:right w:type="dxa" w:w="120"/>
            </w:tcMar>
          </w:tcPr>
          <w:p>
            <w:r>
              <w:rPr>
                <w:rFonts w:ascii="Calibri" w:cs="Calibri" w:eastAsia="Calibri" w:hAnsi="Calibri"/>
                <w:b/>
                <w:bCs/>
                <w:color w:val="1C1F26"/>
                <w:sz w:val="19"/>
                <w:szCs w:val="19"/>
              </w:rPr>
              <w:t xml:space="preserve">Point</w:t>
            </w:r>
          </w:p>
        </w:tc>
        <w:tc>
          <w:tcPr>
            <w:tcW w:type="dxa" w:w="4399"/>
            <w:shd w:fill="E7E6E1" w:val="clear"/>
            <w:tcMar>
              <w:top w:type="dxa" w:w="90"/>
              <w:left w:type="dxa" w:w="120"/>
              <w:bottom w:type="dxa" w:w="90"/>
              <w:right w:type="dxa" w:w="120"/>
            </w:tcMar>
          </w:tcPr>
          <w:p>
            <w:r>
              <w:rPr>
                <w:rFonts w:ascii="Calibri" w:cs="Calibri" w:eastAsia="Calibri" w:hAnsi="Calibri"/>
                <w:b/>
                <w:bCs/>
                <w:color w:val="1C1F26"/>
                <w:sz w:val="19"/>
                <w:szCs w:val="19"/>
              </w:rPr>
              <w:t xml:space="preserve">Décision de départ</w:t>
            </w:r>
          </w:p>
        </w:tc>
        <w:tc>
          <w:tcPr>
            <w:tcW w:type="dxa" w:w="3370"/>
            <w:shd w:fill="E7E6E1" w:val="clear"/>
            <w:tcMar>
              <w:top w:type="dxa" w:w="90"/>
              <w:left w:type="dxa" w:w="120"/>
              <w:bottom w:type="dxa" w:w="90"/>
              <w:right w:type="dxa" w:w="120"/>
            </w:tcMar>
          </w:tcPr>
          <w:p>
            <w:r>
              <w:rPr>
                <w:rFonts w:ascii="Calibri" w:cs="Calibri" w:eastAsia="Calibri" w:hAnsi="Calibri"/>
                <w:b/>
                <w:bCs/>
                <w:color w:val="1C1F26"/>
                <w:sz w:val="19"/>
                <w:szCs w:val="19"/>
              </w:rPr>
              <w:t xml:space="preserve">À vérifier</w:t>
            </w:r>
          </w:p>
        </w:tc>
      </w:tr>
      <w:tr>
        <w:tc>
          <w:tcPr>
            <w:tcW w:type="dxa" w:w="1591"/>
            <w:tcMar>
              <w:top w:type="dxa" w:w="90"/>
              <w:left w:type="dxa" w:w="120"/>
              <w:bottom w:type="dxa" w:w="90"/>
              <w:right w:type="dxa" w:w="120"/>
            </w:tcMar>
          </w:tcPr>
          <w:p>
            <w:pPr>
              <w:spacing w:line="260"/>
            </w:pPr>
            <w:r>
              <w:rPr>
                <w:rFonts w:ascii="Calibri" w:cs="Calibri" w:eastAsia="Calibri" w:hAnsi="Calibri"/>
                <w:b/>
                <w:bCs/>
                <w:color w:val="1C1F26"/>
                <w:sz w:val="19"/>
                <w:szCs w:val="19"/>
              </w:rPr>
              <w:t xml:space="preserve">Structure</w:t>
            </w:r>
          </w:p>
        </w:tc>
        <w:tc>
          <w:tcPr>
            <w:tcW w:type="dxa" w:w="4399"/>
            <w:tcMar>
              <w:top w:type="dxa" w:w="90"/>
              <w:left w:type="dxa" w:w="120"/>
              <w:bottom w:type="dxa" w:w="90"/>
              <w:right w:type="dxa" w:w="120"/>
            </w:tcMar>
          </w:tcPr>
          <w:p>
            <w:pPr>
              <w:spacing w:line="260"/>
            </w:pPr>
            <w:r>
              <w:rPr>
                <w:rFonts w:ascii="Calibri" w:cs="Calibri" w:eastAsia="Calibri" w:hAnsi="Calibri"/>
                <w:b w:val="false"/>
                <w:bCs w:val="false"/>
                <w:color w:val="1C1F26"/>
                <w:sz w:val="19"/>
                <w:szCs w:val="19"/>
              </w:rPr>
              <w:t xml:space="preserve">Micro-entreprise, prestation de services aux entreprises</w:t>
            </w:r>
          </w:p>
        </w:tc>
        <w:tc>
          <w:tcPr>
            <w:tcW w:type="dxa" w:w="3370"/>
            <w:tcMar>
              <w:top w:type="dxa" w:w="90"/>
              <w:left w:type="dxa" w:w="120"/>
              <w:bottom w:type="dxa" w:w="90"/>
              <w:right w:type="dxa" w:w="120"/>
            </w:tcMar>
          </w:tcPr>
          <w:p>
            <w:pPr>
              <w:spacing w:line="260"/>
            </w:pPr>
            <w:r>
              <w:rPr>
                <w:rFonts w:ascii="Calibri" w:cs="Calibri" w:eastAsia="Calibri" w:hAnsi="Calibri"/>
                <w:b w:val="false"/>
                <w:bCs w:val="false"/>
                <w:color w:val="1C1F26"/>
                <w:sz w:val="19"/>
                <w:szCs w:val="19"/>
              </w:rPr>
              <w:t xml:space="preserve">Code APE et régime BIC ou BNC</w:t>
            </w:r>
          </w:p>
        </w:tc>
      </w:tr>
      <w:tr>
        <w:tc>
          <w:tcPr>
            <w:tcW w:type="dxa" w:w="1591"/>
            <w:tcMar>
              <w:top w:type="dxa" w:w="90"/>
              <w:left w:type="dxa" w:w="120"/>
              <w:bottom w:type="dxa" w:w="90"/>
              <w:right w:type="dxa" w:w="120"/>
            </w:tcMar>
          </w:tcPr>
          <w:p>
            <w:pPr>
              <w:spacing w:line="260"/>
            </w:pPr>
            <w:r>
              <w:rPr>
                <w:rFonts w:ascii="Calibri" w:cs="Calibri" w:eastAsia="Calibri" w:hAnsi="Calibri"/>
                <w:b/>
                <w:bCs/>
                <w:color w:val="1C1F26"/>
                <w:sz w:val="19"/>
                <w:szCs w:val="19"/>
              </w:rPr>
              <w:t xml:space="preserve">Aide au démarrage</w:t>
            </w:r>
          </w:p>
        </w:tc>
        <w:tc>
          <w:tcPr>
            <w:tcW w:type="dxa" w:w="4399"/>
            <w:tcMar>
              <w:top w:type="dxa" w:w="90"/>
              <w:left w:type="dxa" w:w="120"/>
              <w:bottom w:type="dxa" w:w="90"/>
              <w:right w:type="dxa" w:w="120"/>
            </w:tcMar>
          </w:tcPr>
          <w:p>
            <w:pPr>
              <w:spacing w:line="260"/>
            </w:pPr>
            <w:r>
              <w:rPr>
                <w:rFonts w:ascii="Calibri" w:cs="Calibri" w:eastAsia="Calibri" w:hAnsi="Calibri"/>
                <w:b w:val="false"/>
                <w:bCs w:val="false"/>
                <w:color w:val="1C1F26"/>
                <w:sz w:val="19"/>
                <w:szCs w:val="19"/>
              </w:rPr>
              <w:t xml:space="preserve">ACRE si tu as moins de 26 ans</w:t>
            </w:r>
          </w:p>
        </w:tc>
        <w:tc>
          <w:tcPr>
            <w:tcW w:type="dxa" w:w="3370"/>
            <w:tcMar>
              <w:top w:type="dxa" w:w="90"/>
              <w:left w:type="dxa" w:w="120"/>
              <w:bottom w:type="dxa" w:w="90"/>
              <w:right w:type="dxa" w:w="120"/>
            </w:tcMar>
          </w:tcPr>
          <w:p>
            <w:pPr>
              <w:spacing w:line="260"/>
            </w:pPr>
            <w:r>
              <w:rPr>
                <w:rFonts w:ascii="Calibri" w:cs="Calibri" w:eastAsia="Calibri" w:hAnsi="Calibri"/>
                <w:b w:val="false"/>
                <w:bCs w:val="false"/>
                <w:color w:val="1C1F26"/>
                <w:sz w:val="19"/>
                <w:szCs w:val="19"/>
              </w:rPr>
              <w:t xml:space="preserve">Conditions d'éligibilité en vigueur</w:t>
            </w:r>
          </w:p>
        </w:tc>
      </w:tr>
      <w:tr>
        <w:tc>
          <w:tcPr>
            <w:tcW w:type="dxa" w:w="1591"/>
            <w:tcMar>
              <w:top w:type="dxa" w:w="90"/>
              <w:left w:type="dxa" w:w="120"/>
              <w:bottom w:type="dxa" w:w="90"/>
              <w:right w:type="dxa" w:w="120"/>
            </w:tcMar>
          </w:tcPr>
          <w:p>
            <w:pPr>
              <w:spacing w:line="260"/>
            </w:pPr>
            <w:r>
              <w:rPr>
                <w:rFonts w:ascii="Calibri" w:cs="Calibri" w:eastAsia="Calibri" w:hAnsi="Calibri"/>
                <w:b/>
                <w:bCs/>
                <w:color w:val="1C1F26"/>
                <w:sz w:val="19"/>
                <w:szCs w:val="19"/>
              </w:rPr>
              <w:t xml:space="preserve">Statut étudiant</w:t>
            </w:r>
          </w:p>
        </w:tc>
        <w:tc>
          <w:tcPr>
            <w:tcW w:type="dxa" w:w="4399"/>
            <w:tcMar>
              <w:top w:type="dxa" w:w="90"/>
              <w:left w:type="dxa" w:w="120"/>
              <w:bottom w:type="dxa" w:w="90"/>
              <w:right w:type="dxa" w:w="120"/>
            </w:tcMar>
          </w:tcPr>
          <w:p>
            <w:pPr>
              <w:spacing w:line="260"/>
            </w:pPr>
            <w:r>
              <w:rPr>
                <w:rFonts w:ascii="Calibri" w:cs="Calibri" w:eastAsia="Calibri" w:hAnsi="Calibri"/>
                <w:b w:val="false"/>
                <w:bCs w:val="false"/>
                <w:color w:val="1C1F26"/>
                <w:sz w:val="19"/>
                <w:szCs w:val="19"/>
              </w:rPr>
              <w:t xml:space="preserve">Statut national étudiant-entrepreneur via le PEPITE de Lille</w:t>
            </w:r>
          </w:p>
        </w:tc>
        <w:tc>
          <w:tcPr>
            <w:tcW w:type="dxa" w:w="3370"/>
            <w:tcMar>
              <w:top w:type="dxa" w:w="90"/>
              <w:left w:type="dxa" w:w="120"/>
              <w:bottom w:type="dxa" w:w="90"/>
              <w:right w:type="dxa" w:w="120"/>
            </w:tcMar>
          </w:tcPr>
          <w:p>
            <w:pPr>
              <w:spacing w:line="260"/>
            </w:pPr>
            <w:r>
              <w:rPr>
                <w:rFonts w:ascii="Calibri" w:cs="Calibri" w:eastAsia="Calibri" w:hAnsi="Calibri"/>
                <w:b w:val="false"/>
                <w:bCs w:val="false"/>
                <w:color w:val="1C1F26"/>
                <w:sz w:val="19"/>
                <w:szCs w:val="19"/>
              </w:rPr>
              <w:t xml:space="preserve">Dates de dépôt, compatibilité césure</w:t>
            </w:r>
          </w:p>
        </w:tc>
      </w:tr>
      <w:tr>
        <w:tc>
          <w:tcPr>
            <w:tcW w:type="dxa" w:w="1591"/>
            <w:tcMar>
              <w:top w:type="dxa" w:w="90"/>
              <w:left w:type="dxa" w:w="120"/>
              <w:bottom w:type="dxa" w:w="90"/>
              <w:right w:type="dxa" w:w="120"/>
            </w:tcMar>
          </w:tcPr>
          <w:p>
            <w:pPr>
              <w:spacing w:line="260"/>
            </w:pPr>
            <w:r>
              <w:rPr>
                <w:rFonts w:ascii="Calibri" w:cs="Calibri" w:eastAsia="Calibri" w:hAnsi="Calibri"/>
                <w:b/>
                <w:bCs/>
                <w:color w:val="1C1F26"/>
                <w:sz w:val="19"/>
                <w:szCs w:val="19"/>
              </w:rPr>
              <w:t xml:space="preserve">TVA</w:t>
            </w:r>
          </w:p>
        </w:tc>
        <w:tc>
          <w:tcPr>
            <w:tcW w:type="dxa" w:w="4399"/>
            <w:tcMar>
              <w:top w:type="dxa" w:w="90"/>
              <w:left w:type="dxa" w:w="120"/>
              <w:bottom w:type="dxa" w:w="90"/>
              <w:right w:type="dxa" w:w="120"/>
            </w:tcMar>
          </w:tcPr>
          <w:p>
            <w:pPr>
              <w:spacing w:line="260"/>
            </w:pPr>
            <w:r>
              <w:rPr>
                <w:rFonts w:ascii="Calibri" w:cs="Calibri" w:eastAsia="Calibri" w:hAnsi="Calibri"/>
                <w:b w:val="false"/>
                <w:bCs w:val="false"/>
                <w:color w:val="1C1F26"/>
                <w:sz w:val="19"/>
                <w:szCs w:val="19"/>
              </w:rPr>
              <w:t xml:space="preserve">Facturer en hors taxes dès le premier client, avec clause de révision</w:t>
            </w:r>
          </w:p>
        </w:tc>
        <w:tc>
          <w:tcPr>
            <w:tcW w:type="dxa" w:w="3370"/>
            <w:tcMar>
              <w:top w:type="dxa" w:w="90"/>
              <w:left w:type="dxa" w:w="120"/>
              <w:bottom w:type="dxa" w:w="90"/>
              <w:right w:type="dxa" w:w="120"/>
            </w:tcMar>
          </w:tcPr>
          <w:p>
            <w:pPr>
              <w:spacing w:line="260"/>
            </w:pPr>
            <w:r>
              <w:rPr>
                <w:rFonts w:ascii="Calibri" w:cs="Calibri" w:eastAsia="Calibri" w:hAnsi="Calibri"/>
                <w:b w:val="false"/>
                <w:bCs w:val="false"/>
                <w:color w:val="1C1F26"/>
                <w:sz w:val="19"/>
                <w:szCs w:val="19"/>
              </w:rPr>
              <w:t xml:space="preserve">Seuil de franchise applicable en 2026-2027</w:t>
            </w:r>
          </w:p>
        </w:tc>
      </w:tr>
      <w:tr>
        <w:tc>
          <w:tcPr>
            <w:tcW w:type="dxa" w:w="1591"/>
            <w:tcMar>
              <w:top w:type="dxa" w:w="90"/>
              <w:left w:type="dxa" w:w="120"/>
              <w:bottom w:type="dxa" w:w="90"/>
              <w:right w:type="dxa" w:w="120"/>
            </w:tcMar>
          </w:tcPr>
          <w:p>
            <w:pPr>
              <w:spacing w:line="260"/>
            </w:pPr>
            <w:r>
              <w:rPr>
                <w:rFonts w:ascii="Calibri" w:cs="Calibri" w:eastAsia="Calibri" w:hAnsi="Calibri"/>
                <w:b/>
                <w:bCs/>
                <w:color w:val="1C1F26"/>
                <w:sz w:val="19"/>
                <w:szCs w:val="19"/>
              </w:rPr>
              <w:t xml:space="preserve">RGPD</w:t>
            </w:r>
          </w:p>
        </w:tc>
        <w:tc>
          <w:tcPr>
            <w:tcW w:type="dxa" w:w="4399"/>
            <w:tcMar>
              <w:top w:type="dxa" w:w="90"/>
              <w:left w:type="dxa" w:w="120"/>
              <w:bottom w:type="dxa" w:w="90"/>
              <w:right w:type="dxa" w:w="120"/>
            </w:tcMar>
          </w:tcPr>
          <w:p>
            <w:pPr>
              <w:spacing w:line="260"/>
            </w:pPr>
            <w:r>
              <w:rPr>
                <w:rFonts w:ascii="Calibri" w:cs="Calibri" w:eastAsia="Calibri" w:hAnsi="Calibri"/>
                <w:b w:val="false"/>
                <w:bCs w:val="false"/>
                <w:color w:val="1C1F26"/>
                <w:sz w:val="19"/>
                <w:szCs w:val="19"/>
              </w:rPr>
              <w:t xml:space="preserve">Tu traites des données personnelles de stagiaires en tant que sous-traitant. Contrat de sous-traitance signé avec chaque client, registre des traitements, hébergement dans l'Union européenne, durées de conservation écrites</w:t>
            </w:r>
          </w:p>
        </w:tc>
        <w:tc>
          <w:tcPr>
            <w:tcW w:type="dxa" w:w="3370"/>
            <w:tcMar>
              <w:top w:type="dxa" w:w="90"/>
              <w:left w:type="dxa" w:w="120"/>
              <w:bottom w:type="dxa" w:w="90"/>
              <w:right w:type="dxa" w:w="120"/>
            </w:tcMar>
          </w:tcPr>
          <w:p>
            <w:pPr>
              <w:spacing w:line="260"/>
            </w:pPr>
            <w:r>
              <w:rPr>
                <w:rFonts w:ascii="Calibri" w:cs="Calibri" w:eastAsia="Calibri" w:hAnsi="Calibri"/>
                <w:b w:val="false"/>
                <w:bCs w:val="false"/>
                <w:color w:val="1C1F26"/>
                <w:sz w:val="19"/>
                <w:szCs w:val="19"/>
              </w:rPr>
              <w:t xml:space="preserve">Modération des réponses libres, qui peuvent contenir n'importe quoi</w:t>
            </w:r>
          </w:p>
        </w:tc>
      </w:tr>
      <w:tr>
        <w:tc>
          <w:tcPr>
            <w:tcW w:type="dxa" w:w="1591"/>
            <w:tcMar>
              <w:top w:type="dxa" w:w="90"/>
              <w:left w:type="dxa" w:w="120"/>
              <w:bottom w:type="dxa" w:w="90"/>
              <w:right w:type="dxa" w:w="120"/>
            </w:tcMar>
          </w:tcPr>
          <w:p>
            <w:pPr>
              <w:spacing w:line="260"/>
            </w:pPr>
            <w:r>
              <w:rPr>
                <w:rFonts w:ascii="Calibri" w:cs="Calibri" w:eastAsia="Calibri" w:hAnsi="Calibri"/>
                <w:b/>
                <w:bCs/>
                <w:color w:val="1C1F26"/>
                <w:sz w:val="19"/>
                <w:szCs w:val="19"/>
              </w:rPr>
              <w:t xml:space="preserve">Prospection</w:t>
            </w:r>
          </w:p>
        </w:tc>
        <w:tc>
          <w:tcPr>
            <w:tcW w:type="dxa" w:w="4399"/>
            <w:tcMar>
              <w:top w:type="dxa" w:w="90"/>
              <w:left w:type="dxa" w:w="120"/>
              <w:bottom w:type="dxa" w:w="90"/>
              <w:right w:type="dxa" w:w="120"/>
            </w:tcMar>
          </w:tcPr>
          <w:p>
            <w:pPr>
              <w:spacing w:line="260"/>
            </w:pPr>
            <w:r>
              <w:rPr>
                <w:rFonts w:ascii="Calibri" w:cs="Calibri" w:eastAsia="Calibri" w:hAnsi="Calibri"/>
                <w:b w:val="false"/>
                <w:bCs w:val="false"/>
                <w:color w:val="1C1F26"/>
                <w:sz w:val="19"/>
                <w:szCs w:val="19"/>
              </w:rPr>
              <w:t xml:space="preserve">E-mail professionnel, mention de l'origine des données, désabonnement à chaque envoi</w:t>
            </w:r>
          </w:p>
        </w:tc>
        <w:tc>
          <w:tcPr>
            <w:tcW w:type="dxa" w:w="3370"/>
            <w:tcMar>
              <w:top w:type="dxa" w:w="90"/>
              <w:left w:type="dxa" w:w="120"/>
              <w:bottom w:type="dxa" w:w="90"/>
              <w:right w:type="dxa" w:w="120"/>
            </w:tcMar>
          </w:tcPr>
          <w:p>
            <w:pPr>
              <w:spacing w:line="260"/>
            </w:pPr>
            <w:r>
              <w:rPr>
                <w:rFonts w:ascii="Calibri" w:cs="Calibri" w:eastAsia="Calibri" w:hAnsi="Calibri"/>
                <w:b w:val="false"/>
                <w:bCs w:val="false"/>
                <w:color w:val="1C1F26"/>
                <w:sz w:val="19"/>
                <w:szCs w:val="19"/>
              </w:rPr>
              <w:t xml:space="preserve">Doctrine en vigueur sur la prospection entre professionnels</w:t>
            </w:r>
          </w:p>
        </w:tc>
      </w:tr>
      <w:tr>
        <w:tc>
          <w:tcPr>
            <w:tcW w:type="dxa" w:w="1591"/>
            <w:tcMar>
              <w:top w:type="dxa" w:w="90"/>
              <w:left w:type="dxa" w:w="120"/>
              <w:bottom w:type="dxa" w:w="90"/>
              <w:right w:type="dxa" w:w="120"/>
            </w:tcMar>
          </w:tcPr>
          <w:p>
            <w:pPr>
              <w:spacing w:line="260"/>
            </w:pPr>
            <w:r>
              <w:rPr>
                <w:rFonts w:ascii="Calibri" w:cs="Calibri" w:eastAsia="Calibri" w:hAnsi="Calibri"/>
                <w:b/>
                <w:bCs/>
                <w:color w:val="1C1F26"/>
                <w:sz w:val="19"/>
                <w:szCs w:val="19"/>
              </w:rPr>
              <w:t xml:space="preserve">Assurance</w:t>
            </w:r>
          </w:p>
        </w:tc>
        <w:tc>
          <w:tcPr>
            <w:tcW w:type="dxa" w:w="4399"/>
            <w:tcMar>
              <w:top w:type="dxa" w:w="90"/>
              <w:left w:type="dxa" w:w="120"/>
              <w:bottom w:type="dxa" w:w="90"/>
              <w:right w:type="dxa" w:w="120"/>
            </w:tcMar>
          </w:tcPr>
          <w:p>
            <w:pPr>
              <w:spacing w:line="260"/>
            </w:pPr>
            <w:r>
              <w:rPr>
                <w:rFonts w:ascii="Calibri" w:cs="Calibri" w:eastAsia="Calibri" w:hAnsi="Calibri"/>
                <w:b w:val="false"/>
                <w:bCs w:val="false"/>
                <w:color w:val="1C1F26"/>
                <w:sz w:val="19"/>
                <w:szCs w:val="19"/>
              </w:rPr>
              <w:t xml:space="preserve">Responsabilité civile professionnelle</w:t>
            </w:r>
          </w:p>
        </w:tc>
        <w:tc>
          <w:tcPr>
            <w:tcW w:type="dxa" w:w="3370"/>
            <w:tcMar>
              <w:top w:type="dxa" w:w="90"/>
              <w:left w:type="dxa" w:w="120"/>
              <w:bottom w:type="dxa" w:w="90"/>
              <w:right w:type="dxa" w:w="120"/>
            </w:tcMar>
          </w:tcPr>
          <w:p>
            <w:pPr>
              <w:spacing w:line="260"/>
            </w:pPr>
            <w:r>
              <w:rPr>
                <w:rFonts w:ascii="Calibri" w:cs="Calibri" w:eastAsia="Calibri" w:hAnsi="Calibri"/>
                <w:b w:val="false"/>
                <w:bCs w:val="false"/>
                <w:color w:val="1C1F26"/>
                <w:sz w:val="19"/>
                <w:szCs w:val="19"/>
              </w:rPr>
              <w:t xml:space="preserve">Couverture de la perte financière consécutive à une erreur documentaire</w:t>
            </w:r>
          </w:p>
        </w:tc>
      </w:tr>
      <w:tr>
        <w:tc>
          <w:tcPr>
            <w:tcW w:type="dxa" w:w="1591"/>
            <w:tcMar>
              <w:top w:type="dxa" w:w="90"/>
              <w:left w:type="dxa" w:w="120"/>
              <w:bottom w:type="dxa" w:w="90"/>
              <w:right w:type="dxa" w:w="120"/>
            </w:tcMar>
          </w:tcPr>
          <w:p>
            <w:pPr>
              <w:spacing w:line="260"/>
            </w:pPr>
            <w:r>
              <w:rPr>
                <w:rFonts w:ascii="Calibri" w:cs="Calibri" w:eastAsia="Calibri" w:hAnsi="Calibri"/>
                <w:b/>
                <w:bCs/>
                <w:color w:val="1C1F26"/>
                <w:sz w:val="19"/>
                <w:szCs w:val="19"/>
              </w:rPr>
              <w:t xml:space="preserve">Contrat</w:t>
            </w:r>
          </w:p>
        </w:tc>
        <w:tc>
          <w:tcPr>
            <w:tcW w:type="dxa" w:w="4399"/>
            <w:tcMar>
              <w:top w:type="dxa" w:w="90"/>
              <w:left w:type="dxa" w:w="120"/>
              <w:bottom w:type="dxa" w:w="90"/>
              <w:right w:type="dxa" w:w="120"/>
            </w:tcMar>
          </w:tcPr>
          <w:p>
            <w:pPr>
              <w:spacing w:line="260"/>
            </w:pPr>
            <w:r>
              <w:rPr>
                <w:rFonts w:ascii="Calibri" w:cs="Calibri" w:eastAsia="Calibri" w:hAnsi="Calibri"/>
                <w:b w:val="false"/>
                <w:bCs w:val="false"/>
                <w:color w:val="1C1F26"/>
                <w:sz w:val="19"/>
                <w:szCs w:val="19"/>
              </w:rPr>
              <w:t xml:space="preserve">Abonnement mensuel, préavis de 30 jours, export complet des données à la sortie</w:t>
            </w:r>
          </w:p>
        </w:tc>
        <w:tc>
          <w:tcPr>
            <w:tcW w:type="dxa" w:w="3370"/>
            <w:tcMar>
              <w:top w:type="dxa" w:w="90"/>
              <w:left w:type="dxa" w:w="120"/>
              <w:bottom w:type="dxa" w:w="90"/>
              <w:right w:type="dxa" w:w="120"/>
            </w:tcMar>
          </w:tcPr>
          <w:p>
            <w:pPr>
              <w:spacing w:line="260"/>
            </w:pPr>
            <w:r>
              <w:rPr>
                <w:rFonts w:ascii="Calibri" w:cs="Calibri" w:eastAsia="Calibri" w:hAnsi="Calibri"/>
                <w:b w:val="false"/>
                <w:bCs w:val="false"/>
                <w:color w:val="1C1F26"/>
                <w:sz w:val="19"/>
                <w:szCs w:val="19"/>
              </w:rPr>
              <w:t xml:space="preserve">Rédaction des conditions générales</w:t>
            </w:r>
          </w:p>
        </w:tc>
      </w:tr>
    </w:tbl>
    <w:p>
      <w:pPr>
        <w:spacing w:after="200"/>
      </w:pPr>
    </w:p>
    <w:p>
      <w:pPr>
        <w:spacing w:after="160" w:before="0" w:line="276"/>
      </w:pPr>
      <w:r>
        <w:rPr>
          <w:rFonts w:ascii="Calibri" w:cs="Calibri" w:eastAsia="Calibri" w:hAnsi="Calibri"/>
          <w:color w:val="1C1F26"/>
          <w:sz w:val="21"/>
          <w:szCs w:val="21"/>
        </w:rPr>
        <w:t xml:space="preserve">Correction par rapport à la version 1 : il est faux d'écrire que l'activité ne touche aucune donnée sensible. Elle ne touche pas de données de santé, ce qui reste un avantage décisif sur les autres pistes envisagées, mais elle traite des données personnelles identifiantes. Le contrat de sous-traitance est obligatoire, pas optionnel.</w:t>
      </w:r>
    </w:p>
    <w:p>
      <w:pPr>
        <w:pStyle w:val="Heading1"/>
        <w:pBdr>
          <w:bottom w:val="single" w:color="1C1F26" w:sz="12" w:space="6"/>
        </w:pBdr>
        <w:spacing w:after="160" w:before="400"/>
      </w:pPr>
      <w:r>
        <w:rPr>
          <w:rFonts w:ascii="Calibri" w:cs="Calibri" w:eastAsia="Calibri" w:hAnsi="Calibri"/>
          <w:b/>
          <w:bCs/>
          <w:color w:val="1C1F26"/>
          <w:sz w:val="28"/>
          <w:szCs w:val="28"/>
        </w:rPr>
        <w:t xml:space="preserve">3. Les trente premiers jours</w:t>
      </w:r>
    </w:p>
    <w:p>
      <w:pPr>
        <w:spacing w:after="160" w:before="0" w:line="276"/>
      </w:pPr>
      <w:r>
        <w:rPr>
          <w:rFonts w:ascii="Calibri" w:cs="Calibri" w:eastAsia="Calibri" w:hAnsi="Calibri"/>
          <w:color w:val="5C6270"/>
          <w:sz w:val="21"/>
          <w:szCs w:val="21"/>
        </w:rPr>
        <w:t xml:space="preserve">Objectif unique : savoir si quelqu'un paie. Aucun développement, aucune marque, aucun logo.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4B8D" w:sz="6"/>
              <w:left w:val="single" w:color="2A4B8D" w:sz="18"/>
              <w:bottom w:val="single" w:color="2A4B8D" w:sz="6"/>
              <w:right w:val="single" w:color="2A4B8D" w:sz="6"/>
            </w:tcBorders>
            <w:shd w:fill="EDEFF4" w:val="clear"/>
            <w:tcMar>
              <w:top w:type="dxa" w:w="160"/>
              <w:left w:type="dxa" w:w="200"/>
              <w:bottom w:type="dxa" w:w="160"/>
              <w:right w:type="dxa" w:w="200"/>
            </w:tcMar>
          </w:tcPr>
          <w:p>
            <w:pPr>
              <w:spacing w:after="60"/>
            </w:pPr>
            <w:r>
              <w:rPr>
                <w:rFonts w:ascii="Calibri" w:cs="Calibri" w:eastAsia="Calibri" w:hAnsi="Calibri"/>
                <w:b/>
                <w:bCs/>
                <w:color w:val="2A4B8D"/>
                <w:sz w:val="21"/>
                <w:szCs w:val="21"/>
              </w:rPr>
              <w:t xml:space="preserve">Ce que trente jours peuvent et ne peuvent pas valider</w:t>
            </w:r>
          </w:p>
          <w:p>
            <w:pPr>
              <w:spacing w:after="60" w:line="276"/>
            </w:pPr>
            <w:r>
              <w:rPr>
                <w:rFonts w:ascii="Calibri" w:cs="Calibri" w:eastAsia="Calibri" w:hAnsi="Calibri"/>
                <w:color w:val="1C1F26"/>
                <w:sz w:val="20"/>
                <w:szCs w:val="20"/>
              </w:rPr>
              <w:t xml:space="preserve">Validable : l'intérêt, le prix, le taux de réponse, le discours qui accroche.</w:t>
            </w:r>
          </w:p>
          <w:p>
            <w:pPr>
              <w:spacing w:after="60" w:line="276"/>
            </w:pPr>
            <w:r>
              <w:rPr>
                <w:rFonts w:ascii="Calibri" w:cs="Calibri" w:eastAsia="Calibri" w:hAnsi="Calibri"/>
                <w:color w:val="1C1F26"/>
                <w:sz w:val="20"/>
                <w:szCs w:val="20"/>
              </w:rPr>
              <w:t xml:space="preserve">Non validable : le cycle de livraison complet. Le questionnaire à froid part à J+60, donc la promesse entière ne peut pas être éprouvée avant le troisième mois. Le jalon de livraison est à 90 jours, pas à 30.</w:t>
            </w:r>
          </w:p>
        </w:tc>
      </w:tr>
    </w:tbl>
    <w:p>
      <w:pPr>
        <w:spacing w:after="160"/>
      </w:pPr>
    </w:p>
    <w:p>
      <w:pPr>
        <w:pStyle w:val="Heading2"/>
        <w:spacing w:after="100" w:before="280"/>
      </w:pPr>
      <w:r>
        <w:rPr>
          <w:rFonts w:ascii="Calibri" w:cs="Calibri" w:eastAsia="Calibri" w:hAnsi="Calibri"/>
          <w:b/>
          <w:bCs/>
          <w:color w:val="2A4B8D"/>
          <w:sz w:val="23"/>
          <w:szCs w:val="23"/>
        </w:rPr>
        <w:t xml:space="preserve">Semaine 1 — matière première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10"/>
        <w:gridCol w:w="8050"/>
      </w:tblGrid>
      <w:tr>
        <w:trPr>
          <w:tblHeader/>
        </w:trPr>
        <w:tc>
          <w:tcPr>
            <w:tcW w:type="dxa" w:w="1310"/>
            <w:shd w:fill="E7E6E1" w:val="clear"/>
            <w:tcMar>
              <w:top w:type="dxa" w:w="90"/>
              <w:left w:type="dxa" w:w="120"/>
              <w:bottom w:type="dxa" w:w="90"/>
              <w:right w:type="dxa" w:w="120"/>
            </w:tcMar>
          </w:tcPr>
          <w:p>
            <w:r>
              <w:rPr>
                <w:rFonts w:ascii="Calibri" w:cs="Calibri" w:eastAsia="Calibri" w:hAnsi="Calibri"/>
                <w:b/>
                <w:bCs/>
                <w:color w:val="1C1F26"/>
                <w:sz w:val="19"/>
                <w:szCs w:val="19"/>
              </w:rPr>
              <w:t xml:space="preserve">Quand</w:t>
            </w:r>
          </w:p>
        </w:tc>
        <w:tc>
          <w:tcPr>
            <w:tcW w:type="dxa" w:w="8050"/>
            <w:shd w:fill="E7E6E1" w:val="clear"/>
            <w:tcMar>
              <w:top w:type="dxa" w:w="90"/>
              <w:left w:type="dxa" w:w="120"/>
              <w:bottom w:type="dxa" w:w="90"/>
              <w:right w:type="dxa" w:w="120"/>
            </w:tcMar>
          </w:tcPr>
          <w:p>
            <w:r>
              <w:rPr>
                <w:rFonts w:ascii="Calibri" w:cs="Calibri" w:eastAsia="Calibri" w:hAnsi="Calibri"/>
                <w:b/>
                <w:bCs/>
                <w:color w:val="1C1F26"/>
                <w:sz w:val="19"/>
                <w:szCs w:val="19"/>
              </w:rPr>
              <w:t xml:space="preserve">Quoi</w:t>
            </w:r>
          </w:p>
        </w:tc>
      </w:tr>
      <w:tr>
        <w:tc>
          <w:tcPr>
            <w:tcW w:type="dxa" w:w="1310"/>
            <w:tcMar>
              <w:top w:type="dxa" w:w="90"/>
              <w:left w:type="dxa" w:w="120"/>
              <w:bottom w:type="dxa" w:w="90"/>
              <w:right w:type="dxa" w:w="120"/>
            </w:tcMar>
          </w:tcPr>
          <w:p>
            <w:pPr>
              <w:spacing w:line="260"/>
            </w:pPr>
            <w:r>
              <w:rPr>
                <w:rFonts w:ascii="Calibri" w:cs="Calibri" w:eastAsia="Calibri" w:hAnsi="Calibri"/>
                <w:b/>
                <w:bCs/>
                <w:color w:val="1C1F26"/>
                <w:sz w:val="19"/>
                <w:szCs w:val="19"/>
              </w:rPr>
              <w:t xml:space="preserve">Jour 1</w:t>
            </w:r>
          </w:p>
        </w:tc>
        <w:tc>
          <w:tcPr>
            <w:tcW w:type="dxa" w:w="8050"/>
            <w:tcMar>
              <w:top w:type="dxa" w:w="90"/>
              <w:left w:type="dxa" w:w="120"/>
              <w:bottom w:type="dxa" w:w="90"/>
              <w:right w:type="dxa" w:w="120"/>
            </w:tcMar>
          </w:tcPr>
          <w:p>
            <w:pPr>
              <w:spacing w:line="260"/>
            </w:pPr>
            <w:r>
              <w:rPr>
                <w:rFonts w:ascii="Calibri" w:cs="Calibri" w:eastAsia="Calibri" w:hAnsi="Calibri"/>
                <w:b w:val="false"/>
                <w:bCs w:val="false"/>
                <w:color w:val="1C1F26"/>
                <w:sz w:val="19"/>
                <w:szCs w:val="19"/>
              </w:rPr>
              <w:t xml:space="preserve">Figer le périmètre v1 sur une page : livrables, exclusions, promesse en une phrase.</w:t>
            </w:r>
          </w:p>
        </w:tc>
      </w:tr>
      <w:tr>
        <w:tc>
          <w:tcPr>
            <w:tcW w:type="dxa" w:w="1310"/>
            <w:tcMar>
              <w:top w:type="dxa" w:w="90"/>
              <w:left w:type="dxa" w:w="120"/>
              <w:bottom w:type="dxa" w:w="90"/>
              <w:right w:type="dxa" w:w="120"/>
            </w:tcMar>
          </w:tcPr>
          <w:p>
            <w:pPr>
              <w:spacing w:line="260"/>
            </w:pPr>
            <w:r>
              <w:rPr>
                <w:rFonts w:ascii="Calibri" w:cs="Calibri" w:eastAsia="Calibri" w:hAnsi="Calibri"/>
                <w:b/>
                <w:bCs/>
                <w:color w:val="1C1F26"/>
                <w:sz w:val="19"/>
                <w:szCs w:val="19"/>
              </w:rPr>
              <w:t xml:space="preserve">Jour 2</w:t>
            </w:r>
          </w:p>
        </w:tc>
        <w:tc>
          <w:tcPr>
            <w:tcW w:type="dxa" w:w="8050"/>
            <w:tcMar>
              <w:top w:type="dxa" w:w="90"/>
              <w:left w:type="dxa" w:w="120"/>
              <w:bottom w:type="dxa" w:w="90"/>
              <w:right w:type="dxa" w:w="120"/>
            </w:tcMar>
          </w:tcPr>
          <w:p>
            <w:pPr>
              <w:spacing w:line="260"/>
            </w:pPr>
            <w:r>
              <w:rPr>
                <w:rFonts w:ascii="Calibri" w:cs="Calibri" w:eastAsia="Calibri" w:hAnsi="Calibri"/>
                <w:b w:val="false"/>
                <w:bCs w:val="false"/>
                <w:color w:val="1C1F26"/>
                <w:sz w:val="19"/>
                <w:szCs w:val="19"/>
              </w:rPr>
              <w:t xml:space="preserve">Télécharger la liste publique des organismes de formation sur data.gouv.fr. Nettoyer, dédoublonner, vérifier colonne par colonne ce qui est réellement exploitable. Lancer le relevé quotidien décrit en section 8.</w:t>
            </w:r>
          </w:p>
        </w:tc>
      </w:tr>
      <w:tr>
        <w:tc>
          <w:tcPr>
            <w:tcW w:type="dxa" w:w="1310"/>
            <w:tcMar>
              <w:top w:type="dxa" w:w="90"/>
              <w:left w:type="dxa" w:w="120"/>
              <w:bottom w:type="dxa" w:w="90"/>
              <w:right w:type="dxa" w:w="120"/>
            </w:tcMar>
          </w:tcPr>
          <w:p>
            <w:pPr>
              <w:spacing w:line="260"/>
            </w:pPr>
            <w:r>
              <w:rPr>
                <w:rFonts w:ascii="Calibri" w:cs="Calibri" w:eastAsia="Calibri" w:hAnsi="Calibri"/>
                <w:b/>
                <w:bCs/>
                <w:color w:val="1C1F26"/>
                <w:sz w:val="19"/>
                <w:szCs w:val="19"/>
              </w:rPr>
              <w:t xml:space="preserve">Jour 3</w:t>
            </w:r>
          </w:p>
        </w:tc>
        <w:tc>
          <w:tcPr>
            <w:tcW w:type="dxa" w:w="8050"/>
            <w:tcMar>
              <w:top w:type="dxa" w:w="90"/>
              <w:left w:type="dxa" w:w="120"/>
              <w:bottom w:type="dxa" w:w="90"/>
              <w:right w:type="dxa" w:w="120"/>
            </w:tcMar>
          </w:tcPr>
          <w:p>
            <w:pPr>
              <w:spacing w:line="260"/>
            </w:pPr>
            <w:r>
              <w:rPr>
                <w:rFonts w:ascii="Calibri" w:cs="Calibri" w:eastAsia="Calibri" w:hAnsi="Calibri"/>
                <w:b w:val="false"/>
                <w:bCs w:val="false"/>
                <w:color w:val="1C1F26"/>
                <w:sz w:val="19"/>
                <w:szCs w:val="19"/>
              </w:rPr>
              <w:t xml:space="preserve">Construire deux segments de 250 organismes. B : déclaration d'activité récente, rien n'est encore en place. C : structure de petite taille avec une activité déclarée réelle, assez pour payer, trop petite pour un progiciel. Le segment fondé sur la date d'audit fait l'objet d'un traitement séparé, voir ci-dessous.</w:t>
            </w:r>
          </w:p>
        </w:tc>
      </w:tr>
      <w:tr>
        <w:tc>
          <w:tcPr>
            <w:tcW w:type="dxa" w:w="1310"/>
            <w:tcMar>
              <w:top w:type="dxa" w:w="90"/>
              <w:left w:type="dxa" w:w="120"/>
              <w:bottom w:type="dxa" w:w="90"/>
              <w:right w:type="dxa" w:w="120"/>
            </w:tcMar>
          </w:tcPr>
          <w:p>
            <w:pPr>
              <w:spacing w:line="260"/>
            </w:pPr>
            <w:r>
              <w:rPr>
                <w:rFonts w:ascii="Calibri" w:cs="Calibri" w:eastAsia="Calibri" w:hAnsi="Calibri"/>
                <w:b/>
                <w:bCs/>
                <w:color w:val="1C1F26"/>
                <w:sz w:val="19"/>
                <w:szCs w:val="19"/>
              </w:rPr>
              <w:t xml:space="preserve">Jours 4-5</w:t>
            </w:r>
          </w:p>
        </w:tc>
        <w:tc>
          <w:tcPr>
            <w:tcW w:type="dxa" w:w="8050"/>
            <w:tcMar>
              <w:top w:type="dxa" w:w="90"/>
              <w:left w:type="dxa" w:w="120"/>
              <w:bottom w:type="dxa" w:w="90"/>
              <w:right w:type="dxa" w:w="120"/>
            </w:tcMar>
          </w:tcPr>
          <w:p>
            <w:pPr>
              <w:spacing w:line="260"/>
            </w:pPr>
            <w:r>
              <w:rPr>
                <w:rFonts w:ascii="Calibri" w:cs="Calibri" w:eastAsia="Calibri" w:hAnsi="Calibri"/>
                <w:b w:val="false"/>
                <w:bCs w:val="false"/>
                <w:color w:val="1C1F26"/>
                <w:sz w:val="19"/>
                <w:szCs w:val="19"/>
              </w:rPr>
              <w:t xml:space="preserve">Produire les deux seuls actifs qui vendent : une page de vente d'un écran, et un exemple anonymisé de dossier de preuves au format PDF. C'est le PDF qui convertit, pas la page.</w:t>
            </w:r>
          </w:p>
        </w:tc>
      </w:tr>
      <w:tr>
        <w:tc>
          <w:tcPr>
            <w:tcW w:type="dxa" w:w="1310"/>
            <w:tcMar>
              <w:top w:type="dxa" w:w="90"/>
              <w:left w:type="dxa" w:w="120"/>
              <w:bottom w:type="dxa" w:w="90"/>
              <w:right w:type="dxa" w:w="120"/>
            </w:tcMar>
          </w:tcPr>
          <w:p>
            <w:pPr>
              <w:spacing w:line="260"/>
            </w:pPr>
            <w:r>
              <w:rPr>
                <w:rFonts w:ascii="Calibri" w:cs="Calibri" w:eastAsia="Calibri" w:hAnsi="Calibri"/>
                <w:b/>
                <w:bCs/>
                <w:color w:val="1C1F26"/>
                <w:sz w:val="19"/>
                <w:szCs w:val="19"/>
              </w:rPr>
              <w:t xml:space="preserve">Jour 6</w:t>
            </w:r>
          </w:p>
        </w:tc>
        <w:tc>
          <w:tcPr>
            <w:tcW w:type="dxa" w:w="8050"/>
            <w:tcMar>
              <w:top w:type="dxa" w:w="90"/>
              <w:left w:type="dxa" w:w="120"/>
              <w:bottom w:type="dxa" w:w="90"/>
              <w:right w:type="dxa" w:w="120"/>
            </w:tcMar>
          </w:tcPr>
          <w:p>
            <w:pPr>
              <w:spacing w:line="260"/>
            </w:pPr>
            <w:r>
              <w:rPr>
                <w:rFonts w:ascii="Calibri" w:cs="Calibri" w:eastAsia="Calibri" w:hAnsi="Calibri"/>
                <w:b w:val="false"/>
                <w:bCs w:val="false"/>
                <w:color w:val="1C1F26"/>
                <w:sz w:val="19"/>
                <w:szCs w:val="19"/>
              </w:rPr>
              <w:t xml:space="preserve">Domaine d'envoi secondaire, configuration SPF, DKIM et DMARC, préchauffage lancé. Le domaine principal ne sert jamais à la prospection.</w:t>
            </w:r>
          </w:p>
        </w:tc>
      </w:tr>
      <w:tr>
        <w:tc>
          <w:tcPr>
            <w:tcW w:type="dxa" w:w="1310"/>
            <w:tcMar>
              <w:top w:type="dxa" w:w="90"/>
              <w:left w:type="dxa" w:w="120"/>
              <w:bottom w:type="dxa" w:w="90"/>
              <w:right w:type="dxa" w:w="120"/>
            </w:tcMar>
          </w:tcPr>
          <w:p>
            <w:pPr>
              <w:spacing w:line="260"/>
            </w:pPr>
            <w:r>
              <w:rPr>
                <w:rFonts w:ascii="Calibri" w:cs="Calibri" w:eastAsia="Calibri" w:hAnsi="Calibri"/>
                <w:b/>
                <w:bCs/>
                <w:color w:val="1C1F26"/>
                <w:sz w:val="19"/>
                <w:szCs w:val="19"/>
              </w:rPr>
              <w:t xml:space="preserve">Jour 7</w:t>
            </w:r>
          </w:p>
        </w:tc>
        <w:tc>
          <w:tcPr>
            <w:tcW w:type="dxa" w:w="8050"/>
            <w:tcMar>
              <w:top w:type="dxa" w:w="90"/>
              <w:left w:type="dxa" w:w="120"/>
              <w:bottom w:type="dxa" w:w="90"/>
              <w:right w:type="dxa" w:w="120"/>
            </w:tcMar>
          </w:tcPr>
          <w:p>
            <w:pPr>
              <w:spacing w:line="260"/>
            </w:pPr>
            <w:r>
              <w:rPr>
                <w:rFonts w:ascii="Calibri" w:cs="Calibri" w:eastAsia="Calibri" w:hAnsi="Calibri"/>
                <w:b w:val="false"/>
                <w:bCs w:val="false"/>
                <w:color w:val="1C1F26"/>
                <w:sz w:val="19"/>
                <w:szCs w:val="19"/>
              </w:rPr>
              <w:t xml:space="preserve">Écrire deux séquences de trois e-mails, une par segment. Le déclencheur diffère, le produit ne change pas.</w:t>
            </w:r>
          </w:p>
        </w:tc>
      </w:tr>
    </w:tbl>
    <w:p>
      <w:pPr>
        <w:spacing w:after="200"/>
      </w:pPr>
    </w:p>
    <w:p>
      <w:pPr>
        <w:pStyle w:val="Heading2"/>
        <w:spacing w:after="100" w:before="280"/>
      </w:pPr>
      <w:r>
        <w:rPr>
          <w:rFonts w:ascii="Calibri" w:cs="Calibri" w:eastAsia="Calibri" w:hAnsi="Calibri"/>
          <w:b/>
          <w:bCs/>
          <w:color w:val="2A4B8D"/>
          <w:sz w:val="23"/>
          <w:szCs w:val="23"/>
        </w:rPr>
        <w:t xml:space="preserve">Le segment le plus rentable, et pourquoi il demande un détour</w:t>
      </w:r>
    </w:p>
    <w:p>
      <w:pPr>
        <w:spacing w:after="120" w:before="0" w:line="276"/>
      </w:pPr>
      <w:r>
        <w:rPr>
          <w:rFonts w:ascii="Calibri" w:cs="Calibri" w:eastAsia="Calibri" w:hAnsi="Calibri"/>
          <w:color w:val="1C1F26"/>
          <w:sz w:val="21"/>
          <w:szCs w:val="21"/>
        </w:rPr>
        <w:t xml:space="preserve">Le meilleur déclencheur est la proximité de l'audit de surveillance, qui tombe entre quatorze et vingt-deux mois après la certification. Problème vérifié : la liste publique indique la certification par un simple « oui » selon la catégorie d'action, sans date d'obtention. Le segment ne peut donc pas être construit directement depuis le fichier.</w:t>
      </w:r>
    </w:p>
    <w:p>
      <w:pPr>
        <w:spacing w:after="120" w:before="0" w:line="276"/>
      </w:pPr>
      <w:r>
        <w:rPr>
          <w:rFonts w:ascii="Calibri" w:cs="Calibri" w:eastAsia="Calibri" w:hAnsi="Calibri"/>
          <w:color w:val="1C1F26"/>
          <w:sz w:val="21"/>
          <w:szCs w:val="21"/>
        </w:rPr>
        <w:t xml:space="preserve">Trois façons de le reconstruire, à traiter en parallèle du test et non à sa place :</w:t>
      </w:r>
    </w:p>
    <w:p>
      <w:pPr>
        <w:pStyle w:val="ListParagraph"/>
        <w:numPr>
          <w:ilvl w:val="0"/>
          <w:numId w:val="4"/>
        </w:numPr>
        <w:spacing w:after="90" w:line="276"/>
      </w:pPr>
      <w:r>
        <w:rPr>
          <w:rFonts w:ascii="Calibri" w:cs="Calibri" w:eastAsia="Calibri" w:hAnsi="Calibri"/>
          <w:b/>
          <w:bCs/>
          <w:color w:val="1C1F26"/>
          <w:sz w:val="21"/>
          <w:szCs w:val="21"/>
        </w:rPr>
        <w:t xml:space="preserve">Extraire les certificats depuis les sites des organismes. </w:t>
      </w:r>
      <w:r>
        <w:rPr>
          <w:rFonts w:ascii="Calibri" w:cs="Calibri" w:eastAsia="Calibri" w:hAnsi="Calibri"/>
          <w:color w:val="1C1F26"/>
          <w:sz w:val="21"/>
          <w:szCs w:val="21"/>
        </w:rPr>
        <w:t xml:space="preserve">Tout organisme certifié a l'obligation d'afficher son certificat sur son site, et le certificat porte ses dates. Un agent parcourt quelques milliers de sites la nuit et remplit le champ manquant. C'est la voie la plus directe.</w:t>
      </w:r>
    </w:p>
    <w:p>
      <w:pPr>
        <w:pStyle w:val="ListParagraph"/>
        <w:numPr>
          <w:ilvl w:val="0"/>
          <w:numId w:val="4"/>
        </w:numPr>
        <w:spacing w:after="90" w:line="276"/>
      </w:pPr>
      <w:r>
        <w:rPr>
          <w:rFonts w:ascii="Calibri" w:cs="Calibri" w:eastAsia="Calibri" w:hAnsi="Calibri"/>
          <w:b/>
          <w:bCs/>
          <w:color w:val="1C1F26"/>
          <w:sz w:val="21"/>
          <w:szCs w:val="21"/>
        </w:rPr>
        <w:t xml:space="preserve">Relever la liste publique tous les jours. </w:t>
      </w:r>
      <w:r>
        <w:rPr>
          <w:rFonts w:ascii="Calibri" w:cs="Calibri" w:eastAsia="Calibri" w:hAnsi="Calibri"/>
          <w:color w:val="1C1F26"/>
          <w:sz w:val="21"/>
          <w:szCs w:val="21"/>
        </w:rPr>
        <w:t xml:space="preserve">Elle est mise à jour quotidiennement. Les entrées du jour donnent une date de certification exacte, donc un audit de surveillance datable. Les sorties signalent un certificat expiré ou suspendu, déclencheur encore plus chaud. Inutile ce mois-ci, précieux dans six.</w:t>
      </w:r>
    </w:p>
    <w:p>
      <w:pPr>
        <w:pStyle w:val="ListParagraph"/>
        <w:numPr>
          <w:ilvl w:val="0"/>
          <w:numId w:val="4"/>
        </w:numPr>
        <w:spacing w:after="90" w:line="276"/>
      </w:pPr>
      <w:r>
        <w:rPr>
          <w:rFonts w:ascii="Calibri" w:cs="Calibri" w:eastAsia="Calibri" w:hAnsi="Calibri"/>
          <w:b/>
          <w:bCs/>
          <w:color w:val="1C1F26"/>
          <w:sz w:val="21"/>
          <w:szCs w:val="21"/>
        </w:rPr>
        <w:t xml:space="preserve">Se rabattre sur les segments B et C pour le test. </w:t>
      </w:r>
      <w:r>
        <w:rPr>
          <w:rFonts w:ascii="Calibri" w:cs="Calibri" w:eastAsia="Calibri" w:hAnsi="Calibri"/>
          <w:color w:val="1C1F26"/>
          <w:sz w:val="21"/>
          <w:szCs w:val="21"/>
        </w:rPr>
        <w:t xml:space="preserve">Directement exploitables depuis le fichier, qui comporte le nombre de stagiaires et de formateurs. C'est ce qu'il faut faire pour ne pas retarder l'envoi.</w:t>
      </w:r>
    </w:p>
    <w:p>
      <w:pPr>
        <w:spacing w:after="160"/>
      </w:pPr>
    </w:p>
    <w:p>
      <w:pPr>
        <w:pStyle w:val="Heading2"/>
        <w:spacing w:after="100" w:before="280"/>
      </w:pPr>
      <w:r>
        <w:rPr>
          <w:rFonts w:ascii="Calibri" w:cs="Calibri" w:eastAsia="Calibri" w:hAnsi="Calibri"/>
          <w:b/>
          <w:bCs/>
          <w:color w:val="2A4B8D"/>
          <w:sz w:val="23"/>
          <w:szCs w:val="23"/>
        </w:rPr>
        <w:t xml:space="preserve">Semaine 2 — premier contact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10"/>
        <w:gridCol w:w="8050"/>
      </w:tblGrid>
      <w:tr>
        <w:trPr>
          <w:tblHeader/>
        </w:trPr>
        <w:tc>
          <w:tcPr>
            <w:tcW w:type="dxa" w:w="1310"/>
            <w:shd w:fill="E7E6E1" w:val="clear"/>
            <w:tcMar>
              <w:top w:type="dxa" w:w="90"/>
              <w:left w:type="dxa" w:w="120"/>
              <w:bottom w:type="dxa" w:w="90"/>
              <w:right w:type="dxa" w:w="120"/>
            </w:tcMar>
          </w:tcPr>
          <w:p>
            <w:r>
              <w:rPr>
                <w:rFonts w:ascii="Calibri" w:cs="Calibri" w:eastAsia="Calibri" w:hAnsi="Calibri"/>
                <w:b/>
                <w:bCs/>
                <w:color w:val="1C1F26"/>
                <w:sz w:val="19"/>
                <w:szCs w:val="19"/>
              </w:rPr>
              <w:t xml:space="preserve">Quand</w:t>
            </w:r>
          </w:p>
        </w:tc>
        <w:tc>
          <w:tcPr>
            <w:tcW w:type="dxa" w:w="8050"/>
            <w:shd w:fill="E7E6E1" w:val="clear"/>
            <w:tcMar>
              <w:top w:type="dxa" w:w="90"/>
              <w:left w:type="dxa" w:w="120"/>
              <w:bottom w:type="dxa" w:w="90"/>
              <w:right w:type="dxa" w:w="120"/>
            </w:tcMar>
          </w:tcPr>
          <w:p>
            <w:r>
              <w:rPr>
                <w:rFonts w:ascii="Calibri" w:cs="Calibri" w:eastAsia="Calibri" w:hAnsi="Calibri"/>
                <w:b/>
                <w:bCs/>
                <w:color w:val="1C1F26"/>
                <w:sz w:val="19"/>
                <w:szCs w:val="19"/>
              </w:rPr>
              <w:t xml:space="preserve">Quoi</w:t>
            </w:r>
          </w:p>
        </w:tc>
      </w:tr>
      <w:tr>
        <w:tc>
          <w:tcPr>
            <w:tcW w:type="dxa" w:w="1310"/>
            <w:tcMar>
              <w:top w:type="dxa" w:w="90"/>
              <w:left w:type="dxa" w:w="120"/>
              <w:bottom w:type="dxa" w:w="90"/>
              <w:right w:type="dxa" w:w="120"/>
            </w:tcMar>
          </w:tcPr>
          <w:p>
            <w:pPr>
              <w:spacing w:line="260"/>
            </w:pPr>
            <w:r>
              <w:rPr>
                <w:rFonts w:ascii="Calibri" w:cs="Calibri" w:eastAsia="Calibri" w:hAnsi="Calibri"/>
                <w:b/>
                <w:bCs/>
                <w:color w:val="1C1F26"/>
                <w:sz w:val="19"/>
                <w:szCs w:val="19"/>
              </w:rPr>
              <w:t xml:space="preserve">Jours 8-14</w:t>
            </w:r>
          </w:p>
        </w:tc>
        <w:tc>
          <w:tcPr>
            <w:tcW w:type="dxa" w:w="8050"/>
            <w:tcMar>
              <w:top w:type="dxa" w:w="90"/>
              <w:left w:type="dxa" w:w="120"/>
              <w:bottom w:type="dxa" w:w="90"/>
              <w:right w:type="dxa" w:w="120"/>
            </w:tcMar>
          </w:tcPr>
          <w:p>
            <w:pPr>
              <w:spacing w:line="260"/>
            </w:pPr>
            <w:r>
              <w:rPr>
                <w:rFonts w:ascii="Calibri" w:cs="Calibri" w:eastAsia="Calibri" w:hAnsi="Calibri"/>
                <w:b w:val="false"/>
                <w:bCs w:val="false"/>
                <w:color w:val="1C1F26"/>
                <w:sz w:val="19"/>
                <w:szCs w:val="19"/>
              </w:rPr>
              <w:t xml:space="preserve">500 contacts au total, 40 à 60 envois par jour sur domaine chauffé. Un taux de réponse positive réaliste en prospection entre professionnels se situe entre 1 et 4 % : sous 400 envois, le résultat n'est pas interprétable.</w:t>
            </w:r>
          </w:p>
        </w:tc>
      </w:tr>
      <w:tr>
        <w:tc>
          <w:tcPr>
            <w:tcW w:type="dxa" w:w="1310"/>
            <w:tcMar>
              <w:top w:type="dxa" w:w="90"/>
              <w:left w:type="dxa" w:w="120"/>
              <w:bottom w:type="dxa" w:w="90"/>
              <w:right w:type="dxa" w:w="120"/>
            </w:tcMar>
          </w:tcPr>
          <w:p>
            <w:pPr>
              <w:spacing w:line="260"/>
            </w:pPr>
            <w:r>
              <w:rPr>
                <w:rFonts w:ascii="Calibri" w:cs="Calibri" w:eastAsia="Calibri" w:hAnsi="Calibri"/>
                <w:b/>
                <w:bCs/>
                <w:color w:val="1C1F26"/>
                <w:sz w:val="19"/>
                <w:szCs w:val="19"/>
              </w:rPr>
              <w:t xml:space="preserve">Jour 10</w:t>
            </w:r>
          </w:p>
        </w:tc>
        <w:tc>
          <w:tcPr>
            <w:tcW w:type="dxa" w:w="8050"/>
            <w:tcMar>
              <w:top w:type="dxa" w:w="90"/>
              <w:left w:type="dxa" w:w="120"/>
              <w:bottom w:type="dxa" w:w="90"/>
              <w:right w:type="dxa" w:w="120"/>
            </w:tcMar>
          </w:tcPr>
          <w:p>
            <w:pPr>
              <w:spacing w:line="260"/>
            </w:pPr>
            <w:r>
              <w:rPr>
                <w:rFonts w:ascii="Calibri" w:cs="Calibri" w:eastAsia="Calibri" w:hAnsi="Calibri"/>
                <w:b w:val="false"/>
                <w:bCs w:val="false"/>
                <w:color w:val="1C1F26"/>
                <w:sz w:val="19"/>
                <w:szCs w:val="19"/>
              </w:rPr>
              <w:t xml:space="preserve">Publier trois gabarits gratuits contre une adresse e-mail : questionnaire à chaud, questionnaire à froid, registre des réclamations. Ils prouvent la compétence et amorcent le référencement.</w:t>
            </w:r>
          </w:p>
        </w:tc>
      </w:tr>
      <w:tr>
        <w:tc>
          <w:tcPr>
            <w:tcW w:type="dxa" w:w="1310"/>
            <w:tcMar>
              <w:top w:type="dxa" w:w="90"/>
              <w:left w:type="dxa" w:w="120"/>
              <w:bottom w:type="dxa" w:w="90"/>
              <w:right w:type="dxa" w:w="120"/>
            </w:tcMar>
          </w:tcPr>
          <w:p>
            <w:pPr>
              <w:spacing w:line="260"/>
            </w:pPr>
            <w:r>
              <w:rPr>
                <w:rFonts w:ascii="Calibri" w:cs="Calibri" w:eastAsia="Calibri" w:hAnsi="Calibri"/>
                <w:b/>
                <w:bCs/>
                <w:color w:val="1C1F26"/>
                <w:sz w:val="19"/>
                <w:szCs w:val="19"/>
              </w:rPr>
              <w:t xml:space="preserve">Jours 15-17</w:t>
            </w:r>
          </w:p>
        </w:tc>
        <w:tc>
          <w:tcPr>
            <w:tcW w:type="dxa" w:w="8050"/>
            <w:tcMar>
              <w:top w:type="dxa" w:w="90"/>
              <w:left w:type="dxa" w:w="120"/>
              <w:bottom w:type="dxa" w:w="90"/>
              <w:right w:type="dxa" w:w="120"/>
            </w:tcMar>
          </w:tcPr>
          <w:p>
            <w:pPr>
              <w:spacing w:line="260"/>
            </w:pPr>
            <w:r>
              <w:rPr>
                <w:rFonts w:ascii="Calibri" w:cs="Calibri" w:eastAsia="Calibri" w:hAnsi="Calibri"/>
                <w:b w:val="false"/>
                <w:bCs w:val="false"/>
                <w:color w:val="1C1F26"/>
                <w:sz w:val="19"/>
                <w:szCs w:val="19"/>
              </w:rPr>
              <w:t xml:space="preserve">Première relance sur les non-réponses. Séquence différente, pas une répétition.</w:t>
            </w:r>
          </w:p>
        </w:tc>
      </w:tr>
    </w:tbl>
    <w:p>
      <w:pPr>
        <w:spacing w:after="200"/>
      </w:pPr>
    </w:p>
    <w:p>
      <w:pPr>
        <w:pStyle w:val="Heading2"/>
        <w:spacing w:after="100" w:before="280"/>
      </w:pPr>
      <w:r>
        <w:rPr>
          <w:rFonts w:ascii="Calibri" w:cs="Calibri" w:eastAsia="Calibri" w:hAnsi="Calibri"/>
          <w:b/>
          <w:bCs/>
          <w:color w:val="2A4B8D"/>
          <w:sz w:val="23"/>
          <w:szCs w:val="23"/>
        </w:rPr>
        <w:t xml:space="preserve">Semaine 3 — convertir sans appeler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10"/>
        <w:gridCol w:w="8050"/>
      </w:tblGrid>
      <w:tr>
        <w:trPr>
          <w:tblHeader/>
        </w:trPr>
        <w:tc>
          <w:tcPr>
            <w:tcW w:type="dxa" w:w="1310"/>
            <w:shd w:fill="E7E6E1" w:val="clear"/>
            <w:tcMar>
              <w:top w:type="dxa" w:w="90"/>
              <w:left w:type="dxa" w:w="120"/>
              <w:bottom w:type="dxa" w:w="90"/>
              <w:right w:type="dxa" w:w="120"/>
            </w:tcMar>
          </w:tcPr>
          <w:p>
            <w:r>
              <w:rPr>
                <w:rFonts w:ascii="Calibri" w:cs="Calibri" w:eastAsia="Calibri" w:hAnsi="Calibri"/>
                <w:b/>
                <w:bCs/>
                <w:color w:val="1C1F26"/>
                <w:sz w:val="19"/>
                <w:szCs w:val="19"/>
              </w:rPr>
              <w:t xml:space="preserve">Quand</w:t>
            </w:r>
          </w:p>
        </w:tc>
        <w:tc>
          <w:tcPr>
            <w:tcW w:type="dxa" w:w="8050"/>
            <w:shd w:fill="E7E6E1" w:val="clear"/>
            <w:tcMar>
              <w:top w:type="dxa" w:w="90"/>
              <w:left w:type="dxa" w:w="120"/>
              <w:bottom w:type="dxa" w:w="90"/>
              <w:right w:type="dxa" w:w="120"/>
            </w:tcMar>
          </w:tcPr>
          <w:p>
            <w:r>
              <w:rPr>
                <w:rFonts w:ascii="Calibri" w:cs="Calibri" w:eastAsia="Calibri" w:hAnsi="Calibri"/>
                <w:b/>
                <w:bCs/>
                <w:color w:val="1C1F26"/>
                <w:sz w:val="19"/>
                <w:szCs w:val="19"/>
              </w:rPr>
              <w:t xml:space="preserve">Quoi</w:t>
            </w:r>
          </w:p>
        </w:tc>
      </w:tr>
      <w:tr>
        <w:tc>
          <w:tcPr>
            <w:tcW w:type="dxa" w:w="1310"/>
            <w:tcMar>
              <w:top w:type="dxa" w:w="90"/>
              <w:left w:type="dxa" w:w="120"/>
              <w:bottom w:type="dxa" w:w="90"/>
              <w:right w:type="dxa" w:w="120"/>
            </w:tcMar>
          </w:tcPr>
          <w:p>
            <w:pPr>
              <w:spacing w:line="260"/>
            </w:pPr>
            <w:r>
              <w:rPr>
                <w:rFonts w:ascii="Calibri" w:cs="Calibri" w:eastAsia="Calibri" w:hAnsi="Calibri"/>
                <w:b/>
                <w:bCs/>
                <w:color w:val="1C1F26"/>
                <w:sz w:val="19"/>
                <w:szCs w:val="19"/>
              </w:rPr>
              <w:t xml:space="preserve">Jours 18-22</w:t>
            </w:r>
          </w:p>
        </w:tc>
        <w:tc>
          <w:tcPr>
            <w:tcW w:type="dxa" w:w="8050"/>
            <w:tcMar>
              <w:top w:type="dxa" w:w="90"/>
              <w:left w:type="dxa" w:w="120"/>
              <w:bottom w:type="dxa" w:w="90"/>
              <w:right w:type="dxa" w:w="120"/>
            </w:tcMar>
          </w:tcPr>
          <w:p>
            <w:pPr>
              <w:spacing w:line="260"/>
            </w:pPr>
            <w:r>
              <w:rPr>
                <w:rFonts w:ascii="Calibri" w:cs="Calibri" w:eastAsia="Calibri" w:hAnsi="Calibri"/>
                <w:b w:val="false"/>
                <w:bCs w:val="false"/>
                <w:color w:val="1C1F26"/>
                <w:sz w:val="19"/>
                <w:szCs w:val="19"/>
              </w:rPr>
              <w:t xml:space="preserve">Livrer les audits de preuves gratuits. Le prospect envoie ce qu'il a, tu renvoies sous 48 heures un rapport d'écart de deux pages : ce qui manque, ce qui est daté, ce qui ne tiendrait pas en audit. C'est le substitut de l'appel de vente.</w:t>
            </w:r>
          </w:p>
        </w:tc>
      </w:tr>
      <w:tr>
        <w:tc>
          <w:tcPr>
            <w:tcW w:type="dxa" w:w="1310"/>
            <w:tcMar>
              <w:top w:type="dxa" w:w="90"/>
              <w:left w:type="dxa" w:w="120"/>
              <w:bottom w:type="dxa" w:w="90"/>
              <w:right w:type="dxa" w:w="120"/>
            </w:tcMar>
          </w:tcPr>
          <w:p>
            <w:pPr>
              <w:spacing w:line="260"/>
            </w:pPr>
            <w:r>
              <w:rPr>
                <w:rFonts w:ascii="Calibri" w:cs="Calibri" w:eastAsia="Calibri" w:hAnsi="Calibri"/>
                <w:b/>
                <w:bCs/>
                <w:color w:val="1C1F26"/>
                <w:sz w:val="19"/>
                <w:szCs w:val="19"/>
              </w:rPr>
              <w:t xml:space="preserve">Jours 23-24</w:t>
            </w:r>
          </w:p>
        </w:tc>
        <w:tc>
          <w:tcPr>
            <w:tcW w:type="dxa" w:w="8050"/>
            <w:tcMar>
              <w:top w:type="dxa" w:w="90"/>
              <w:left w:type="dxa" w:w="120"/>
              <w:bottom w:type="dxa" w:w="90"/>
              <w:right w:type="dxa" w:w="120"/>
            </w:tcMar>
          </w:tcPr>
          <w:p>
            <w:pPr>
              <w:spacing w:line="260"/>
            </w:pPr>
            <w:r>
              <w:rPr>
                <w:rFonts w:ascii="Calibri" w:cs="Calibri" w:eastAsia="Calibri" w:hAnsi="Calibri"/>
                <w:b w:val="false"/>
                <w:bCs w:val="false"/>
                <w:color w:val="1C1F26"/>
                <w:sz w:val="19"/>
                <w:szCs w:val="19"/>
              </w:rPr>
              <w:t xml:space="preserve">Proposer trois pilotes payants à 49 € par mois, tarif conservé à vie, sans frais d'entrée, en échange d'un témoignage écrit utilisable publiquement. Ces trois places servent à acheter de la preuve sociale, pas du revenu.</w:t>
            </w:r>
          </w:p>
        </w:tc>
      </w:tr>
    </w:tbl>
    <w:p>
      <w:pPr>
        <w:spacing w:after="200"/>
      </w:pPr>
    </w:p>
    <w:p>
      <w:pPr>
        <w:pStyle w:val="Heading2"/>
        <w:spacing w:after="100" w:before="280"/>
      </w:pPr>
      <w:r>
        <w:rPr>
          <w:rFonts w:ascii="Calibri" w:cs="Calibri" w:eastAsia="Calibri" w:hAnsi="Calibri"/>
          <w:b/>
          <w:bCs/>
          <w:color w:val="2A4B8D"/>
          <w:sz w:val="23"/>
          <w:szCs w:val="23"/>
        </w:rPr>
        <w:t xml:space="preserve">Semaine 4 — livrer à la main et chronométrer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10"/>
        <w:gridCol w:w="8050"/>
      </w:tblGrid>
      <w:tr>
        <w:trPr>
          <w:tblHeader/>
        </w:trPr>
        <w:tc>
          <w:tcPr>
            <w:tcW w:type="dxa" w:w="1310"/>
            <w:shd w:fill="E7E6E1" w:val="clear"/>
            <w:tcMar>
              <w:top w:type="dxa" w:w="90"/>
              <w:left w:type="dxa" w:w="120"/>
              <w:bottom w:type="dxa" w:w="90"/>
              <w:right w:type="dxa" w:w="120"/>
            </w:tcMar>
          </w:tcPr>
          <w:p>
            <w:r>
              <w:rPr>
                <w:rFonts w:ascii="Calibri" w:cs="Calibri" w:eastAsia="Calibri" w:hAnsi="Calibri"/>
                <w:b/>
                <w:bCs/>
                <w:color w:val="1C1F26"/>
                <w:sz w:val="19"/>
                <w:szCs w:val="19"/>
              </w:rPr>
              <w:t xml:space="preserve">Quand</w:t>
            </w:r>
          </w:p>
        </w:tc>
        <w:tc>
          <w:tcPr>
            <w:tcW w:type="dxa" w:w="8050"/>
            <w:shd w:fill="E7E6E1" w:val="clear"/>
            <w:tcMar>
              <w:top w:type="dxa" w:w="90"/>
              <w:left w:type="dxa" w:w="120"/>
              <w:bottom w:type="dxa" w:w="90"/>
              <w:right w:type="dxa" w:w="120"/>
            </w:tcMar>
          </w:tcPr>
          <w:p>
            <w:r>
              <w:rPr>
                <w:rFonts w:ascii="Calibri" w:cs="Calibri" w:eastAsia="Calibri" w:hAnsi="Calibri"/>
                <w:b/>
                <w:bCs/>
                <w:color w:val="1C1F26"/>
                <w:sz w:val="19"/>
                <w:szCs w:val="19"/>
              </w:rPr>
              <w:t xml:space="preserve">Quoi</w:t>
            </w:r>
          </w:p>
        </w:tc>
      </w:tr>
      <w:tr>
        <w:tc>
          <w:tcPr>
            <w:tcW w:type="dxa" w:w="1310"/>
            <w:tcMar>
              <w:top w:type="dxa" w:w="90"/>
              <w:left w:type="dxa" w:w="120"/>
              <w:bottom w:type="dxa" w:w="90"/>
              <w:right w:type="dxa" w:w="120"/>
            </w:tcMar>
          </w:tcPr>
          <w:p>
            <w:pPr>
              <w:spacing w:line="260"/>
            </w:pPr>
            <w:r>
              <w:rPr>
                <w:rFonts w:ascii="Calibri" w:cs="Calibri" w:eastAsia="Calibri" w:hAnsi="Calibri"/>
                <w:b/>
                <w:bCs/>
                <w:color w:val="1C1F26"/>
                <w:sz w:val="19"/>
                <w:szCs w:val="19"/>
              </w:rPr>
              <w:t xml:space="preserve">Jours 25-28</w:t>
            </w:r>
          </w:p>
        </w:tc>
        <w:tc>
          <w:tcPr>
            <w:tcW w:type="dxa" w:w="8050"/>
            <w:tcMar>
              <w:top w:type="dxa" w:w="90"/>
              <w:left w:type="dxa" w:w="120"/>
              <w:bottom w:type="dxa" w:w="90"/>
              <w:right w:type="dxa" w:w="120"/>
            </w:tcMar>
          </w:tcPr>
          <w:p>
            <w:pPr>
              <w:spacing w:line="260"/>
            </w:pPr>
            <w:r>
              <w:rPr>
                <w:rFonts w:ascii="Calibri" w:cs="Calibri" w:eastAsia="Calibri" w:hAnsi="Calibri"/>
                <w:b w:val="false"/>
                <w:bCs w:val="false"/>
                <w:color w:val="1C1F26"/>
                <w:sz w:val="19"/>
                <w:szCs w:val="19"/>
              </w:rPr>
              <w:t xml:space="preserve">Exécuter le premier cycle mensuel manuellement pour chaque pilote, en dehors du questionnaire à froid qui ne partira qu'à J+60. Chronométrer chaque tâche à la minute, séparément. Ce relevé, et lui seul, dicte ce qui sera automatisé ensuite.</w:t>
            </w:r>
          </w:p>
        </w:tc>
      </w:tr>
      <w:tr>
        <w:tc>
          <w:tcPr>
            <w:tcW w:type="dxa" w:w="1310"/>
            <w:tcMar>
              <w:top w:type="dxa" w:w="90"/>
              <w:left w:type="dxa" w:w="120"/>
              <w:bottom w:type="dxa" w:w="90"/>
              <w:right w:type="dxa" w:w="120"/>
            </w:tcMar>
          </w:tcPr>
          <w:p>
            <w:pPr>
              <w:spacing w:line="260"/>
            </w:pPr>
            <w:r>
              <w:rPr>
                <w:rFonts w:ascii="Calibri" w:cs="Calibri" w:eastAsia="Calibri" w:hAnsi="Calibri"/>
                <w:b/>
                <w:bCs/>
                <w:color w:val="1C1F26"/>
                <w:sz w:val="19"/>
                <w:szCs w:val="19"/>
              </w:rPr>
              <w:t xml:space="preserve">Jours 29-30</w:t>
            </w:r>
          </w:p>
        </w:tc>
        <w:tc>
          <w:tcPr>
            <w:tcW w:type="dxa" w:w="8050"/>
            <w:tcMar>
              <w:top w:type="dxa" w:w="90"/>
              <w:left w:type="dxa" w:w="120"/>
              <w:bottom w:type="dxa" w:w="90"/>
              <w:right w:type="dxa" w:w="120"/>
            </w:tcMar>
          </w:tcPr>
          <w:p>
            <w:pPr>
              <w:spacing w:line="260"/>
            </w:pPr>
            <w:r>
              <w:rPr>
                <w:rFonts w:ascii="Calibri" w:cs="Calibri" w:eastAsia="Calibri" w:hAnsi="Calibri"/>
                <w:b w:val="false"/>
                <w:bCs w:val="false"/>
                <w:color w:val="1C1F26"/>
                <w:sz w:val="19"/>
                <w:szCs w:val="19"/>
              </w:rPr>
              <w:t xml:space="preserve">Consolider : taux de réponse par segment, répartition du temps par tâche, objections reçues mot pour mot.</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3352B" w:sz="6"/>
              <w:left w:val="single" w:color="A3352B" w:sz="18"/>
              <w:bottom w:val="single" w:color="A3352B" w:sz="6"/>
              <w:right w:val="single" w:color="A3352B" w:sz="6"/>
            </w:tcBorders>
            <w:shd w:fill="F6EAE7" w:val="clear"/>
            <w:tcMar>
              <w:top w:type="dxa" w:w="160"/>
              <w:left w:type="dxa" w:w="200"/>
              <w:bottom w:type="dxa" w:w="160"/>
              <w:right w:type="dxa" w:w="200"/>
            </w:tcMar>
          </w:tcPr>
          <w:p>
            <w:pPr>
              <w:spacing w:after="60"/>
            </w:pPr>
            <w:r>
              <w:rPr>
                <w:rFonts w:ascii="Calibri" w:cs="Calibri" w:eastAsia="Calibri" w:hAnsi="Calibri"/>
                <w:b/>
                <w:bCs/>
                <w:color w:val="A3352B"/>
                <w:sz w:val="21"/>
                <w:szCs w:val="21"/>
              </w:rPr>
              <w:t xml:space="preserve">Décision au jour 30</w:t>
            </w:r>
          </w:p>
          <w:p>
            <w:pPr>
              <w:spacing w:after="60" w:line="276"/>
            </w:pPr>
            <w:r>
              <w:rPr>
                <w:rFonts w:ascii="Calibri" w:cs="Calibri" w:eastAsia="Calibri" w:hAnsi="Calibri"/>
                <w:color w:val="1C1F26"/>
                <w:sz w:val="20"/>
                <w:szCs w:val="20"/>
              </w:rPr>
              <w:t xml:space="preserve">Continuer si les trois conditions sont réunies : au moins 8 réponses positives sur 500 envois, au moins 3 audits gratuits livrés, au moins 1 client payant.</w:t>
            </w:r>
          </w:p>
          <w:p>
            <w:pPr>
              <w:spacing w:after="60" w:line="276"/>
            </w:pPr>
            <w:r>
              <w:rPr>
                <w:rFonts w:ascii="Calibri" w:cs="Calibri" w:eastAsia="Calibri" w:hAnsi="Calibri"/>
                <w:color w:val="1C1F26"/>
                <w:sz w:val="20"/>
                <w:szCs w:val="20"/>
              </w:rPr>
              <w:t xml:space="preserve">Sinon, changer de segment une fois et refaire trente jours.</w:t>
            </w:r>
          </w:p>
          <w:p>
            <w:pPr>
              <w:spacing w:after="60" w:line="276"/>
            </w:pPr>
            <w:r>
              <w:rPr>
                <w:rFonts w:ascii="Calibri" w:cs="Calibri" w:eastAsia="Calibri" w:hAnsi="Calibri"/>
                <w:color w:val="1C1F26"/>
                <w:sz w:val="20"/>
                <w:szCs w:val="20"/>
              </w:rPr>
              <w:t xml:space="preserve">Si le second essai échoue, basculer sur la piste rejets NOÉMIE ambulanciers sans y revenir. Le fichier des organismes, le déclencheur par date et la mécanique de prospection écrite se réutilisent tels quels.</w:t>
            </w:r>
          </w:p>
        </w:tc>
      </w:tr>
    </w:tbl>
    <w:p>
      <w:pPr>
        <w:spacing w:after="200"/>
      </w:pPr>
    </w:p>
    <w:p>
      <w:pPr>
        <w:pStyle w:val="Heading2"/>
        <w:spacing w:after="100" w:before="280"/>
      </w:pPr>
      <w:r>
        <w:rPr>
          <w:rFonts w:ascii="Calibri" w:cs="Calibri" w:eastAsia="Calibri" w:hAnsi="Calibri"/>
          <w:b/>
          <w:bCs/>
          <w:color w:val="2A4B8D"/>
          <w:sz w:val="23"/>
          <w:szCs w:val="23"/>
        </w:rPr>
        <w:t xml:space="preserve">Si les frais d'entrée bloquent</w:t>
      </w:r>
    </w:p>
    <w:p>
      <w:pPr>
        <w:spacing w:after="160" w:before="0" w:line="276"/>
      </w:pPr>
      <w:r>
        <w:rPr>
          <w:rFonts w:ascii="Calibri" w:cs="Calibri" w:eastAsia="Calibri" w:hAnsi="Calibri"/>
          <w:color w:val="1C1F26"/>
          <w:sz w:val="21"/>
          <w:szCs w:val="21"/>
        </w:rPr>
        <w:t xml:space="preserve">Faire signer 390 € par écrit à un formateur indépendant qui ne t'a jamais entendu est le point de friction le plus probable. Trois sorties qui respectent la règle du zéro appel, dans l'ordre où les essayer : une vidéo asynchrone de sept minutes commentant son propre audit de preuves ; le fractionnement en trois mensualités ; la suppression pure et simple des frais d'entrée sur les vingt premiers clients, réintroduits une fois les témoignages en main.</w:t>
      </w:r>
    </w:p>
    <w:p>
      <w:pPr>
        <w:pStyle w:val="Heading1"/>
        <w:pBdr>
          <w:bottom w:val="single" w:color="1C1F26" w:sz="12" w:space="6"/>
        </w:pBdr>
        <w:spacing w:after="160" w:before="400"/>
      </w:pPr>
      <w:r>
        <w:rPr>
          <w:rFonts w:ascii="Calibri" w:cs="Calibri" w:eastAsia="Calibri" w:hAnsi="Calibri"/>
          <w:b/>
          <w:bCs/>
          <w:color w:val="1C1F26"/>
          <w:sz w:val="28"/>
          <w:szCs w:val="28"/>
        </w:rPr>
        <w:t xml:space="preserve">4. Ce que ça coûte</w:t>
      </w:r>
    </w:p>
    <w:p>
      <w:pPr>
        <w:spacing w:after="160" w:before="0" w:line="276"/>
      </w:pPr>
      <w:r>
        <w:rPr>
          <w:rFonts w:ascii="Calibri" w:cs="Calibri" w:eastAsia="Calibri" w:hAnsi="Calibri"/>
          <w:color w:val="5C6270"/>
          <w:sz w:val="21"/>
          <w:szCs w:val="21"/>
        </w:rPr>
        <w:t xml:space="preserve">Le seul argent réellement à risque est celui des trente premiers jours. Tout le reste n'arrive qu'après les premiers encaissements.</w:t>
      </w:r>
    </w:p>
    <w:p>
      <w:pPr>
        <w:pStyle w:val="Heading2"/>
        <w:spacing w:after="100" w:before="280"/>
      </w:pPr>
      <w:r>
        <w:rPr>
          <w:rFonts w:ascii="Calibri" w:cs="Calibri" w:eastAsia="Calibri" w:hAnsi="Calibri"/>
          <w:b/>
          <w:bCs/>
          <w:color w:val="2A4B8D"/>
          <w:sz w:val="23"/>
          <w:szCs w:val="23"/>
        </w:rPr>
        <w:t xml:space="preserve">Trésorerie des trois premiers mois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83"/>
        <w:gridCol w:w="2059"/>
        <w:gridCol w:w="2059"/>
        <w:gridCol w:w="2059"/>
      </w:tblGrid>
      <w:tr>
        <w:trPr>
          <w:tblHeader/>
        </w:trPr>
        <w:tc>
          <w:tcPr>
            <w:tcW w:type="dxa" w:w="3183"/>
            <w:shd w:fill="E7E6E1" w:val="clear"/>
            <w:tcMar>
              <w:top w:type="dxa" w:w="90"/>
              <w:left w:type="dxa" w:w="120"/>
              <w:bottom w:type="dxa" w:w="90"/>
              <w:right w:type="dxa" w:w="120"/>
            </w:tcMar>
          </w:tcPr>
          <w:p>
            <w:r>
              <w:rPr>
                <w:rFonts w:ascii="Calibri" w:cs="Calibri" w:eastAsia="Calibri" w:hAnsi="Calibri"/>
                <w:b/>
                <w:bCs/>
                <w:color w:val="1C1F26"/>
                <w:sz w:val="19"/>
                <w:szCs w:val="19"/>
              </w:rPr>
              <w:t xml:space="preserve">Mois</w:t>
            </w:r>
          </w:p>
        </w:tc>
        <w:tc>
          <w:tcPr>
            <w:tcW w:type="dxa" w:w="2059"/>
            <w:shd w:fill="E7E6E1" w:val="clear"/>
            <w:tcMar>
              <w:top w:type="dxa" w:w="90"/>
              <w:left w:type="dxa" w:w="120"/>
              <w:bottom w:type="dxa" w:w="90"/>
              <w:right w:type="dxa" w:w="120"/>
            </w:tcMar>
          </w:tcPr>
          <w:p>
            <w:r>
              <w:rPr>
                <w:rFonts w:ascii="Calibri" w:cs="Calibri" w:eastAsia="Calibri" w:hAnsi="Calibri"/>
                <w:b/>
                <w:bCs/>
                <w:color w:val="1C1F26"/>
                <w:sz w:val="19"/>
                <w:szCs w:val="19"/>
              </w:rPr>
              <w:t xml:space="preserve">Sorties</w:t>
            </w:r>
          </w:p>
        </w:tc>
        <w:tc>
          <w:tcPr>
            <w:tcW w:type="dxa" w:w="2059"/>
            <w:shd w:fill="E7E6E1" w:val="clear"/>
            <w:tcMar>
              <w:top w:type="dxa" w:w="90"/>
              <w:left w:type="dxa" w:w="120"/>
              <w:bottom w:type="dxa" w:w="90"/>
              <w:right w:type="dxa" w:w="120"/>
            </w:tcMar>
          </w:tcPr>
          <w:p>
            <w:r>
              <w:rPr>
                <w:rFonts w:ascii="Calibri" w:cs="Calibri" w:eastAsia="Calibri" w:hAnsi="Calibri"/>
                <w:b/>
                <w:bCs/>
                <w:color w:val="1C1F26"/>
                <w:sz w:val="19"/>
                <w:szCs w:val="19"/>
              </w:rPr>
              <w:t xml:space="preserve">Entrées</w:t>
            </w:r>
          </w:p>
        </w:tc>
        <w:tc>
          <w:tcPr>
            <w:tcW w:type="dxa" w:w="2059"/>
            <w:shd w:fill="E7E6E1" w:val="clear"/>
            <w:tcMar>
              <w:top w:type="dxa" w:w="90"/>
              <w:left w:type="dxa" w:w="120"/>
              <w:bottom w:type="dxa" w:w="90"/>
              <w:right w:type="dxa" w:w="120"/>
            </w:tcMar>
          </w:tcPr>
          <w:p>
            <w:r>
              <w:rPr>
                <w:rFonts w:ascii="Calibri" w:cs="Calibri" w:eastAsia="Calibri" w:hAnsi="Calibri"/>
                <w:b/>
                <w:bCs/>
                <w:color w:val="1C1F26"/>
                <w:sz w:val="19"/>
                <w:szCs w:val="19"/>
              </w:rPr>
              <w:t xml:space="preserve">Solde</w:t>
            </w:r>
          </w:p>
        </w:tc>
      </w:tr>
      <w:tr>
        <w:tc>
          <w:tcPr>
            <w:tcW w:type="dxa" w:w="3183"/>
            <w:tcMar>
              <w:top w:type="dxa" w:w="90"/>
              <w:left w:type="dxa" w:w="120"/>
              <w:bottom w:type="dxa" w:w="90"/>
              <w:right w:type="dxa" w:w="120"/>
            </w:tcMar>
          </w:tcPr>
          <w:p>
            <w:pPr>
              <w:spacing w:line="260"/>
            </w:pPr>
            <w:r>
              <w:rPr>
                <w:rFonts w:ascii="Calibri" w:cs="Calibri" w:eastAsia="Calibri" w:hAnsi="Calibri"/>
                <w:b/>
                <w:bCs/>
                <w:color w:val="1C1F26"/>
                <w:sz w:val="19"/>
                <w:szCs w:val="19"/>
              </w:rPr>
              <w:t xml:space="preserve">Mois 1 — test</w:t>
            </w:r>
          </w:p>
        </w:tc>
        <w:tc>
          <w:tcPr>
            <w:tcW w:type="dxa" w:w="2059"/>
            <w:tcMar>
              <w:top w:type="dxa" w:w="90"/>
              <w:left w:type="dxa" w:w="120"/>
              <w:bottom w:type="dxa" w:w="90"/>
              <w:right w:type="dxa" w:w="120"/>
            </w:tcMar>
          </w:tcPr>
          <w:p>
            <w:pPr>
              <w:spacing w:line="260"/>
            </w:pPr>
            <w:r>
              <w:rPr>
                <w:rFonts w:ascii="Calibri" w:cs="Calibri" w:eastAsia="Calibri" w:hAnsi="Calibri"/>
                <w:b w:val="false"/>
                <w:bCs w:val="false"/>
                <w:color w:val="1C1F26"/>
                <w:sz w:val="19"/>
                <w:szCs w:val="19"/>
              </w:rPr>
              <w:t xml:space="preserve">45 €</w:t>
            </w:r>
          </w:p>
        </w:tc>
        <w:tc>
          <w:tcPr>
            <w:tcW w:type="dxa" w:w="2059"/>
            <w:tcMar>
              <w:top w:type="dxa" w:w="90"/>
              <w:left w:type="dxa" w:w="120"/>
              <w:bottom w:type="dxa" w:w="90"/>
              <w:right w:type="dxa" w:w="120"/>
            </w:tcMar>
          </w:tcPr>
          <w:p>
            <w:pPr>
              <w:spacing w:line="260"/>
            </w:pPr>
            <w:r>
              <w:rPr>
                <w:rFonts w:ascii="Calibri" w:cs="Calibri" w:eastAsia="Calibri" w:hAnsi="Calibri"/>
                <w:b w:val="false"/>
                <w:bCs w:val="false"/>
                <w:color w:val="1C1F26"/>
                <w:sz w:val="19"/>
                <w:szCs w:val="19"/>
              </w:rPr>
              <w:t xml:space="preserve">0 €</w:t>
            </w:r>
          </w:p>
        </w:tc>
        <w:tc>
          <w:tcPr>
            <w:tcW w:type="dxa" w:w="2059"/>
            <w:tcMar>
              <w:top w:type="dxa" w:w="90"/>
              <w:left w:type="dxa" w:w="120"/>
              <w:bottom w:type="dxa" w:w="90"/>
              <w:right w:type="dxa" w:w="120"/>
            </w:tcMar>
          </w:tcPr>
          <w:p>
            <w:pPr>
              <w:spacing w:line="260"/>
            </w:pPr>
            <w:r>
              <w:rPr>
                <w:rFonts w:ascii="Calibri" w:cs="Calibri" w:eastAsia="Calibri" w:hAnsi="Calibri"/>
                <w:b w:val="false"/>
                <w:bCs w:val="false"/>
                <w:color w:val="1C1F26"/>
                <w:sz w:val="19"/>
                <w:szCs w:val="19"/>
              </w:rPr>
              <w:t xml:space="preserve">− 45 €</w:t>
            </w:r>
          </w:p>
        </w:tc>
      </w:tr>
      <w:tr>
        <w:tc>
          <w:tcPr>
            <w:tcW w:type="dxa" w:w="3183"/>
            <w:tcMar>
              <w:top w:type="dxa" w:w="90"/>
              <w:left w:type="dxa" w:w="120"/>
              <w:bottom w:type="dxa" w:w="90"/>
              <w:right w:type="dxa" w:w="120"/>
            </w:tcMar>
          </w:tcPr>
          <w:p>
            <w:pPr>
              <w:spacing w:line="260"/>
            </w:pPr>
            <w:r>
              <w:rPr>
                <w:rFonts w:ascii="Calibri" w:cs="Calibri" w:eastAsia="Calibri" w:hAnsi="Calibri"/>
                <w:b/>
                <w:bCs/>
                <w:color w:val="1C1F26"/>
                <w:sz w:val="19"/>
                <w:szCs w:val="19"/>
              </w:rPr>
              <w:t xml:space="preserve">Mois 2 — prospection</w:t>
            </w:r>
          </w:p>
        </w:tc>
        <w:tc>
          <w:tcPr>
            <w:tcW w:type="dxa" w:w="2059"/>
            <w:tcMar>
              <w:top w:type="dxa" w:w="90"/>
              <w:left w:type="dxa" w:w="120"/>
              <w:bottom w:type="dxa" w:w="90"/>
              <w:right w:type="dxa" w:w="120"/>
            </w:tcMar>
          </w:tcPr>
          <w:p>
            <w:pPr>
              <w:spacing w:line="260"/>
            </w:pPr>
            <w:r>
              <w:rPr>
                <w:rFonts w:ascii="Calibri" w:cs="Calibri" w:eastAsia="Calibri" w:hAnsi="Calibri"/>
                <w:b w:val="false"/>
                <w:bCs w:val="false"/>
                <w:color w:val="1C1F26"/>
                <w:sz w:val="19"/>
                <w:szCs w:val="19"/>
              </w:rPr>
              <w:t xml:space="preserve">100 €</w:t>
            </w:r>
          </w:p>
        </w:tc>
        <w:tc>
          <w:tcPr>
            <w:tcW w:type="dxa" w:w="2059"/>
            <w:tcMar>
              <w:top w:type="dxa" w:w="90"/>
              <w:left w:type="dxa" w:w="120"/>
              <w:bottom w:type="dxa" w:w="90"/>
              <w:right w:type="dxa" w:w="120"/>
            </w:tcMar>
          </w:tcPr>
          <w:p>
            <w:pPr>
              <w:spacing w:line="260"/>
            </w:pPr>
            <w:r>
              <w:rPr>
                <w:rFonts w:ascii="Calibri" w:cs="Calibri" w:eastAsia="Calibri" w:hAnsi="Calibri"/>
                <w:b w:val="false"/>
                <w:bCs w:val="false"/>
                <w:color w:val="1C1F26"/>
                <w:sz w:val="19"/>
                <w:szCs w:val="19"/>
              </w:rPr>
              <w:t xml:space="preserve">0 à 150 €</w:t>
            </w:r>
          </w:p>
        </w:tc>
        <w:tc>
          <w:tcPr>
            <w:tcW w:type="dxa" w:w="2059"/>
            <w:tcMar>
              <w:top w:type="dxa" w:w="90"/>
              <w:left w:type="dxa" w:w="120"/>
              <w:bottom w:type="dxa" w:w="90"/>
              <w:right w:type="dxa" w:w="120"/>
            </w:tcMar>
          </w:tcPr>
          <w:p>
            <w:pPr>
              <w:spacing w:line="260"/>
            </w:pPr>
            <w:r>
              <w:rPr>
                <w:rFonts w:ascii="Calibri" w:cs="Calibri" w:eastAsia="Calibri" w:hAnsi="Calibri"/>
                <w:b w:val="false"/>
                <w:bCs w:val="false"/>
                <w:color w:val="1C1F26"/>
                <w:sz w:val="19"/>
                <w:szCs w:val="19"/>
              </w:rPr>
              <w:t xml:space="preserve">− 100 à + 50 €</w:t>
            </w:r>
          </w:p>
        </w:tc>
      </w:tr>
      <w:tr>
        <w:tc>
          <w:tcPr>
            <w:tcW w:type="dxa" w:w="3183"/>
            <w:tcMar>
              <w:top w:type="dxa" w:w="90"/>
              <w:left w:type="dxa" w:w="120"/>
              <w:bottom w:type="dxa" w:w="90"/>
              <w:right w:type="dxa" w:w="120"/>
            </w:tcMar>
          </w:tcPr>
          <w:p>
            <w:pPr>
              <w:spacing w:line="260"/>
            </w:pPr>
            <w:r>
              <w:rPr>
                <w:rFonts w:ascii="Calibri" w:cs="Calibri" w:eastAsia="Calibri" w:hAnsi="Calibri"/>
                <w:b/>
                <w:bCs/>
                <w:color w:val="1C1F26"/>
                <w:sz w:val="19"/>
                <w:szCs w:val="19"/>
              </w:rPr>
              <w:t xml:space="preserve">Mois 3 — premiers clients</w:t>
            </w:r>
          </w:p>
        </w:tc>
        <w:tc>
          <w:tcPr>
            <w:tcW w:type="dxa" w:w="2059"/>
            <w:tcMar>
              <w:top w:type="dxa" w:w="90"/>
              <w:left w:type="dxa" w:w="120"/>
              <w:bottom w:type="dxa" w:w="90"/>
              <w:right w:type="dxa" w:w="120"/>
            </w:tcMar>
          </w:tcPr>
          <w:p>
            <w:pPr>
              <w:spacing w:line="260"/>
            </w:pPr>
            <w:r>
              <w:rPr>
                <w:rFonts w:ascii="Calibri" w:cs="Calibri" w:eastAsia="Calibri" w:hAnsi="Calibri"/>
                <w:b w:val="false"/>
                <w:bCs w:val="false"/>
                <w:color w:val="1C1F26"/>
                <w:sz w:val="19"/>
                <w:szCs w:val="19"/>
              </w:rPr>
              <w:t xml:space="preserve">180 €</w:t>
            </w:r>
          </w:p>
        </w:tc>
        <w:tc>
          <w:tcPr>
            <w:tcW w:type="dxa" w:w="2059"/>
            <w:tcMar>
              <w:top w:type="dxa" w:w="90"/>
              <w:left w:type="dxa" w:w="120"/>
              <w:bottom w:type="dxa" w:w="90"/>
              <w:right w:type="dxa" w:w="120"/>
            </w:tcMar>
          </w:tcPr>
          <w:p>
            <w:pPr>
              <w:spacing w:line="260"/>
            </w:pPr>
            <w:r>
              <w:rPr>
                <w:rFonts w:ascii="Calibri" w:cs="Calibri" w:eastAsia="Calibri" w:hAnsi="Calibri"/>
                <w:b w:val="false"/>
                <w:bCs w:val="false"/>
                <w:color w:val="1C1F26"/>
                <w:sz w:val="19"/>
                <w:szCs w:val="19"/>
              </w:rPr>
              <w:t xml:space="preserve">150 à 300 €</w:t>
            </w:r>
          </w:p>
        </w:tc>
        <w:tc>
          <w:tcPr>
            <w:tcW w:type="dxa" w:w="2059"/>
            <w:tcMar>
              <w:top w:type="dxa" w:w="90"/>
              <w:left w:type="dxa" w:w="120"/>
              <w:bottom w:type="dxa" w:w="90"/>
              <w:right w:type="dxa" w:w="120"/>
            </w:tcMar>
          </w:tcPr>
          <w:p>
            <w:pPr>
              <w:spacing w:line="260"/>
            </w:pPr>
            <w:r>
              <w:rPr>
                <w:rFonts w:ascii="Calibri" w:cs="Calibri" w:eastAsia="Calibri" w:hAnsi="Calibri"/>
                <w:b w:val="false"/>
                <w:bCs w:val="false"/>
                <w:color w:val="1C1F26"/>
                <w:sz w:val="19"/>
                <w:szCs w:val="19"/>
              </w:rPr>
              <w:t xml:space="preserve">− 30 à + 120 €</w:t>
            </w:r>
          </w:p>
        </w:tc>
      </w:tr>
      <w:tr>
        <w:tc>
          <w:tcPr>
            <w:tcW w:type="dxa" w:w="3183"/>
            <w:tcMar>
              <w:top w:type="dxa" w:w="90"/>
              <w:left w:type="dxa" w:w="120"/>
              <w:bottom w:type="dxa" w:w="90"/>
              <w:right w:type="dxa" w:w="120"/>
            </w:tcMar>
          </w:tcPr>
          <w:p>
            <w:pPr>
              <w:spacing w:line="260"/>
            </w:pPr>
            <w:r>
              <w:rPr>
                <w:rFonts w:ascii="Calibri" w:cs="Calibri" w:eastAsia="Calibri" w:hAnsi="Calibri"/>
                <w:b/>
                <w:bCs/>
                <w:color w:val="1C1F26"/>
                <w:sz w:val="19"/>
                <w:szCs w:val="19"/>
              </w:rPr>
              <w:t xml:space="preserve">Cumul</w:t>
            </w:r>
          </w:p>
        </w:tc>
        <w:tc>
          <w:tcPr>
            <w:tcW w:type="dxa" w:w="2059"/>
            <w:tcMar>
              <w:top w:type="dxa" w:w="90"/>
              <w:left w:type="dxa" w:w="120"/>
              <w:bottom w:type="dxa" w:w="90"/>
              <w:right w:type="dxa" w:w="120"/>
            </w:tcMar>
          </w:tcPr>
          <w:p>
            <w:pPr>
              <w:spacing w:line="260"/>
            </w:pPr>
            <w:r>
              <w:rPr>
                <w:rFonts w:ascii="Calibri" w:cs="Calibri" w:eastAsia="Calibri" w:hAnsi="Calibri"/>
                <w:b w:val="false"/>
                <w:bCs w:val="false"/>
                <w:color w:val="1C1F26"/>
                <w:sz w:val="19"/>
                <w:szCs w:val="19"/>
              </w:rPr>
              <w:t xml:space="preserve">325 €</w:t>
            </w:r>
          </w:p>
        </w:tc>
        <w:tc>
          <w:tcPr>
            <w:tcW w:type="dxa" w:w="2059"/>
            <w:tcMar>
              <w:top w:type="dxa" w:w="90"/>
              <w:left w:type="dxa" w:w="120"/>
              <w:bottom w:type="dxa" w:w="90"/>
              <w:right w:type="dxa" w:w="120"/>
            </w:tcMar>
          </w:tcPr>
          <w:p>
            <w:pPr>
              <w:spacing w:line="260"/>
            </w:pPr>
            <w:r>
              <w:rPr>
                <w:rFonts w:ascii="Calibri" w:cs="Calibri" w:eastAsia="Calibri" w:hAnsi="Calibri"/>
                <w:b w:val="false"/>
                <w:bCs w:val="false"/>
                <w:color w:val="1C1F26"/>
                <w:sz w:val="19"/>
                <w:szCs w:val="19"/>
              </w:rPr>
              <w:t xml:space="preserve">150 à 450 €</w:t>
            </w:r>
          </w:p>
        </w:tc>
        <w:tc>
          <w:tcPr>
            <w:tcW w:type="dxa" w:w="2059"/>
            <w:tcMar>
              <w:top w:type="dxa" w:w="90"/>
              <w:left w:type="dxa" w:w="120"/>
              <w:bottom w:type="dxa" w:w="90"/>
              <w:right w:type="dxa" w:w="120"/>
            </w:tcMar>
          </w:tcPr>
          <w:p>
            <w:pPr>
              <w:spacing w:line="260"/>
            </w:pPr>
            <w:r>
              <w:rPr>
                <w:rFonts w:ascii="Calibri" w:cs="Calibri" w:eastAsia="Calibri" w:hAnsi="Calibri"/>
                <w:b w:val="false"/>
                <w:bCs w:val="false"/>
                <w:color w:val="1C1F26"/>
                <w:sz w:val="19"/>
                <w:szCs w:val="19"/>
              </w:rPr>
              <w:t xml:space="preserve">− 175 € à l'équilibre</w:t>
            </w:r>
          </w:p>
        </w:tc>
      </w:tr>
    </w:tbl>
    <w:p>
      <w:pPr>
        <w:spacing w:after="200"/>
      </w:pPr>
    </w:p>
    <w:p>
      <w:pPr>
        <w:spacing w:after="200" w:before="0" w:line="276"/>
      </w:pPr>
      <w:r>
        <w:rPr>
          <w:rFonts w:ascii="Calibri" w:cs="Calibri" w:eastAsia="Calibri" w:hAnsi="Calibri"/>
          <w:color w:val="1C1F26"/>
          <w:sz w:val="21"/>
          <w:szCs w:val="21"/>
        </w:rPr>
        <w:t xml:space="preserve">Mois 1 : un domaine à 12 € pour l'année, une boîte mail professionnelle à 7 €, les modèles IA à 25 €. Mois 2 : on ajoute l'outil d'envoi en masse. Mois 3 : on ajoute la base de données, les formulaires et le moteur d'automatisation, uniquement parce qu'il y a des clients à servir.</w:t>
      </w:r>
    </w:p>
    <w:p>
      <w:pPr>
        <w:pStyle w:val="Heading2"/>
        <w:spacing w:after="100" w:before="280"/>
      </w:pPr>
      <w:r>
        <w:rPr>
          <w:rFonts w:ascii="Calibri" w:cs="Calibri" w:eastAsia="Calibri" w:hAnsi="Calibri"/>
          <w:b/>
          <w:bCs/>
          <w:color w:val="2A4B8D"/>
          <w:sz w:val="23"/>
          <w:szCs w:val="23"/>
        </w:rPr>
        <w:t xml:space="preserve">Sur douze mois</w:t>
      </w:r>
    </w:p>
    <w:p>
      <w:pPr>
        <w:pStyle w:val="ListParagraph"/>
        <w:numPr>
          <w:ilvl w:val="0"/>
          <w:numId w:val="3"/>
        </w:numPr>
        <w:spacing w:after="90" w:line="276"/>
      </w:pPr>
      <w:r>
        <w:rPr>
          <w:rFonts w:ascii="Calibri" w:cs="Calibri" w:eastAsia="Calibri" w:hAnsi="Calibri"/>
          <w:b/>
          <w:bCs/>
          <w:color w:val="1C1F26"/>
          <w:sz w:val="21"/>
          <w:szCs w:val="21"/>
        </w:rPr>
        <w:t xml:space="preserve">Outils, une fois la pile complète : </w:t>
      </w:r>
      <w:r>
        <w:rPr>
          <w:rFonts w:ascii="Calibri" w:cs="Calibri" w:eastAsia="Calibri" w:hAnsi="Calibri"/>
          <w:color w:val="1C1F26"/>
          <w:sz w:val="21"/>
          <w:szCs w:val="21"/>
        </w:rPr>
        <w:t xml:space="preserve">150 à 250 € par mois à partir du troisième mois, soit 1 500 à 2 500 € sur l'année.</w:t>
      </w:r>
    </w:p>
    <w:p>
      <w:pPr>
        <w:pStyle w:val="ListParagraph"/>
        <w:numPr>
          <w:ilvl w:val="0"/>
          <w:numId w:val="3"/>
        </w:numPr>
        <w:spacing w:after="90" w:line="276"/>
      </w:pPr>
      <w:r>
        <w:rPr>
          <w:rFonts w:ascii="Calibri" w:cs="Calibri" w:eastAsia="Calibri" w:hAnsi="Calibri"/>
          <w:b/>
          <w:bCs/>
          <w:color w:val="1C1F26"/>
          <w:sz w:val="21"/>
          <w:szCs w:val="21"/>
        </w:rPr>
        <w:t xml:space="preserve">Assurance responsabilité civile professionnelle : </w:t>
      </w:r>
      <w:r>
        <w:rPr>
          <w:rFonts w:ascii="Calibri" w:cs="Calibri" w:eastAsia="Calibri" w:hAnsi="Calibri"/>
          <w:color w:val="1C1F26"/>
          <w:sz w:val="21"/>
          <w:szCs w:val="21"/>
        </w:rPr>
        <w:t xml:space="preserve">150 à 350 € par an, engagée au moment de facturer le premier vrai client.</w:t>
      </w:r>
    </w:p>
    <w:p>
      <w:pPr>
        <w:pStyle w:val="ListParagraph"/>
        <w:numPr>
          <w:ilvl w:val="0"/>
          <w:numId w:val="3"/>
        </w:numPr>
        <w:spacing w:after="90" w:line="276"/>
      </w:pPr>
      <w:r>
        <w:rPr>
          <w:rFonts w:ascii="Calibri" w:cs="Calibri" w:eastAsia="Calibri" w:hAnsi="Calibri"/>
          <w:b/>
          <w:bCs/>
          <w:color w:val="1C1F26"/>
          <w:sz w:val="21"/>
          <w:szCs w:val="21"/>
        </w:rPr>
        <w:t xml:space="preserve">Documents contractuels : </w:t>
      </w:r>
      <w:r>
        <w:rPr>
          <w:rFonts w:ascii="Calibri" w:cs="Calibri" w:eastAsia="Calibri" w:hAnsi="Calibri"/>
          <w:color w:val="1C1F26"/>
          <w:sz w:val="21"/>
          <w:szCs w:val="21"/>
        </w:rPr>
        <w:t xml:space="preserve">150 à 500 € pour les conditions de vente et le contrat de sous-traitance, selon que tu pars d'un modèle sérieux ou d'un avocat.</w:t>
      </w:r>
    </w:p>
    <w:p>
      <w:pPr>
        <w:pStyle w:val="ListParagraph"/>
        <w:numPr>
          <w:ilvl w:val="0"/>
          <w:numId w:val="3"/>
        </w:numPr>
        <w:spacing w:after="90" w:line="276"/>
      </w:pPr>
      <w:r>
        <w:rPr>
          <w:rFonts w:ascii="Calibri" w:cs="Calibri" w:eastAsia="Calibri" w:hAnsi="Calibri"/>
          <w:b/>
          <w:bCs/>
          <w:color w:val="1C1F26"/>
          <w:sz w:val="21"/>
          <w:szCs w:val="21"/>
        </w:rPr>
        <w:t xml:space="preserve">Immatriculation en micro-entreprise : </w:t>
      </w:r>
      <w:r>
        <w:rPr>
          <w:rFonts w:ascii="Calibri" w:cs="Calibri" w:eastAsia="Calibri" w:hAnsi="Calibri"/>
          <w:color w:val="1C1F26"/>
          <w:sz w:val="21"/>
          <w:szCs w:val="21"/>
        </w:rPr>
        <w:t xml:space="preserve">gratuite.</w:t>
      </w:r>
    </w:p>
    <w:p>
      <w:pPr>
        <w:spacing w:after="120"/>
      </w:pPr>
    </w:p>
    <w:p>
      <w:pPr>
        <w:spacing w:after="200" w:before="0" w:line="276"/>
      </w:pPr>
      <w:r>
        <w:rPr>
          <w:rFonts w:ascii="Calibri" w:cs="Calibri" w:eastAsia="Calibri" w:hAnsi="Calibri"/>
          <w:b/>
          <w:bCs/>
          <w:color w:val="1C1F26"/>
          <w:sz w:val="21"/>
          <w:szCs w:val="21"/>
        </w:rPr>
        <w:t xml:space="preserve">Total sur douze mois : 3 000 à 4 000 €, corrigé à la hausse par rapport à la version 1, qui sous-estimait le poste outils. Environ 90 % de ce montant arrive après les premiers encaissements. Le vrai coût est ailleurs : 25 à 30 heures par semaine pendant trois mois, soit environ 350 heures.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4B8D" w:sz="6"/>
              <w:left w:val="single" w:color="2A4B8D" w:sz="18"/>
              <w:bottom w:val="single" w:color="2A4B8D" w:sz="6"/>
              <w:right w:val="single" w:color="2A4B8D" w:sz="6"/>
            </w:tcBorders>
            <w:shd w:fill="EDEFF4" w:val="clear"/>
            <w:tcMar>
              <w:top w:type="dxa" w:w="160"/>
              <w:left w:type="dxa" w:w="200"/>
              <w:bottom w:type="dxa" w:w="160"/>
              <w:right w:type="dxa" w:w="200"/>
            </w:tcMar>
          </w:tcPr>
          <w:p>
            <w:pPr>
              <w:spacing w:after="60"/>
            </w:pPr>
            <w:r>
              <w:rPr>
                <w:rFonts w:ascii="Calibri" w:cs="Calibri" w:eastAsia="Calibri" w:hAnsi="Calibri"/>
                <w:b/>
                <w:bCs/>
                <w:color w:val="2A4B8D"/>
                <w:sz w:val="21"/>
                <w:szCs w:val="21"/>
              </w:rPr>
              <w:t xml:space="preserve">Ce qui plafonne la perte</w:t>
            </w:r>
          </w:p>
          <w:p>
            <w:pPr>
              <w:spacing w:after="60" w:line="276"/>
            </w:pPr>
            <w:r>
              <w:rPr>
                <w:rFonts w:ascii="Calibri" w:cs="Calibri" w:eastAsia="Calibri" w:hAnsi="Calibri"/>
                <w:color w:val="1C1F26"/>
                <w:sz w:val="20"/>
                <w:szCs w:val="20"/>
              </w:rPr>
              <w:t xml:space="preserve">La décision du jour 30 est le mécanisme de protection. Si personne ne répond aux 500 e-mails, tu arrêtes avant d'avoir dépensé 150 €. L'assurance, les contrats et la vraie pile d'outils ne s'engagent qu'après avoir tenu un client payant. C'est la raison pour laquelle le plan interdit de construire quoi que ce soit avant la semaine 4.</w:t>
            </w:r>
          </w:p>
        </w:tc>
      </w:tr>
    </w:tbl>
    <w:p>
      <w:pPr>
        <w:spacing w:after="200"/>
      </w:pPr>
    </w:p>
    <w:p>
      <w:pPr>
        <w:pStyle w:val="Heading1"/>
        <w:pBdr>
          <w:bottom w:val="single" w:color="1C1F26" w:sz="12" w:space="6"/>
        </w:pBdr>
        <w:spacing w:after="160" w:before="400"/>
      </w:pPr>
      <w:r>
        <w:rPr>
          <w:rFonts w:ascii="Calibri" w:cs="Calibri" w:eastAsia="Calibri" w:hAnsi="Calibri"/>
          <w:b/>
          <w:bCs/>
          <w:color w:val="1C1F26"/>
          <w:sz w:val="28"/>
          <w:szCs w:val="28"/>
        </w:rPr>
        <w:t xml:space="preserve">5. L'année de césure</w:t>
      </w:r>
    </w:p>
    <w:p>
      <w:pPr>
        <w:spacing w:after="160" w:before="0" w:line="276"/>
      </w:pPr>
      <w:r>
        <w:rPr>
          <w:rFonts w:ascii="Calibri" w:cs="Calibri" w:eastAsia="Calibri" w:hAnsi="Calibri"/>
          <w:color w:val="5C6270"/>
          <w:sz w:val="21"/>
          <w:szCs w:val="21"/>
        </w:rPr>
        <w:t xml:space="preserve">Cinq phases, chacune fermée par une décision écrite. Les objectifs de revenu sont des cibles de pilotage, pas des prévisions.</w:t>
      </w:r>
    </w:p>
    <w:p>
      <w:pPr>
        <w:pStyle w:val="Heading2"/>
        <w:spacing w:after="100" w:before="280"/>
      </w:pPr>
      <w:r>
        <w:rPr>
          <w:rFonts w:ascii="Calibri" w:cs="Calibri" w:eastAsia="Calibri" w:hAnsi="Calibri"/>
          <w:b/>
          <w:bCs/>
          <w:color w:val="2A4B8D"/>
          <w:sz w:val="23"/>
          <w:szCs w:val="23"/>
        </w:rPr>
        <w:t xml:space="preserve">Phase 1 — septembre et octobre : valider</w:t>
      </w:r>
    </w:p>
    <w:p>
      <w:pPr>
        <w:spacing w:after="120" w:before="0" w:line="276"/>
      </w:pPr>
      <w:r>
        <w:rPr>
          <w:rFonts w:ascii="Calibri" w:cs="Calibri" w:eastAsia="Calibri" w:hAnsi="Calibri"/>
          <w:color w:val="1C1F26"/>
          <w:sz w:val="21"/>
          <w:szCs w:val="21"/>
        </w:rPr>
        <w:t xml:space="preserve">Les trente jours ci-dessus, puis trente de plus sur le segment gagnant. Cible : 3 clients payants. Aucune automatisation, aucun outil au-delà d'un tableur et d'une boîte mail.</w:t>
      </w:r>
    </w:p>
    <w:p>
      <w:pPr>
        <w:pStyle w:val="Heading2"/>
        <w:spacing w:after="100" w:before="280"/>
      </w:pPr>
      <w:r>
        <w:rPr>
          <w:rFonts w:ascii="Calibri" w:cs="Calibri" w:eastAsia="Calibri" w:hAnsi="Calibri"/>
          <w:b/>
          <w:bCs/>
          <w:color w:val="2A4B8D"/>
          <w:sz w:val="23"/>
          <w:szCs w:val="23"/>
        </w:rPr>
        <w:t xml:space="preserve">Phase 2 — novembre et décembre : industrialiser</w:t>
      </w:r>
    </w:p>
    <w:p>
      <w:pPr>
        <w:spacing w:after="120" w:before="0" w:line="276"/>
      </w:pPr>
      <w:r>
        <w:rPr>
          <w:rFonts w:ascii="Calibri" w:cs="Calibri" w:eastAsia="Calibri" w:hAnsi="Calibri"/>
          <w:color w:val="1C1F26"/>
          <w:sz w:val="21"/>
          <w:szCs w:val="21"/>
        </w:rPr>
        <w:t xml:space="preserve">Construire le système à partir du chronométrage de la semaine 4, et pas avant. Chaîne recommandée pour commencer : formulaires, base de données en ligne, moteur d'automatisation, outil d'envoi. Sans code, pilotable depuis un téléphone, opérationnel en quelques jours. Un développement sur mesure se justifie plus tard, quand le volume paie sa maintenance.</w:t>
      </w:r>
    </w:p>
    <w:p>
      <w:pPr>
        <w:spacing w:after="120" w:before="0" w:line="276"/>
      </w:pPr>
      <w:r>
        <w:rPr>
          <w:rFonts w:ascii="Calibri" w:cs="Calibri" w:eastAsia="Calibri" w:hAnsi="Calibri"/>
          <w:color w:val="1C1F26"/>
          <w:sz w:val="21"/>
          <w:szCs w:val="21"/>
        </w:rPr>
        <w:t xml:space="preserve">Passer le tarif public à 89 € et instaurer les frais d'entrée à 390 €. Les trois pilotes gardent 49 € à vie.</w:t>
      </w:r>
    </w:p>
    <w:p>
      <w:pPr>
        <w:pStyle w:val="Heading2"/>
        <w:spacing w:after="100" w:before="280"/>
      </w:pPr>
      <w:r>
        <w:rPr>
          <w:rFonts w:ascii="Calibri" w:cs="Calibri" w:eastAsia="Calibri" w:hAnsi="Calibri"/>
          <w:b/>
          <w:bCs/>
          <w:color w:val="2A4B8D"/>
          <w:sz w:val="23"/>
          <w:szCs w:val="23"/>
        </w:rPr>
        <w:t xml:space="preserve">Phase 3 — janvier à mars : acquisition qui compose</w:t>
      </w:r>
    </w:p>
    <w:p>
      <w:pPr>
        <w:spacing w:after="120" w:before="0" w:line="276"/>
      </w:pPr>
      <w:r>
        <w:rPr>
          <w:rFonts w:ascii="Calibri" w:cs="Calibri" w:eastAsia="Calibri" w:hAnsi="Calibri"/>
          <w:color w:val="1C1F26"/>
          <w:sz w:val="21"/>
          <w:szCs w:val="21"/>
        </w:rPr>
        <w:t xml:space="preserve">Ouvrir les canaux qui travaillent sans toi : trente à quarante pages de référencement en longue traîne, et le recrutement de prescripteurs. Mettre en place les paliers tarifaires de la section 7. Lancer le palier OPCO, limité à deux financeurs, réservé aux clients abonnés depuis trois mois.</w:t>
      </w:r>
    </w:p>
    <w:p>
      <w:pPr>
        <w:pStyle w:val="Heading2"/>
        <w:spacing w:after="100" w:before="280"/>
      </w:pPr>
      <w:r>
        <w:rPr>
          <w:rFonts w:ascii="Calibri" w:cs="Calibri" w:eastAsia="Calibri" w:hAnsi="Calibri"/>
          <w:b/>
          <w:bCs/>
          <w:color w:val="2A4B8D"/>
          <w:sz w:val="23"/>
          <w:szCs w:val="23"/>
        </w:rPr>
        <w:t xml:space="preserve">Phase 4 — avril à juin : marge et défense</w:t>
      </w:r>
    </w:p>
    <w:p>
      <w:pPr>
        <w:spacing w:after="120" w:before="0" w:line="276"/>
      </w:pPr>
      <w:r>
        <w:rPr>
          <w:rFonts w:ascii="Calibri" w:cs="Calibri" w:eastAsia="Calibri" w:hAnsi="Calibri"/>
          <w:color w:val="1C1F26"/>
          <w:sz w:val="21"/>
          <w:szCs w:val="21"/>
        </w:rPr>
        <w:t xml:space="preserve">Introduire l'engagement de mise en conformité sous 48 heures, l'abonnement annuel prépayé et le benchmark sectoriel. Lancer la deuxième ligne de revenu et le premier revendeur en marque blanche.</w:t>
      </w:r>
    </w:p>
    <w:p>
      <w:pPr>
        <w:pStyle w:val="Heading2"/>
        <w:spacing w:after="100" w:before="280"/>
      </w:pPr>
      <w:r>
        <w:rPr>
          <w:rFonts w:ascii="Calibri" w:cs="Calibri" w:eastAsia="Calibri" w:hAnsi="Calibri"/>
          <w:b/>
          <w:bCs/>
          <w:color w:val="2A4B8D"/>
          <w:sz w:val="23"/>
          <w:szCs w:val="23"/>
        </w:rPr>
        <w:t xml:space="preserve">Phase 5 — juillet et août : décider</w:t>
      </w:r>
    </w:p>
    <w:p>
      <w:pPr>
        <w:spacing w:after="200" w:before="0" w:line="276"/>
      </w:pPr>
      <w:r>
        <w:rPr>
          <w:rFonts w:ascii="Calibri" w:cs="Calibri" w:eastAsia="Calibri" w:hAnsi="Calibri"/>
          <w:color w:val="1C1F26"/>
          <w:sz w:val="21"/>
          <w:szCs w:val="21"/>
        </w:rPr>
        <w:t xml:space="preserve">Trois issues à trancher par écrit : poursuivre en parallèle de la L3, faire de l'activité l'occupation principale, ou céder la base de clients. La dernière n'est pas un échec : un revenu récurrent documenté se vend.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79"/>
        <w:gridCol w:w="1123"/>
        <w:gridCol w:w="1123"/>
        <w:gridCol w:w="1685"/>
        <w:gridCol w:w="3650"/>
      </w:tblGrid>
      <w:tr>
        <w:trPr>
          <w:tblHeader/>
        </w:trPr>
        <w:tc>
          <w:tcPr>
            <w:tcW w:type="dxa" w:w="1779"/>
            <w:shd w:fill="E7E6E1" w:val="clear"/>
            <w:tcMar>
              <w:top w:type="dxa" w:w="90"/>
              <w:left w:type="dxa" w:w="120"/>
              <w:bottom w:type="dxa" w:w="90"/>
              <w:right w:type="dxa" w:w="120"/>
            </w:tcMar>
          </w:tcPr>
          <w:p>
            <w:r>
              <w:rPr>
                <w:rFonts w:ascii="Calibri" w:cs="Calibri" w:eastAsia="Calibri" w:hAnsi="Calibri"/>
                <w:b/>
                <w:bCs/>
                <w:color w:val="1C1F26"/>
                <w:sz w:val="19"/>
                <w:szCs w:val="19"/>
              </w:rPr>
              <w:t xml:space="preserve">Phase</w:t>
            </w:r>
          </w:p>
        </w:tc>
        <w:tc>
          <w:tcPr>
            <w:tcW w:type="dxa" w:w="1123"/>
            <w:shd w:fill="E7E6E1" w:val="clear"/>
            <w:tcMar>
              <w:top w:type="dxa" w:w="90"/>
              <w:left w:type="dxa" w:w="120"/>
              <w:bottom w:type="dxa" w:w="90"/>
              <w:right w:type="dxa" w:w="120"/>
            </w:tcMar>
          </w:tcPr>
          <w:p>
            <w:r>
              <w:rPr>
                <w:rFonts w:ascii="Calibri" w:cs="Calibri" w:eastAsia="Calibri" w:hAnsi="Calibri"/>
                <w:b/>
                <w:bCs/>
                <w:color w:val="1C1F26"/>
                <w:sz w:val="19"/>
                <w:szCs w:val="19"/>
              </w:rPr>
              <w:t xml:space="preserve">Fin</w:t>
            </w:r>
          </w:p>
        </w:tc>
        <w:tc>
          <w:tcPr>
            <w:tcW w:type="dxa" w:w="1123"/>
            <w:shd w:fill="E7E6E1" w:val="clear"/>
            <w:tcMar>
              <w:top w:type="dxa" w:w="90"/>
              <w:left w:type="dxa" w:w="120"/>
              <w:bottom w:type="dxa" w:w="90"/>
              <w:right w:type="dxa" w:w="120"/>
            </w:tcMar>
          </w:tcPr>
          <w:p>
            <w:r>
              <w:rPr>
                <w:rFonts w:ascii="Calibri" w:cs="Calibri" w:eastAsia="Calibri" w:hAnsi="Calibri"/>
                <w:b/>
                <w:bCs/>
                <w:color w:val="1C1F26"/>
                <w:sz w:val="19"/>
                <w:szCs w:val="19"/>
              </w:rPr>
              <w:t xml:space="preserve">Clients</w:t>
            </w:r>
          </w:p>
        </w:tc>
        <w:tc>
          <w:tcPr>
            <w:tcW w:type="dxa" w:w="1685"/>
            <w:shd w:fill="E7E6E1" w:val="clear"/>
            <w:tcMar>
              <w:top w:type="dxa" w:w="90"/>
              <w:left w:type="dxa" w:w="120"/>
              <w:bottom w:type="dxa" w:w="90"/>
              <w:right w:type="dxa" w:w="120"/>
            </w:tcMar>
          </w:tcPr>
          <w:p>
            <w:r>
              <w:rPr>
                <w:rFonts w:ascii="Calibri" w:cs="Calibri" w:eastAsia="Calibri" w:hAnsi="Calibri"/>
                <w:b/>
                <w:bCs/>
                <w:color w:val="1C1F26"/>
                <w:sz w:val="19"/>
                <w:szCs w:val="19"/>
              </w:rPr>
              <w:t xml:space="preserve">Revenu mensuel</w:t>
            </w:r>
          </w:p>
        </w:tc>
        <w:tc>
          <w:tcPr>
            <w:tcW w:type="dxa" w:w="3650"/>
            <w:shd w:fill="E7E6E1" w:val="clear"/>
            <w:tcMar>
              <w:top w:type="dxa" w:w="90"/>
              <w:left w:type="dxa" w:w="120"/>
              <w:bottom w:type="dxa" w:w="90"/>
              <w:right w:type="dxa" w:w="120"/>
            </w:tcMar>
          </w:tcPr>
          <w:p>
            <w:r>
              <w:rPr>
                <w:rFonts w:ascii="Calibri" w:cs="Calibri" w:eastAsia="Calibri" w:hAnsi="Calibri"/>
                <w:b/>
                <w:bCs/>
                <w:color w:val="1C1F26"/>
                <w:sz w:val="19"/>
                <w:szCs w:val="19"/>
              </w:rPr>
              <w:t xml:space="preserve">Condition de passage</w:t>
            </w:r>
          </w:p>
        </w:tc>
      </w:tr>
      <w:tr>
        <w:tc>
          <w:tcPr>
            <w:tcW w:type="dxa" w:w="1779"/>
            <w:tcMar>
              <w:top w:type="dxa" w:w="90"/>
              <w:left w:type="dxa" w:w="120"/>
              <w:bottom w:type="dxa" w:w="90"/>
              <w:right w:type="dxa" w:w="120"/>
            </w:tcMar>
          </w:tcPr>
          <w:p>
            <w:pPr>
              <w:spacing w:line="260"/>
            </w:pPr>
            <w:r>
              <w:rPr>
                <w:rFonts w:ascii="Calibri" w:cs="Calibri" w:eastAsia="Calibri" w:hAnsi="Calibri"/>
                <w:b/>
                <w:bCs/>
                <w:color w:val="1C1F26"/>
                <w:sz w:val="19"/>
                <w:szCs w:val="19"/>
              </w:rPr>
              <w:t xml:space="preserve">Valider</w:t>
            </w:r>
          </w:p>
        </w:tc>
        <w:tc>
          <w:tcPr>
            <w:tcW w:type="dxa" w:w="1123"/>
            <w:tcMar>
              <w:top w:type="dxa" w:w="90"/>
              <w:left w:type="dxa" w:w="120"/>
              <w:bottom w:type="dxa" w:w="90"/>
              <w:right w:type="dxa" w:w="120"/>
            </w:tcMar>
          </w:tcPr>
          <w:p>
            <w:pPr>
              <w:spacing w:line="260"/>
            </w:pPr>
            <w:r>
              <w:rPr>
                <w:rFonts w:ascii="Calibri" w:cs="Calibri" w:eastAsia="Calibri" w:hAnsi="Calibri"/>
                <w:b w:val="false"/>
                <w:bCs w:val="false"/>
                <w:color w:val="1C1F26"/>
                <w:sz w:val="19"/>
                <w:szCs w:val="19"/>
              </w:rPr>
              <w:t xml:space="preserve">31 oct.</w:t>
            </w:r>
          </w:p>
        </w:tc>
        <w:tc>
          <w:tcPr>
            <w:tcW w:type="dxa" w:w="1123"/>
            <w:tcMar>
              <w:top w:type="dxa" w:w="90"/>
              <w:left w:type="dxa" w:w="120"/>
              <w:bottom w:type="dxa" w:w="90"/>
              <w:right w:type="dxa" w:w="120"/>
            </w:tcMar>
          </w:tcPr>
          <w:p>
            <w:pPr>
              <w:spacing w:line="260"/>
            </w:pPr>
            <w:r>
              <w:rPr>
                <w:rFonts w:ascii="Calibri" w:cs="Calibri" w:eastAsia="Calibri" w:hAnsi="Calibri"/>
                <w:b w:val="false"/>
                <w:bCs w:val="false"/>
                <w:color w:val="1C1F26"/>
                <w:sz w:val="19"/>
                <w:szCs w:val="19"/>
              </w:rPr>
              <w:t xml:space="preserve">3</w:t>
            </w:r>
          </w:p>
        </w:tc>
        <w:tc>
          <w:tcPr>
            <w:tcW w:type="dxa" w:w="1685"/>
            <w:tcMar>
              <w:top w:type="dxa" w:w="90"/>
              <w:left w:type="dxa" w:w="120"/>
              <w:bottom w:type="dxa" w:w="90"/>
              <w:right w:type="dxa" w:w="120"/>
            </w:tcMar>
          </w:tcPr>
          <w:p>
            <w:pPr>
              <w:spacing w:line="260"/>
            </w:pPr>
            <w:r>
              <w:rPr>
                <w:rFonts w:ascii="Calibri" w:cs="Calibri" w:eastAsia="Calibri" w:hAnsi="Calibri"/>
                <w:b w:val="false"/>
                <w:bCs w:val="false"/>
                <w:color w:val="1C1F26"/>
                <w:sz w:val="19"/>
                <w:szCs w:val="19"/>
              </w:rPr>
              <w:t xml:space="preserve">150 €</w:t>
            </w:r>
          </w:p>
        </w:tc>
        <w:tc>
          <w:tcPr>
            <w:tcW w:type="dxa" w:w="3650"/>
            <w:tcMar>
              <w:top w:type="dxa" w:w="90"/>
              <w:left w:type="dxa" w:w="120"/>
              <w:bottom w:type="dxa" w:w="90"/>
              <w:right w:type="dxa" w:w="120"/>
            </w:tcMar>
          </w:tcPr>
          <w:p>
            <w:pPr>
              <w:spacing w:line="260"/>
            </w:pPr>
            <w:r>
              <w:rPr>
                <w:rFonts w:ascii="Calibri" w:cs="Calibri" w:eastAsia="Calibri" w:hAnsi="Calibri"/>
                <w:b w:val="false"/>
                <w:bCs w:val="false"/>
                <w:color w:val="1C1F26"/>
                <w:sz w:val="19"/>
                <w:szCs w:val="19"/>
              </w:rPr>
              <w:t xml:space="preserve">3 clients payants, ou arrêt</w:t>
            </w:r>
          </w:p>
        </w:tc>
      </w:tr>
      <w:tr>
        <w:tc>
          <w:tcPr>
            <w:tcW w:type="dxa" w:w="1779"/>
            <w:tcMar>
              <w:top w:type="dxa" w:w="90"/>
              <w:left w:type="dxa" w:w="120"/>
              <w:bottom w:type="dxa" w:w="90"/>
              <w:right w:type="dxa" w:w="120"/>
            </w:tcMar>
          </w:tcPr>
          <w:p>
            <w:pPr>
              <w:spacing w:line="260"/>
            </w:pPr>
            <w:r>
              <w:rPr>
                <w:rFonts w:ascii="Calibri" w:cs="Calibri" w:eastAsia="Calibri" w:hAnsi="Calibri"/>
                <w:b/>
                <w:bCs/>
                <w:color w:val="1C1F26"/>
                <w:sz w:val="19"/>
                <w:szCs w:val="19"/>
              </w:rPr>
              <w:t xml:space="preserve">Industrialiser</w:t>
            </w:r>
          </w:p>
        </w:tc>
        <w:tc>
          <w:tcPr>
            <w:tcW w:type="dxa" w:w="1123"/>
            <w:tcMar>
              <w:top w:type="dxa" w:w="90"/>
              <w:left w:type="dxa" w:w="120"/>
              <w:bottom w:type="dxa" w:w="90"/>
              <w:right w:type="dxa" w:w="120"/>
            </w:tcMar>
          </w:tcPr>
          <w:p>
            <w:pPr>
              <w:spacing w:line="260"/>
            </w:pPr>
            <w:r>
              <w:rPr>
                <w:rFonts w:ascii="Calibri" w:cs="Calibri" w:eastAsia="Calibri" w:hAnsi="Calibri"/>
                <w:b w:val="false"/>
                <w:bCs w:val="false"/>
                <w:color w:val="1C1F26"/>
                <w:sz w:val="19"/>
                <w:szCs w:val="19"/>
              </w:rPr>
              <w:t xml:space="preserve">31 déc.</w:t>
            </w:r>
          </w:p>
        </w:tc>
        <w:tc>
          <w:tcPr>
            <w:tcW w:type="dxa" w:w="1123"/>
            <w:tcMar>
              <w:top w:type="dxa" w:w="90"/>
              <w:left w:type="dxa" w:w="120"/>
              <w:bottom w:type="dxa" w:w="90"/>
              <w:right w:type="dxa" w:w="120"/>
            </w:tcMar>
          </w:tcPr>
          <w:p>
            <w:pPr>
              <w:spacing w:line="260"/>
            </w:pPr>
            <w:r>
              <w:rPr>
                <w:rFonts w:ascii="Calibri" w:cs="Calibri" w:eastAsia="Calibri" w:hAnsi="Calibri"/>
                <w:b w:val="false"/>
                <w:bCs w:val="false"/>
                <w:color w:val="1C1F26"/>
                <w:sz w:val="19"/>
                <w:szCs w:val="19"/>
              </w:rPr>
              <w:t xml:space="preserve">12</w:t>
            </w:r>
          </w:p>
        </w:tc>
        <w:tc>
          <w:tcPr>
            <w:tcW w:type="dxa" w:w="1685"/>
            <w:tcMar>
              <w:top w:type="dxa" w:w="90"/>
              <w:left w:type="dxa" w:w="120"/>
              <w:bottom w:type="dxa" w:w="90"/>
              <w:right w:type="dxa" w:w="120"/>
            </w:tcMar>
          </w:tcPr>
          <w:p>
            <w:pPr>
              <w:spacing w:line="260"/>
            </w:pPr>
            <w:r>
              <w:rPr>
                <w:rFonts w:ascii="Calibri" w:cs="Calibri" w:eastAsia="Calibri" w:hAnsi="Calibri"/>
                <w:b w:val="false"/>
                <w:bCs w:val="false"/>
                <w:color w:val="1C1F26"/>
                <w:sz w:val="19"/>
                <w:szCs w:val="19"/>
              </w:rPr>
              <w:t xml:space="preserve">1 070 €</w:t>
            </w:r>
          </w:p>
        </w:tc>
        <w:tc>
          <w:tcPr>
            <w:tcW w:type="dxa" w:w="3650"/>
            <w:tcMar>
              <w:top w:type="dxa" w:w="90"/>
              <w:left w:type="dxa" w:w="120"/>
              <w:bottom w:type="dxa" w:w="90"/>
              <w:right w:type="dxa" w:w="120"/>
            </w:tcMar>
          </w:tcPr>
          <w:p>
            <w:pPr>
              <w:spacing w:line="260"/>
            </w:pPr>
            <w:r>
              <w:rPr>
                <w:rFonts w:ascii="Calibri" w:cs="Calibri" w:eastAsia="Calibri" w:hAnsi="Calibri"/>
                <w:b w:val="false"/>
                <w:bCs w:val="false"/>
                <w:color w:val="1C1F26"/>
                <w:sz w:val="19"/>
                <w:szCs w:val="19"/>
              </w:rPr>
              <w:t xml:space="preserve">Temps par client mesuré et en baisse</w:t>
            </w:r>
          </w:p>
        </w:tc>
      </w:tr>
      <w:tr>
        <w:tc>
          <w:tcPr>
            <w:tcW w:type="dxa" w:w="1779"/>
            <w:tcMar>
              <w:top w:type="dxa" w:w="90"/>
              <w:left w:type="dxa" w:w="120"/>
              <w:bottom w:type="dxa" w:w="90"/>
              <w:right w:type="dxa" w:w="120"/>
            </w:tcMar>
          </w:tcPr>
          <w:p>
            <w:pPr>
              <w:spacing w:line="260"/>
            </w:pPr>
            <w:r>
              <w:rPr>
                <w:rFonts w:ascii="Calibri" w:cs="Calibri" w:eastAsia="Calibri" w:hAnsi="Calibri"/>
                <w:b/>
                <w:bCs/>
                <w:color w:val="1C1F26"/>
                <w:sz w:val="19"/>
                <w:szCs w:val="19"/>
              </w:rPr>
              <w:t xml:space="preserve">Composer</w:t>
            </w:r>
          </w:p>
        </w:tc>
        <w:tc>
          <w:tcPr>
            <w:tcW w:type="dxa" w:w="1123"/>
            <w:tcMar>
              <w:top w:type="dxa" w:w="90"/>
              <w:left w:type="dxa" w:w="120"/>
              <w:bottom w:type="dxa" w:w="90"/>
              <w:right w:type="dxa" w:w="120"/>
            </w:tcMar>
          </w:tcPr>
          <w:p>
            <w:pPr>
              <w:spacing w:line="260"/>
            </w:pPr>
            <w:r>
              <w:rPr>
                <w:rFonts w:ascii="Calibri" w:cs="Calibri" w:eastAsia="Calibri" w:hAnsi="Calibri"/>
                <w:b w:val="false"/>
                <w:bCs w:val="false"/>
                <w:color w:val="1C1F26"/>
                <w:sz w:val="19"/>
                <w:szCs w:val="19"/>
              </w:rPr>
              <w:t xml:space="preserve">31 mars</w:t>
            </w:r>
          </w:p>
        </w:tc>
        <w:tc>
          <w:tcPr>
            <w:tcW w:type="dxa" w:w="1123"/>
            <w:tcMar>
              <w:top w:type="dxa" w:w="90"/>
              <w:left w:type="dxa" w:w="120"/>
              <w:bottom w:type="dxa" w:w="90"/>
              <w:right w:type="dxa" w:w="120"/>
            </w:tcMar>
          </w:tcPr>
          <w:p>
            <w:pPr>
              <w:spacing w:line="260"/>
            </w:pPr>
            <w:r>
              <w:rPr>
                <w:rFonts w:ascii="Calibri" w:cs="Calibri" w:eastAsia="Calibri" w:hAnsi="Calibri"/>
                <w:b w:val="false"/>
                <w:bCs w:val="false"/>
                <w:color w:val="1C1F26"/>
                <w:sz w:val="19"/>
                <w:szCs w:val="19"/>
              </w:rPr>
              <w:t xml:space="preserve">38</w:t>
            </w:r>
          </w:p>
        </w:tc>
        <w:tc>
          <w:tcPr>
            <w:tcW w:type="dxa" w:w="1685"/>
            <w:tcMar>
              <w:top w:type="dxa" w:w="90"/>
              <w:left w:type="dxa" w:w="120"/>
              <w:bottom w:type="dxa" w:w="90"/>
              <w:right w:type="dxa" w:w="120"/>
            </w:tcMar>
          </w:tcPr>
          <w:p>
            <w:pPr>
              <w:spacing w:line="260"/>
            </w:pPr>
            <w:r>
              <w:rPr>
                <w:rFonts w:ascii="Calibri" w:cs="Calibri" w:eastAsia="Calibri" w:hAnsi="Calibri"/>
                <w:b w:val="false"/>
                <w:bCs w:val="false"/>
                <w:color w:val="1C1F26"/>
                <w:sz w:val="19"/>
                <w:szCs w:val="19"/>
              </w:rPr>
              <w:t xml:space="preserve">3 800 €</w:t>
            </w:r>
          </w:p>
        </w:tc>
        <w:tc>
          <w:tcPr>
            <w:tcW w:type="dxa" w:w="3650"/>
            <w:tcMar>
              <w:top w:type="dxa" w:w="90"/>
              <w:left w:type="dxa" w:w="120"/>
              <w:bottom w:type="dxa" w:w="90"/>
              <w:right w:type="dxa" w:w="120"/>
            </w:tcMar>
          </w:tcPr>
          <w:p>
            <w:pPr>
              <w:spacing w:line="260"/>
            </w:pPr>
            <w:r>
              <w:rPr>
                <w:rFonts w:ascii="Calibri" w:cs="Calibri" w:eastAsia="Calibri" w:hAnsi="Calibri"/>
                <w:b w:val="false"/>
                <w:bCs w:val="false"/>
                <w:color w:val="1C1F26"/>
                <w:sz w:val="19"/>
                <w:szCs w:val="19"/>
              </w:rPr>
              <w:t xml:space="preserve">Un canal autre que l'e-mail froid produit des clients</w:t>
            </w:r>
          </w:p>
        </w:tc>
      </w:tr>
      <w:tr>
        <w:tc>
          <w:tcPr>
            <w:tcW w:type="dxa" w:w="1779"/>
            <w:tcMar>
              <w:top w:type="dxa" w:w="90"/>
              <w:left w:type="dxa" w:w="120"/>
              <w:bottom w:type="dxa" w:w="90"/>
              <w:right w:type="dxa" w:w="120"/>
            </w:tcMar>
          </w:tcPr>
          <w:p>
            <w:pPr>
              <w:spacing w:line="260"/>
            </w:pPr>
            <w:r>
              <w:rPr>
                <w:rFonts w:ascii="Calibri" w:cs="Calibri" w:eastAsia="Calibri" w:hAnsi="Calibri"/>
                <w:b/>
                <w:bCs/>
                <w:color w:val="1C1F26"/>
                <w:sz w:val="19"/>
                <w:szCs w:val="19"/>
              </w:rPr>
              <w:t xml:space="preserve">Défendre</w:t>
            </w:r>
          </w:p>
        </w:tc>
        <w:tc>
          <w:tcPr>
            <w:tcW w:type="dxa" w:w="1123"/>
            <w:tcMar>
              <w:top w:type="dxa" w:w="90"/>
              <w:left w:type="dxa" w:w="120"/>
              <w:bottom w:type="dxa" w:w="90"/>
              <w:right w:type="dxa" w:w="120"/>
            </w:tcMar>
          </w:tcPr>
          <w:p>
            <w:pPr>
              <w:spacing w:line="260"/>
            </w:pPr>
            <w:r>
              <w:rPr>
                <w:rFonts w:ascii="Calibri" w:cs="Calibri" w:eastAsia="Calibri" w:hAnsi="Calibri"/>
                <w:b w:val="false"/>
                <w:bCs w:val="false"/>
                <w:color w:val="1C1F26"/>
                <w:sz w:val="19"/>
                <w:szCs w:val="19"/>
              </w:rPr>
              <w:t xml:space="preserve">30 juin</w:t>
            </w:r>
          </w:p>
        </w:tc>
        <w:tc>
          <w:tcPr>
            <w:tcW w:type="dxa" w:w="1123"/>
            <w:tcMar>
              <w:top w:type="dxa" w:w="90"/>
              <w:left w:type="dxa" w:w="120"/>
              <w:bottom w:type="dxa" w:w="90"/>
              <w:right w:type="dxa" w:w="120"/>
            </w:tcMar>
          </w:tcPr>
          <w:p>
            <w:pPr>
              <w:spacing w:line="260"/>
            </w:pPr>
            <w:r>
              <w:rPr>
                <w:rFonts w:ascii="Calibri" w:cs="Calibri" w:eastAsia="Calibri" w:hAnsi="Calibri"/>
                <w:b w:val="false"/>
                <w:bCs w:val="false"/>
                <w:color w:val="1C1F26"/>
                <w:sz w:val="19"/>
                <w:szCs w:val="19"/>
              </w:rPr>
              <w:t xml:space="preserve">60</w:t>
            </w:r>
          </w:p>
        </w:tc>
        <w:tc>
          <w:tcPr>
            <w:tcW w:type="dxa" w:w="1685"/>
            <w:tcMar>
              <w:top w:type="dxa" w:w="90"/>
              <w:left w:type="dxa" w:w="120"/>
              <w:bottom w:type="dxa" w:w="90"/>
              <w:right w:type="dxa" w:w="120"/>
            </w:tcMar>
          </w:tcPr>
          <w:p>
            <w:pPr>
              <w:spacing w:line="260"/>
            </w:pPr>
            <w:r>
              <w:rPr>
                <w:rFonts w:ascii="Calibri" w:cs="Calibri" w:eastAsia="Calibri" w:hAnsi="Calibri"/>
                <w:b w:val="false"/>
                <w:bCs w:val="false"/>
                <w:color w:val="1C1F26"/>
                <w:sz w:val="19"/>
                <w:szCs w:val="19"/>
              </w:rPr>
              <w:t xml:space="preserve">7 200 €</w:t>
            </w:r>
          </w:p>
        </w:tc>
        <w:tc>
          <w:tcPr>
            <w:tcW w:type="dxa" w:w="3650"/>
            <w:tcMar>
              <w:top w:type="dxa" w:w="90"/>
              <w:left w:type="dxa" w:w="120"/>
              <w:bottom w:type="dxa" w:w="90"/>
              <w:right w:type="dxa" w:w="120"/>
            </w:tcMar>
          </w:tcPr>
          <w:p>
            <w:pPr>
              <w:spacing w:line="260"/>
            </w:pPr>
            <w:r>
              <w:rPr>
                <w:rFonts w:ascii="Calibri" w:cs="Calibri" w:eastAsia="Calibri" w:hAnsi="Calibri"/>
                <w:b w:val="false"/>
                <w:bCs w:val="false"/>
                <w:color w:val="1C1F26"/>
                <w:sz w:val="19"/>
                <w:szCs w:val="19"/>
              </w:rPr>
              <w:t xml:space="preserve">Rotation mensuelle sous 3 %, revenu moyen par client au-dessus de 110 €</w:t>
            </w:r>
          </w:p>
        </w:tc>
      </w:tr>
      <w:tr>
        <w:tc>
          <w:tcPr>
            <w:tcW w:type="dxa" w:w="1779"/>
            <w:tcMar>
              <w:top w:type="dxa" w:w="90"/>
              <w:left w:type="dxa" w:w="120"/>
              <w:bottom w:type="dxa" w:w="90"/>
              <w:right w:type="dxa" w:w="120"/>
            </w:tcMar>
          </w:tcPr>
          <w:p>
            <w:pPr>
              <w:spacing w:line="260"/>
            </w:pPr>
            <w:r>
              <w:rPr>
                <w:rFonts w:ascii="Calibri" w:cs="Calibri" w:eastAsia="Calibri" w:hAnsi="Calibri"/>
                <w:b/>
                <w:bCs/>
                <w:color w:val="1C1F26"/>
                <w:sz w:val="19"/>
                <w:szCs w:val="19"/>
              </w:rPr>
              <w:t xml:space="preserve">Décider</w:t>
            </w:r>
          </w:p>
        </w:tc>
        <w:tc>
          <w:tcPr>
            <w:tcW w:type="dxa" w:w="1123"/>
            <w:tcMar>
              <w:top w:type="dxa" w:w="90"/>
              <w:left w:type="dxa" w:w="120"/>
              <w:bottom w:type="dxa" w:w="90"/>
              <w:right w:type="dxa" w:w="120"/>
            </w:tcMar>
          </w:tcPr>
          <w:p>
            <w:pPr>
              <w:spacing w:line="260"/>
            </w:pPr>
            <w:r>
              <w:rPr>
                <w:rFonts w:ascii="Calibri" w:cs="Calibri" w:eastAsia="Calibri" w:hAnsi="Calibri"/>
                <w:b w:val="false"/>
                <w:bCs w:val="false"/>
                <w:color w:val="1C1F26"/>
                <w:sz w:val="19"/>
                <w:szCs w:val="19"/>
              </w:rPr>
              <w:t xml:space="preserve">31 août</w:t>
            </w:r>
          </w:p>
        </w:tc>
        <w:tc>
          <w:tcPr>
            <w:tcW w:type="dxa" w:w="1123"/>
            <w:tcMar>
              <w:top w:type="dxa" w:w="90"/>
              <w:left w:type="dxa" w:w="120"/>
              <w:bottom w:type="dxa" w:w="90"/>
              <w:right w:type="dxa" w:w="120"/>
            </w:tcMar>
          </w:tcPr>
          <w:p>
            <w:pPr>
              <w:spacing w:line="260"/>
            </w:pPr>
            <w:r>
              <w:rPr>
                <w:rFonts w:ascii="Calibri" w:cs="Calibri" w:eastAsia="Calibri" w:hAnsi="Calibri"/>
                <w:b w:val="false"/>
                <w:bCs w:val="false"/>
                <w:color w:val="1C1F26"/>
                <w:sz w:val="19"/>
                <w:szCs w:val="19"/>
              </w:rPr>
              <w:t xml:space="preserve">—</w:t>
            </w:r>
          </w:p>
        </w:tc>
        <w:tc>
          <w:tcPr>
            <w:tcW w:type="dxa" w:w="1685"/>
            <w:tcMar>
              <w:top w:type="dxa" w:w="90"/>
              <w:left w:type="dxa" w:w="120"/>
              <w:bottom w:type="dxa" w:w="90"/>
              <w:right w:type="dxa" w:w="120"/>
            </w:tcMar>
          </w:tcPr>
          <w:p>
            <w:pPr>
              <w:spacing w:line="260"/>
            </w:pPr>
            <w:r>
              <w:rPr>
                <w:rFonts w:ascii="Calibri" w:cs="Calibri" w:eastAsia="Calibri" w:hAnsi="Calibri"/>
                <w:b w:val="false"/>
                <w:bCs w:val="false"/>
                <w:color w:val="1C1F26"/>
                <w:sz w:val="19"/>
                <w:szCs w:val="19"/>
              </w:rPr>
              <w:t xml:space="preserve">—</w:t>
            </w:r>
          </w:p>
        </w:tc>
        <w:tc>
          <w:tcPr>
            <w:tcW w:type="dxa" w:w="3650"/>
            <w:tcMar>
              <w:top w:type="dxa" w:w="90"/>
              <w:left w:type="dxa" w:w="120"/>
              <w:bottom w:type="dxa" w:w="90"/>
              <w:right w:type="dxa" w:w="120"/>
            </w:tcMar>
          </w:tcPr>
          <w:p>
            <w:pPr>
              <w:spacing w:line="260"/>
            </w:pPr>
            <w:r>
              <w:rPr>
                <w:rFonts w:ascii="Calibri" w:cs="Calibri" w:eastAsia="Calibri" w:hAnsi="Calibri"/>
                <w:b w:val="false"/>
                <w:bCs w:val="false"/>
                <w:color w:val="1C1F26"/>
                <w:sz w:val="19"/>
                <w:szCs w:val="19"/>
              </w:rPr>
              <w:t xml:space="preserve">Choix écrit entre les trois issues</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4B8D" w:sz="6"/>
              <w:left w:val="single" w:color="2A4B8D" w:sz="18"/>
              <w:bottom w:val="single" w:color="2A4B8D" w:sz="6"/>
              <w:right w:val="single" w:color="2A4B8D" w:sz="6"/>
            </w:tcBorders>
            <w:shd w:fill="EDEFF4" w:val="clear"/>
            <w:tcMar>
              <w:top w:type="dxa" w:w="160"/>
              <w:left w:type="dxa" w:w="200"/>
              <w:bottom w:type="dxa" w:w="160"/>
              <w:right w:type="dxa" w:w="200"/>
            </w:tcMar>
          </w:tcPr>
          <w:p>
            <w:pPr>
              <w:spacing w:after="60"/>
            </w:pPr>
            <w:r>
              <w:rPr>
                <w:rFonts w:ascii="Calibri" w:cs="Calibri" w:eastAsia="Calibri" w:hAnsi="Calibri"/>
                <w:b/>
                <w:bCs/>
                <w:color w:val="2A4B8D"/>
                <w:sz w:val="21"/>
                <w:szCs w:val="21"/>
              </w:rPr>
              <w:t xml:space="preserve">Le conflit qu'il faut nommer</w:t>
            </w:r>
          </w:p>
          <w:p>
            <w:pPr>
              <w:spacing w:after="60" w:line="276"/>
            </w:pPr>
            <w:r>
              <w:rPr>
                <w:rFonts w:ascii="Calibri" w:cs="Calibri" w:eastAsia="Calibri" w:hAnsi="Calibri"/>
                <w:color w:val="1C1F26"/>
                <w:sz w:val="20"/>
                <w:szCs w:val="20"/>
              </w:rPr>
              <w:t xml:space="preserve">Cette charge est incompatible avec Cage-Legacy, Faunable, Garden of Earth, Xavier et AtelierTrack menés en parallèle. Ta méthode de césure est de ne pas abandonner tes projets ; elle n'interdit pas de les mettre en sommeil déclaré. Fixe la date de réveil maintenant, par exemple avril, et n'ouvre aucun nouveau sujet avant la phase 5.</w:t>
            </w:r>
          </w:p>
        </w:tc>
      </w:tr>
    </w:tbl>
    <w:p>
      <w:pPr>
        <w:spacing w:after="200"/>
      </w:pPr>
    </w:p>
    <w:p>
      <w:pPr>
        <w:pStyle w:val="Heading1"/>
        <w:pBdr>
          <w:bottom w:val="single" w:color="1C1F26" w:sz="12" w:space="6"/>
        </w:pBdr>
        <w:spacing w:after="160" w:before="400"/>
      </w:pPr>
      <w:r>
        <w:rPr>
          <w:rFonts w:ascii="Calibri" w:cs="Calibri" w:eastAsia="Calibri" w:hAnsi="Calibri"/>
          <w:b/>
          <w:bCs/>
          <w:color w:val="1C1F26"/>
          <w:sz w:val="28"/>
          <w:szCs w:val="28"/>
        </w:rPr>
        <w:t xml:space="preserve">6. Le temps par client, et comment le réduire</w:t>
      </w:r>
    </w:p>
    <w:p>
      <w:pPr>
        <w:spacing w:after="160" w:before="0" w:line="276"/>
      </w:pPr>
      <w:r>
        <w:rPr>
          <w:rFonts w:ascii="Calibri" w:cs="Calibri" w:eastAsia="Calibri" w:hAnsi="Calibri"/>
          <w:color w:val="5C6270"/>
          <w:sz w:val="21"/>
          <w:szCs w:val="21"/>
        </w:rPr>
        <w:t xml:space="preserve">C'est la variable qui décide si l'activité tient à 60 clients ou s'écroule à 25. Elle se mesure, elle ne s'estime pas.</w:t>
      </w:r>
    </w:p>
    <w:p>
      <w:pPr>
        <w:pStyle w:val="Heading2"/>
        <w:spacing w:after="100" w:before="280"/>
      </w:pPr>
      <w:r>
        <w:rPr>
          <w:rFonts w:ascii="Calibri" w:cs="Calibri" w:eastAsia="Calibri" w:hAnsi="Calibri"/>
          <w:b/>
          <w:bCs/>
          <w:color w:val="2A4B8D"/>
          <w:sz w:val="23"/>
          <w:szCs w:val="23"/>
        </w:rPr>
        <w:t xml:space="preserve">Où passent réellement les 45 minutes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6"/>
        <w:gridCol w:w="1872"/>
        <w:gridCol w:w="3182"/>
      </w:tblGrid>
      <w:tr>
        <w:trPr>
          <w:tblHeader/>
        </w:trPr>
        <w:tc>
          <w:tcPr>
            <w:tcW w:type="dxa" w:w="4306"/>
            <w:shd w:fill="E7E6E1" w:val="clear"/>
            <w:tcMar>
              <w:top w:type="dxa" w:w="90"/>
              <w:left w:type="dxa" w:w="120"/>
              <w:bottom w:type="dxa" w:w="90"/>
              <w:right w:type="dxa" w:w="120"/>
            </w:tcMar>
          </w:tcPr>
          <w:p>
            <w:r>
              <w:rPr>
                <w:rFonts w:ascii="Calibri" w:cs="Calibri" w:eastAsia="Calibri" w:hAnsi="Calibri"/>
                <w:b/>
                <w:bCs/>
                <w:color w:val="1C1F26"/>
                <w:sz w:val="19"/>
                <w:szCs w:val="19"/>
              </w:rPr>
              <w:t xml:space="preserve">Tâche du cycle mensuel</w:t>
            </w:r>
          </w:p>
        </w:tc>
        <w:tc>
          <w:tcPr>
            <w:tcW w:type="dxa" w:w="1872"/>
            <w:shd w:fill="E7E6E1" w:val="clear"/>
            <w:tcMar>
              <w:top w:type="dxa" w:w="90"/>
              <w:left w:type="dxa" w:w="120"/>
              <w:bottom w:type="dxa" w:w="90"/>
              <w:right w:type="dxa" w:w="120"/>
            </w:tcMar>
          </w:tcPr>
          <w:p>
            <w:r>
              <w:rPr>
                <w:rFonts w:ascii="Calibri" w:cs="Calibri" w:eastAsia="Calibri" w:hAnsi="Calibri"/>
                <w:b/>
                <w:bCs/>
                <w:color w:val="1C1F26"/>
                <w:sz w:val="19"/>
                <w:szCs w:val="19"/>
              </w:rPr>
              <w:t xml:space="preserve">Temps typique</w:t>
            </w:r>
          </w:p>
        </w:tc>
        <w:tc>
          <w:tcPr>
            <w:tcW w:type="dxa" w:w="3182"/>
            <w:shd w:fill="E7E6E1" w:val="clear"/>
            <w:tcMar>
              <w:top w:type="dxa" w:w="90"/>
              <w:left w:type="dxa" w:w="120"/>
              <w:bottom w:type="dxa" w:w="90"/>
              <w:right w:type="dxa" w:w="120"/>
            </w:tcMar>
          </w:tcPr>
          <w:p>
            <w:r>
              <w:rPr>
                <w:rFonts w:ascii="Calibri" w:cs="Calibri" w:eastAsia="Calibri" w:hAnsi="Calibri"/>
                <w:b/>
                <w:bCs/>
                <w:color w:val="1C1F26"/>
                <w:sz w:val="19"/>
                <w:szCs w:val="19"/>
              </w:rPr>
              <w:t xml:space="preserve">Automatisable</w:t>
            </w:r>
          </w:p>
        </w:tc>
      </w:tr>
      <w:tr>
        <w:tc>
          <w:tcPr>
            <w:tcW w:type="dxa" w:w="4306"/>
            <w:tcMar>
              <w:top w:type="dxa" w:w="90"/>
              <w:left w:type="dxa" w:w="120"/>
              <w:bottom w:type="dxa" w:w="90"/>
              <w:right w:type="dxa" w:w="120"/>
            </w:tcMar>
          </w:tcPr>
          <w:p>
            <w:pPr>
              <w:spacing w:line="260"/>
            </w:pPr>
            <w:r>
              <w:rPr>
                <w:rFonts w:ascii="Calibri" w:cs="Calibri" w:eastAsia="Calibri" w:hAnsi="Calibri"/>
                <w:b/>
                <w:bCs/>
                <w:color w:val="1C1F26"/>
                <w:sz w:val="19"/>
                <w:szCs w:val="19"/>
              </w:rPr>
              <w:t xml:space="preserve">Récupérer les sessions et les coordonnées des stagiaires</w:t>
            </w:r>
          </w:p>
        </w:tc>
        <w:tc>
          <w:tcPr>
            <w:tcW w:type="dxa" w:w="1872"/>
            <w:tcMar>
              <w:top w:type="dxa" w:w="90"/>
              <w:left w:type="dxa" w:w="120"/>
              <w:bottom w:type="dxa" w:w="90"/>
              <w:right w:type="dxa" w:w="120"/>
            </w:tcMar>
          </w:tcPr>
          <w:p>
            <w:pPr>
              <w:spacing w:line="260"/>
            </w:pPr>
            <w:r>
              <w:rPr>
                <w:rFonts w:ascii="Calibri" w:cs="Calibri" w:eastAsia="Calibri" w:hAnsi="Calibri"/>
                <w:b w:val="false"/>
                <w:bCs w:val="false"/>
                <w:color w:val="1C1F26"/>
                <w:sz w:val="19"/>
                <w:szCs w:val="19"/>
              </w:rPr>
              <w:t xml:space="preserve">15 à 20 min</w:t>
            </w:r>
          </w:p>
        </w:tc>
        <w:tc>
          <w:tcPr>
            <w:tcW w:type="dxa" w:w="3182"/>
            <w:tcMar>
              <w:top w:type="dxa" w:w="90"/>
              <w:left w:type="dxa" w:w="120"/>
              <w:bottom w:type="dxa" w:w="90"/>
              <w:right w:type="dxa" w:w="120"/>
            </w:tcMar>
          </w:tcPr>
          <w:p>
            <w:pPr>
              <w:spacing w:line="260"/>
            </w:pPr>
            <w:r>
              <w:rPr>
                <w:rFonts w:ascii="Calibri" w:cs="Calibri" w:eastAsia="Calibri" w:hAnsi="Calibri"/>
                <w:b w:val="false"/>
                <w:bCs w:val="false"/>
                <w:color w:val="1C1F26"/>
                <w:sz w:val="19"/>
                <w:szCs w:val="19"/>
              </w:rPr>
              <w:t xml:space="preserve">Difficile — c'est là qu'est le problème</w:t>
            </w:r>
          </w:p>
        </w:tc>
      </w:tr>
      <w:tr>
        <w:tc>
          <w:tcPr>
            <w:tcW w:type="dxa" w:w="4306"/>
            <w:tcMar>
              <w:top w:type="dxa" w:w="90"/>
              <w:left w:type="dxa" w:w="120"/>
              <w:bottom w:type="dxa" w:w="90"/>
              <w:right w:type="dxa" w:w="120"/>
            </w:tcMar>
          </w:tcPr>
          <w:p>
            <w:pPr>
              <w:spacing w:line="260"/>
            </w:pPr>
            <w:r>
              <w:rPr>
                <w:rFonts w:ascii="Calibri" w:cs="Calibri" w:eastAsia="Calibri" w:hAnsi="Calibri"/>
                <w:b/>
                <w:bCs/>
                <w:color w:val="1C1F26"/>
                <w:sz w:val="19"/>
                <w:szCs w:val="19"/>
              </w:rPr>
              <w:t xml:space="preserve">Déclencher les questionnaires à chaud et à froid</w:t>
            </w:r>
          </w:p>
        </w:tc>
        <w:tc>
          <w:tcPr>
            <w:tcW w:type="dxa" w:w="1872"/>
            <w:tcMar>
              <w:top w:type="dxa" w:w="90"/>
              <w:left w:type="dxa" w:w="120"/>
              <w:bottom w:type="dxa" w:w="90"/>
              <w:right w:type="dxa" w:w="120"/>
            </w:tcMar>
          </w:tcPr>
          <w:p>
            <w:pPr>
              <w:spacing w:line="260"/>
            </w:pPr>
            <w:r>
              <w:rPr>
                <w:rFonts w:ascii="Calibri" w:cs="Calibri" w:eastAsia="Calibri" w:hAnsi="Calibri"/>
                <w:b w:val="false"/>
                <w:bCs w:val="false"/>
                <w:color w:val="1C1F26"/>
                <w:sz w:val="19"/>
                <w:szCs w:val="19"/>
              </w:rPr>
              <w:t xml:space="preserve">0 min</w:t>
            </w:r>
          </w:p>
        </w:tc>
        <w:tc>
          <w:tcPr>
            <w:tcW w:type="dxa" w:w="3182"/>
            <w:tcMar>
              <w:top w:type="dxa" w:w="90"/>
              <w:left w:type="dxa" w:w="120"/>
              <w:bottom w:type="dxa" w:w="90"/>
              <w:right w:type="dxa" w:w="120"/>
            </w:tcMar>
          </w:tcPr>
          <w:p>
            <w:pPr>
              <w:spacing w:line="260"/>
            </w:pPr>
            <w:r>
              <w:rPr>
                <w:rFonts w:ascii="Calibri" w:cs="Calibri" w:eastAsia="Calibri" w:hAnsi="Calibri"/>
                <w:b w:val="false"/>
                <w:bCs w:val="false"/>
                <w:color w:val="1C1F26"/>
                <w:sz w:val="19"/>
                <w:szCs w:val="19"/>
              </w:rPr>
              <w:t xml:space="preserve">Oui, totalement</w:t>
            </w:r>
          </w:p>
        </w:tc>
      </w:tr>
      <w:tr>
        <w:tc>
          <w:tcPr>
            <w:tcW w:type="dxa" w:w="4306"/>
            <w:tcMar>
              <w:top w:type="dxa" w:w="90"/>
              <w:left w:type="dxa" w:w="120"/>
              <w:bottom w:type="dxa" w:w="90"/>
              <w:right w:type="dxa" w:w="120"/>
            </w:tcMar>
          </w:tcPr>
          <w:p>
            <w:pPr>
              <w:spacing w:line="260"/>
            </w:pPr>
            <w:r>
              <w:rPr>
                <w:rFonts w:ascii="Calibri" w:cs="Calibri" w:eastAsia="Calibri" w:hAnsi="Calibri"/>
                <w:b/>
                <w:bCs/>
                <w:color w:val="1C1F26"/>
                <w:sz w:val="19"/>
                <w:szCs w:val="19"/>
              </w:rPr>
              <w:t xml:space="preserve">Relancer les non-répondants</w:t>
            </w:r>
          </w:p>
        </w:tc>
        <w:tc>
          <w:tcPr>
            <w:tcW w:type="dxa" w:w="1872"/>
            <w:tcMar>
              <w:top w:type="dxa" w:w="90"/>
              <w:left w:type="dxa" w:w="120"/>
              <w:bottom w:type="dxa" w:w="90"/>
              <w:right w:type="dxa" w:w="120"/>
            </w:tcMar>
          </w:tcPr>
          <w:p>
            <w:pPr>
              <w:spacing w:line="260"/>
            </w:pPr>
            <w:r>
              <w:rPr>
                <w:rFonts w:ascii="Calibri" w:cs="Calibri" w:eastAsia="Calibri" w:hAnsi="Calibri"/>
                <w:b w:val="false"/>
                <w:bCs w:val="false"/>
                <w:color w:val="1C1F26"/>
                <w:sz w:val="19"/>
                <w:szCs w:val="19"/>
              </w:rPr>
              <w:t xml:space="preserve">0 min</w:t>
            </w:r>
          </w:p>
        </w:tc>
        <w:tc>
          <w:tcPr>
            <w:tcW w:type="dxa" w:w="3182"/>
            <w:tcMar>
              <w:top w:type="dxa" w:w="90"/>
              <w:left w:type="dxa" w:w="120"/>
              <w:bottom w:type="dxa" w:w="90"/>
              <w:right w:type="dxa" w:w="120"/>
            </w:tcMar>
          </w:tcPr>
          <w:p>
            <w:pPr>
              <w:spacing w:line="260"/>
            </w:pPr>
            <w:r>
              <w:rPr>
                <w:rFonts w:ascii="Calibri" w:cs="Calibri" w:eastAsia="Calibri" w:hAnsi="Calibri"/>
                <w:b w:val="false"/>
                <w:bCs w:val="false"/>
                <w:color w:val="1C1F26"/>
                <w:sz w:val="19"/>
                <w:szCs w:val="19"/>
              </w:rPr>
              <w:t xml:space="preserve">Oui, totalement</w:t>
            </w:r>
          </w:p>
        </w:tc>
      </w:tr>
      <w:tr>
        <w:tc>
          <w:tcPr>
            <w:tcW w:type="dxa" w:w="4306"/>
            <w:tcMar>
              <w:top w:type="dxa" w:w="90"/>
              <w:left w:type="dxa" w:w="120"/>
              <w:bottom w:type="dxa" w:w="90"/>
              <w:right w:type="dxa" w:w="120"/>
            </w:tcMar>
          </w:tcPr>
          <w:p>
            <w:pPr>
              <w:spacing w:line="260"/>
            </w:pPr>
            <w:r>
              <w:rPr>
                <w:rFonts w:ascii="Calibri" w:cs="Calibri" w:eastAsia="Calibri" w:hAnsi="Calibri"/>
                <w:b/>
                <w:bCs/>
                <w:color w:val="1C1F26"/>
                <w:sz w:val="19"/>
                <w:szCs w:val="19"/>
              </w:rPr>
              <w:t xml:space="preserve">Agréger les réponses, calculer les taux</w:t>
            </w:r>
          </w:p>
        </w:tc>
        <w:tc>
          <w:tcPr>
            <w:tcW w:type="dxa" w:w="1872"/>
            <w:tcMar>
              <w:top w:type="dxa" w:w="90"/>
              <w:left w:type="dxa" w:w="120"/>
              <w:bottom w:type="dxa" w:w="90"/>
              <w:right w:type="dxa" w:w="120"/>
            </w:tcMar>
          </w:tcPr>
          <w:p>
            <w:pPr>
              <w:spacing w:line="260"/>
            </w:pPr>
            <w:r>
              <w:rPr>
                <w:rFonts w:ascii="Calibri" w:cs="Calibri" w:eastAsia="Calibri" w:hAnsi="Calibri"/>
                <w:b w:val="false"/>
                <w:bCs w:val="false"/>
                <w:color w:val="1C1F26"/>
                <w:sz w:val="19"/>
                <w:szCs w:val="19"/>
              </w:rPr>
              <w:t xml:space="preserve">0 min</w:t>
            </w:r>
          </w:p>
        </w:tc>
        <w:tc>
          <w:tcPr>
            <w:tcW w:type="dxa" w:w="3182"/>
            <w:tcMar>
              <w:top w:type="dxa" w:w="90"/>
              <w:left w:type="dxa" w:w="120"/>
              <w:bottom w:type="dxa" w:w="90"/>
              <w:right w:type="dxa" w:w="120"/>
            </w:tcMar>
          </w:tcPr>
          <w:p>
            <w:pPr>
              <w:spacing w:line="260"/>
            </w:pPr>
            <w:r>
              <w:rPr>
                <w:rFonts w:ascii="Calibri" w:cs="Calibri" w:eastAsia="Calibri" w:hAnsi="Calibri"/>
                <w:b w:val="false"/>
                <w:bCs w:val="false"/>
                <w:color w:val="1C1F26"/>
                <w:sz w:val="19"/>
                <w:szCs w:val="19"/>
              </w:rPr>
              <w:t xml:space="preserve">Oui, totalement</w:t>
            </w:r>
          </w:p>
        </w:tc>
      </w:tr>
      <w:tr>
        <w:tc>
          <w:tcPr>
            <w:tcW w:type="dxa" w:w="4306"/>
            <w:tcMar>
              <w:top w:type="dxa" w:w="90"/>
              <w:left w:type="dxa" w:w="120"/>
              <w:bottom w:type="dxa" w:w="90"/>
              <w:right w:type="dxa" w:w="120"/>
            </w:tcMar>
          </w:tcPr>
          <w:p>
            <w:pPr>
              <w:spacing w:line="260"/>
            </w:pPr>
            <w:r>
              <w:rPr>
                <w:rFonts w:ascii="Calibri" w:cs="Calibri" w:eastAsia="Calibri" w:hAnsi="Calibri"/>
                <w:b/>
                <w:bCs/>
                <w:color w:val="1C1F26"/>
                <w:sz w:val="19"/>
                <w:szCs w:val="19"/>
              </w:rPr>
              <w:t xml:space="preserve">Consigner et suivre les réclamations</w:t>
            </w:r>
          </w:p>
        </w:tc>
        <w:tc>
          <w:tcPr>
            <w:tcW w:type="dxa" w:w="1872"/>
            <w:tcMar>
              <w:top w:type="dxa" w:w="90"/>
              <w:left w:type="dxa" w:w="120"/>
              <w:bottom w:type="dxa" w:w="90"/>
              <w:right w:type="dxa" w:w="120"/>
            </w:tcMar>
          </w:tcPr>
          <w:p>
            <w:pPr>
              <w:spacing w:line="260"/>
            </w:pPr>
            <w:r>
              <w:rPr>
                <w:rFonts w:ascii="Calibri" w:cs="Calibri" w:eastAsia="Calibri" w:hAnsi="Calibri"/>
                <w:b w:val="false"/>
                <w:bCs w:val="false"/>
                <w:color w:val="1C1F26"/>
                <w:sz w:val="19"/>
                <w:szCs w:val="19"/>
              </w:rPr>
              <w:t xml:space="preserve">5 min</w:t>
            </w:r>
          </w:p>
        </w:tc>
        <w:tc>
          <w:tcPr>
            <w:tcW w:type="dxa" w:w="3182"/>
            <w:tcMar>
              <w:top w:type="dxa" w:w="90"/>
              <w:left w:type="dxa" w:w="120"/>
              <w:bottom w:type="dxa" w:w="90"/>
              <w:right w:type="dxa" w:w="120"/>
            </w:tcMar>
          </w:tcPr>
          <w:p>
            <w:pPr>
              <w:spacing w:line="260"/>
            </w:pPr>
            <w:r>
              <w:rPr>
                <w:rFonts w:ascii="Calibri" w:cs="Calibri" w:eastAsia="Calibri" w:hAnsi="Calibri"/>
                <w:b w:val="false"/>
                <w:bCs w:val="false"/>
                <w:color w:val="1C1F26"/>
                <w:sz w:val="19"/>
                <w:szCs w:val="19"/>
              </w:rPr>
              <w:t xml:space="preserve">Partiellement</w:t>
            </w:r>
          </w:p>
        </w:tc>
      </w:tr>
      <w:tr>
        <w:tc>
          <w:tcPr>
            <w:tcW w:type="dxa" w:w="4306"/>
            <w:tcMar>
              <w:top w:type="dxa" w:w="90"/>
              <w:left w:type="dxa" w:w="120"/>
              <w:bottom w:type="dxa" w:w="90"/>
              <w:right w:type="dxa" w:w="120"/>
            </w:tcMar>
          </w:tcPr>
          <w:p>
            <w:pPr>
              <w:spacing w:line="260"/>
            </w:pPr>
            <w:r>
              <w:rPr>
                <w:rFonts w:ascii="Calibri" w:cs="Calibri" w:eastAsia="Calibri" w:hAnsi="Calibri"/>
                <w:b/>
                <w:bCs/>
                <w:color w:val="1C1F26"/>
                <w:sz w:val="19"/>
                <w:szCs w:val="19"/>
              </w:rPr>
              <w:t xml:space="preserve">Générer le tableau de bord et le dossier de preuves</w:t>
            </w:r>
          </w:p>
        </w:tc>
        <w:tc>
          <w:tcPr>
            <w:tcW w:type="dxa" w:w="1872"/>
            <w:tcMar>
              <w:top w:type="dxa" w:w="90"/>
              <w:left w:type="dxa" w:w="120"/>
              <w:bottom w:type="dxa" w:w="90"/>
              <w:right w:type="dxa" w:w="120"/>
            </w:tcMar>
          </w:tcPr>
          <w:p>
            <w:pPr>
              <w:spacing w:line="260"/>
            </w:pPr>
            <w:r>
              <w:rPr>
                <w:rFonts w:ascii="Calibri" w:cs="Calibri" w:eastAsia="Calibri" w:hAnsi="Calibri"/>
                <w:b w:val="false"/>
                <w:bCs w:val="false"/>
                <w:color w:val="1C1F26"/>
                <w:sz w:val="19"/>
                <w:szCs w:val="19"/>
              </w:rPr>
              <w:t xml:space="preserve">0 min</w:t>
            </w:r>
          </w:p>
        </w:tc>
        <w:tc>
          <w:tcPr>
            <w:tcW w:type="dxa" w:w="3182"/>
            <w:tcMar>
              <w:top w:type="dxa" w:w="90"/>
              <w:left w:type="dxa" w:w="120"/>
              <w:bottom w:type="dxa" w:w="90"/>
              <w:right w:type="dxa" w:w="120"/>
            </w:tcMar>
          </w:tcPr>
          <w:p>
            <w:pPr>
              <w:spacing w:line="260"/>
            </w:pPr>
            <w:r>
              <w:rPr>
                <w:rFonts w:ascii="Calibri" w:cs="Calibri" w:eastAsia="Calibri" w:hAnsi="Calibri"/>
                <w:b w:val="false"/>
                <w:bCs w:val="false"/>
                <w:color w:val="1C1F26"/>
                <w:sz w:val="19"/>
                <w:szCs w:val="19"/>
              </w:rPr>
              <w:t xml:space="preserve">Oui, totalement</w:t>
            </w:r>
          </w:p>
        </w:tc>
      </w:tr>
      <w:tr>
        <w:tc>
          <w:tcPr>
            <w:tcW w:type="dxa" w:w="4306"/>
            <w:tcMar>
              <w:top w:type="dxa" w:w="90"/>
              <w:left w:type="dxa" w:w="120"/>
              <w:bottom w:type="dxa" w:w="90"/>
              <w:right w:type="dxa" w:w="120"/>
            </w:tcMar>
          </w:tcPr>
          <w:p>
            <w:pPr>
              <w:spacing w:line="260"/>
            </w:pPr>
            <w:r>
              <w:rPr>
                <w:rFonts w:ascii="Calibri" w:cs="Calibri" w:eastAsia="Calibri" w:hAnsi="Calibri"/>
                <w:b/>
                <w:bCs/>
                <w:color w:val="1C1F26"/>
                <w:sz w:val="19"/>
                <w:szCs w:val="19"/>
              </w:rPr>
              <w:t xml:space="preserve">Échanges avec le client, questions, cas particuliers</w:t>
            </w:r>
          </w:p>
        </w:tc>
        <w:tc>
          <w:tcPr>
            <w:tcW w:type="dxa" w:w="1872"/>
            <w:tcMar>
              <w:top w:type="dxa" w:w="90"/>
              <w:left w:type="dxa" w:w="120"/>
              <w:bottom w:type="dxa" w:w="90"/>
              <w:right w:type="dxa" w:w="120"/>
            </w:tcMar>
          </w:tcPr>
          <w:p>
            <w:pPr>
              <w:spacing w:line="260"/>
            </w:pPr>
            <w:r>
              <w:rPr>
                <w:rFonts w:ascii="Calibri" w:cs="Calibri" w:eastAsia="Calibri" w:hAnsi="Calibri"/>
                <w:b w:val="false"/>
                <w:bCs w:val="false"/>
                <w:color w:val="1C1F26"/>
                <w:sz w:val="19"/>
                <w:szCs w:val="19"/>
              </w:rPr>
              <w:t xml:space="preserve">15 à 20 min</w:t>
            </w:r>
          </w:p>
        </w:tc>
        <w:tc>
          <w:tcPr>
            <w:tcW w:type="dxa" w:w="3182"/>
            <w:tcMar>
              <w:top w:type="dxa" w:w="90"/>
              <w:left w:type="dxa" w:w="120"/>
              <w:bottom w:type="dxa" w:w="90"/>
              <w:right w:type="dxa" w:w="120"/>
            </w:tcMar>
          </w:tcPr>
          <w:p>
            <w:pPr>
              <w:spacing w:line="260"/>
            </w:pPr>
            <w:r>
              <w:rPr>
                <w:rFonts w:ascii="Calibri" w:cs="Calibri" w:eastAsia="Calibri" w:hAnsi="Calibri"/>
                <w:b w:val="false"/>
                <w:bCs w:val="false"/>
                <w:color w:val="1C1F26"/>
                <w:sz w:val="19"/>
                <w:szCs w:val="19"/>
              </w:rPr>
              <w:t xml:space="preserve">Non</w:t>
            </w:r>
          </w:p>
        </w:tc>
      </w:tr>
    </w:tbl>
    <w:p>
      <w:pPr>
        <w:spacing w:after="200"/>
      </w:pPr>
    </w:p>
    <w:p>
      <w:pPr>
        <w:spacing w:after="200" w:before="0" w:line="276"/>
      </w:pPr>
      <w:r>
        <w:rPr>
          <w:rFonts w:ascii="Calibri" w:cs="Calibri" w:eastAsia="Calibri" w:hAnsi="Calibri"/>
          <w:color w:val="1C1F26"/>
          <w:sz w:val="21"/>
          <w:szCs w:val="21"/>
        </w:rPr>
        <w:t xml:space="preserve">Le constat est contre-intuitif : les tâches que tout le monde appelle « le service » sont déjà gratuites. Envois, relances, calculs et documents coûtent zéro minute dès qu'ils sont câblés. Le temps vit presque entièrement dans deux endroits, faire entrer les données et parler au client. Automatiser davantage n'est donc pas le levier ; supprimer la reprise manuelle à l'entrée l'est.</w:t>
      </w:r>
    </w:p>
    <w:p>
      <w:pPr>
        <w:pStyle w:val="Heading2"/>
        <w:spacing w:after="100" w:before="280"/>
      </w:pPr>
      <w:r>
        <w:rPr>
          <w:rFonts w:ascii="Calibri" w:cs="Calibri" w:eastAsia="Calibri" w:hAnsi="Calibri"/>
          <w:b/>
          <w:bCs/>
          <w:color w:val="2A4B8D"/>
          <w:sz w:val="23"/>
          <w:szCs w:val="23"/>
        </w:rPr>
        <w:t xml:space="preserve">Supprimer l'entrée manuelle</w:t>
      </w:r>
    </w:p>
    <w:p>
      <w:pPr>
        <w:pStyle w:val="ListParagraph"/>
        <w:numPr>
          <w:ilvl w:val="0"/>
          <w:numId w:val="5"/>
        </w:numPr>
        <w:spacing w:after="90" w:line="276"/>
      </w:pPr>
      <w:r>
        <w:rPr>
          <w:rFonts w:ascii="Calibri" w:cs="Calibri" w:eastAsia="Calibri" w:hAnsi="Calibri"/>
          <w:b/>
          <w:bCs/>
          <w:color w:val="1C1F26"/>
          <w:sz w:val="21"/>
          <w:szCs w:val="21"/>
        </w:rPr>
        <w:t xml:space="preserve">Le formulaire d'auto-déclaration. </w:t>
      </w:r>
      <w:r>
        <w:rPr>
          <w:rFonts w:ascii="Calibri" w:cs="Calibri" w:eastAsia="Calibri" w:hAnsi="Calibri"/>
          <w:color w:val="1C1F26"/>
          <w:sz w:val="21"/>
          <w:szCs w:val="21"/>
        </w:rPr>
        <w:t xml:space="preserve">Le client déclare sa session à chaque fin de stage. Coût nul, mais il oublie et c'est toi qui relances : le travail est déplacé, pas supprimé. À garder comme filet, pas comme mécanisme principal.</w:t>
      </w:r>
    </w:p>
    <w:p>
      <w:pPr>
        <w:pStyle w:val="ListParagraph"/>
        <w:numPr>
          <w:ilvl w:val="0"/>
          <w:numId w:val="5"/>
        </w:numPr>
        <w:spacing w:after="90" w:line="276"/>
      </w:pPr>
      <w:r>
        <w:rPr>
          <w:rFonts w:ascii="Calibri" w:cs="Calibri" w:eastAsia="Calibri" w:hAnsi="Calibri"/>
          <w:b/>
          <w:bCs/>
          <w:color w:val="1C1F26"/>
          <w:sz w:val="21"/>
          <w:szCs w:val="21"/>
        </w:rPr>
        <w:t xml:space="preserve">Le fichier partagé. </w:t>
      </w:r>
      <w:r>
        <w:rPr>
          <w:rFonts w:ascii="Calibri" w:cs="Calibri" w:eastAsia="Calibri" w:hAnsi="Calibri"/>
          <w:color w:val="1C1F26"/>
          <w:sz w:val="21"/>
          <w:szCs w:val="21"/>
        </w:rPr>
        <w:t xml:space="preserve">Un tableur par client, lu automatiquement chaque nuit. Épouse mieux ses habitudes, mais suppose qu'il tienne un tableur propre. La moitié ne le fera pas.</w:t>
      </w:r>
    </w:p>
    <w:p>
      <w:pPr>
        <w:pStyle w:val="ListParagraph"/>
        <w:numPr>
          <w:ilvl w:val="0"/>
          <w:numId w:val="5"/>
        </w:numPr>
        <w:spacing w:after="90" w:line="276"/>
      </w:pPr>
      <w:r>
        <w:rPr>
          <w:rFonts w:ascii="Calibri" w:cs="Calibri" w:eastAsia="Calibri" w:hAnsi="Calibri"/>
          <w:b/>
          <w:bCs/>
          <w:color w:val="1C1F26"/>
          <w:sz w:val="21"/>
          <w:szCs w:val="21"/>
        </w:rPr>
        <w:t xml:space="preserve">L'extraction par modèle, la cible. </w:t>
      </w:r>
      <w:r>
        <w:rPr>
          <w:rFonts w:ascii="Calibri" w:cs="Calibri" w:eastAsia="Calibri" w:hAnsi="Calibri"/>
          <w:color w:val="1C1F26"/>
          <w:sz w:val="21"/>
          <w:szCs w:val="21"/>
        </w:rPr>
        <w:t xml:space="preserve">Le client transfère par mail ce qu'il a déjà : émargement scanné, convention, export de son outil, capture d'écran. Un modèle en extrait noms, adresses, dates et intitulé de session et remplit la base. Tu ne valides que les cas douteux. Aucune discipline demandée au client, et la tâche la plus coûteuse devient une revue de trente secondes.</w:t>
      </w:r>
    </w:p>
    <w:p>
      <w:pPr>
        <w:spacing w:after="120"/>
      </w:pPr>
    </w:p>
    <w:p>
      <w:pPr>
        <w:spacing w:after="120" w:before="0" w:line="276"/>
      </w:pPr>
      <w:r>
        <w:rPr>
          <w:rFonts w:ascii="Calibri" w:cs="Calibri" w:eastAsia="Calibri" w:hAnsi="Calibri"/>
          <w:color w:val="1C1F26"/>
          <w:sz w:val="21"/>
          <w:szCs w:val="21"/>
        </w:rPr>
        <w:t xml:space="preserve">Objectif réaliste : 45 minutes ramenées à 15 ou 20. Ce n'est pas une hypothèse gratuite, c'est le retrait de la seule tâche vraiment manuelle. Ne construis rien de tout cela avant d'avoir chronométré trois clients réels : tu automatiserais peut-être la mauvaise étape.</w:t>
      </w:r>
    </w:p>
    <w:p>
      <w:pPr>
        <w:spacing w:after="160" w:before="0" w:line="276"/>
      </w:pPr>
      <w:r>
        <w:rPr>
          <w:rFonts w:ascii="Calibri" w:cs="Calibri" w:eastAsia="Calibri" w:hAnsi="Calibri"/>
          <w:color w:val="1C1F26"/>
          <w:sz w:val="21"/>
          <w:szCs w:val="21"/>
        </w:rPr>
        <w:t xml:space="preserve">Le second poste, les échanges avec le client, ne s'automatise pas et ne doit pas l'être. Il se discipline : réponses groupées une fois par semaine, questions fréquentes documentées, et un contrat qui borne ce qui est inclus.</w:t>
      </w:r>
    </w:p>
    <w:p>
      <w:pPr>
        <w:pStyle w:val="Heading1"/>
        <w:pBdr>
          <w:bottom w:val="single" w:color="1C1F26" w:sz="12" w:space="6"/>
        </w:pBdr>
        <w:spacing w:after="160" w:before="400"/>
      </w:pPr>
      <w:r>
        <w:rPr>
          <w:rFonts w:ascii="Calibri" w:cs="Calibri" w:eastAsia="Calibri" w:hAnsi="Calibri"/>
          <w:b/>
          <w:bCs/>
          <w:color w:val="1C1F26"/>
          <w:sz w:val="28"/>
          <w:szCs w:val="28"/>
        </w:rPr>
        <w:t xml:space="preserve">7. Briser le plafond de revenu</w:t>
      </w:r>
    </w:p>
    <w:p>
      <w:pPr>
        <w:spacing w:after="160" w:before="0" w:line="276"/>
      </w:pPr>
      <w:r>
        <w:rPr>
          <w:rFonts w:ascii="Calibri" w:cs="Calibri" w:eastAsia="Calibri" w:hAnsi="Calibri"/>
          <w:color w:val="5C6270"/>
          <w:sz w:val="21"/>
          <w:szCs w:val="21"/>
        </w:rPr>
        <w:t xml:space="preserve">Le seuil de 50 clients pour 2 000 € nets est celui d'un modèle à prix unique, tout en direct, avec l'entrée de données faite à la main. Six leviers le déplacent, classés par euros gagnés rapportés à l'effort.</w:t>
      </w:r>
    </w:p>
    <w:p>
      <w:pPr>
        <w:pStyle w:val="ListParagraph"/>
        <w:numPr>
          <w:ilvl w:val="0"/>
          <w:numId w:val="6"/>
        </w:numPr>
        <w:spacing w:after="90" w:line="276"/>
      </w:pPr>
      <w:r>
        <w:rPr>
          <w:rFonts w:ascii="Calibri" w:cs="Calibri" w:eastAsia="Calibri" w:hAnsi="Calibri"/>
          <w:b/>
          <w:bCs/>
          <w:color w:val="1C1F26"/>
          <w:sz w:val="21"/>
          <w:szCs w:val="21"/>
        </w:rPr>
        <w:t xml:space="preserve">Facturer selon la taille. </w:t>
      </w:r>
      <w:r>
        <w:rPr>
          <w:rFonts w:ascii="Calibri" w:cs="Calibri" w:eastAsia="Calibri" w:hAnsi="Calibri"/>
          <w:color w:val="1C1F26"/>
          <w:sz w:val="21"/>
          <w:szCs w:val="21"/>
        </w:rPr>
        <w:t xml:space="preserve">Le plus rentable et le plus négligé. Un organisme à trois formateurs et un à quinze coûtent presque le même temps, mais le second a dix fois plus à perdre. Trois paliers, par exemple 89, 149 et 249 € selon le volume de stagiaires. Si un tiers de la base passe au palier intermédiaire et un dixième au haut, le revenu moyen par client passe de 89 à environ 120 € sans un seul client de plus.</w:t>
      </w:r>
    </w:p>
    <w:p>
      <w:pPr>
        <w:pStyle w:val="ListParagraph"/>
        <w:numPr>
          <w:ilvl w:val="0"/>
          <w:numId w:val="6"/>
        </w:numPr>
        <w:spacing w:after="90" w:line="276"/>
      </w:pPr>
      <w:r>
        <w:rPr>
          <w:rFonts w:ascii="Calibri" w:cs="Calibri" w:eastAsia="Calibri" w:hAnsi="Calibri"/>
          <w:b/>
          <w:bCs/>
          <w:color w:val="1C1F26"/>
          <w:sz w:val="21"/>
          <w:szCs w:val="21"/>
        </w:rPr>
        <w:t xml:space="preserve">Un second produit vendu à la même base. </w:t>
      </w:r>
      <w:r>
        <w:rPr>
          <w:rFonts w:ascii="Calibri" w:cs="Calibri" w:eastAsia="Calibri" w:hAnsi="Calibri"/>
          <w:color w:val="1C1F26"/>
          <w:sz w:val="21"/>
          <w:szCs w:val="21"/>
        </w:rPr>
        <w:t xml:space="preserve">Le bilan pédagogique et financier est le meilleur candidat : corvée annuelle redoutée, échéance fixe en mai, facturable environ 290 € en une fois. Vendu à la moitié des clients, il ajoute l'équivalent d'un mois et demi de chiffre d'affaires sans aucun coût d'acquisition. Le palier OPCO joue le même rôle, en plus lourd.</w:t>
      </w:r>
    </w:p>
    <w:p>
      <w:pPr>
        <w:pStyle w:val="ListParagraph"/>
        <w:numPr>
          <w:ilvl w:val="0"/>
          <w:numId w:val="6"/>
        </w:numPr>
        <w:spacing w:after="90" w:line="276"/>
      </w:pPr>
      <w:r>
        <w:rPr>
          <w:rFonts w:ascii="Calibri" w:cs="Calibri" w:eastAsia="Calibri" w:hAnsi="Calibri"/>
          <w:b/>
          <w:bCs/>
          <w:color w:val="1C1F26"/>
          <w:sz w:val="21"/>
          <w:szCs w:val="21"/>
        </w:rPr>
        <w:t xml:space="preserve">La revente en marque blanche aux consultants. </w:t>
      </w:r>
      <w:r>
        <w:rPr>
          <w:rFonts w:ascii="Calibri" w:cs="Calibri" w:eastAsia="Calibri" w:hAnsi="Calibri"/>
          <w:color w:val="1C1F26"/>
          <w:sz w:val="21"/>
          <w:szCs w:val="21"/>
        </w:rPr>
        <w:t xml:space="preserve">Au lieu de verser 25 % de commission, leur vendre le back-office à 49 € par client, qu'ils revendent sous leur nom. Une commission devient une marge, et le canal grossit sans prospection. Un consultant avec quarante clients vaut 2 000 € par mois à lui seul.</w:t>
      </w:r>
    </w:p>
    <w:p>
      <w:pPr>
        <w:pStyle w:val="ListParagraph"/>
        <w:numPr>
          <w:ilvl w:val="0"/>
          <w:numId w:val="6"/>
        </w:numPr>
        <w:spacing w:after="90" w:line="276"/>
      </w:pPr>
      <w:r>
        <w:rPr>
          <w:rFonts w:ascii="Calibri" w:cs="Calibri" w:eastAsia="Calibri" w:hAnsi="Calibri"/>
          <w:b/>
          <w:bCs/>
          <w:color w:val="1C1F26"/>
          <w:sz w:val="21"/>
          <w:szCs w:val="21"/>
        </w:rPr>
        <w:t xml:space="preserve">Le fichier de veille comme produit. </w:t>
      </w:r>
      <w:r>
        <w:rPr>
          <w:rFonts w:ascii="Calibri" w:cs="Calibri" w:eastAsia="Calibri" w:hAnsi="Calibri"/>
          <w:color w:val="1C1F26"/>
          <w:sz w:val="21"/>
          <w:szCs w:val="21"/>
        </w:rPr>
        <w:t xml:space="preserve">Le relevé quotidien des entrées et sorties de la liste publique intéresse exactement les gens à qui tu parles déjà : consultants et certificateurs cherchant des organismes fraîchement certifiés ou dont le certificat vient de tomber. Coût marginal nul, données publiques. Vérifier la licence de réutilisation avant de facturer.</w:t>
      </w:r>
    </w:p>
    <w:p>
      <w:pPr>
        <w:pStyle w:val="ListParagraph"/>
        <w:numPr>
          <w:ilvl w:val="0"/>
          <w:numId w:val="6"/>
        </w:numPr>
        <w:spacing w:after="90" w:line="276"/>
      </w:pPr>
      <w:r>
        <w:rPr>
          <w:rFonts w:ascii="Calibri" w:cs="Calibri" w:eastAsia="Calibri" w:hAnsi="Calibri"/>
          <w:b/>
          <w:bCs/>
          <w:color w:val="1C1F26"/>
          <w:sz w:val="21"/>
          <w:szCs w:val="21"/>
        </w:rPr>
        <w:t xml:space="preserve">Le prépaiement annuel à dix mois payés. </w:t>
      </w:r>
      <w:r>
        <w:rPr>
          <w:rFonts w:ascii="Calibri" w:cs="Calibri" w:eastAsia="Calibri" w:hAnsi="Calibri"/>
          <w:color w:val="1C1F26"/>
          <w:sz w:val="21"/>
          <w:szCs w:val="21"/>
        </w:rPr>
        <w:t xml:space="preserve">N'augmente pas le revenu, mais avance la trésorerie et supprime la rotation sur les souscripteurs. C'est ce qui finance les leviers précédents.</w:t>
      </w:r>
    </w:p>
    <w:p>
      <w:pPr>
        <w:pStyle w:val="ListParagraph"/>
        <w:numPr>
          <w:ilvl w:val="0"/>
          <w:numId w:val="6"/>
        </w:numPr>
        <w:spacing w:after="90" w:line="276"/>
      </w:pPr>
      <w:r>
        <w:rPr>
          <w:rFonts w:ascii="Calibri" w:cs="Calibri" w:eastAsia="Calibri" w:hAnsi="Calibri"/>
          <w:b/>
          <w:bCs/>
          <w:color w:val="1C1F26"/>
          <w:sz w:val="21"/>
          <w:szCs w:val="21"/>
        </w:rPr>
        <w:t xml:space="preserve">Monter en taille de client. </w:t>
      </w:r>
      <w:r>
        <w:rPr>
          <w:rFonts w:ascii="Calibri" w:cs="Calibri" w:eastAsia="Calibri" w:hAnsi="Calibri"/>
          <w:color w:val="1C1F26"/>
          <w:sz w:val="21"/>
          <w:szCs w:val="21"/>
        </w:rPr>
        <w:t xml:space="preserve">Organismes de cinq à vingt personnes, centres de formation d'apprentis, écoles. Panier bien supérieur, mais cycle de vente plus long et forte pression pour décrocher le téléphone. À garder pour l'année suivante.</w:t>
      </w:r>
    </w:p>
    <w:p>
      <w:pPr>
        <w:spacing w:after="160"/>
      </w:pPr>
    </w:p>
    <w:p>
      <w:pPr>
        <w:pStyle w:val="Heading2"/>
        <w:spacing w:after="100" w:before="280"/>
      </w:pPr>
      <w:r>
        <w:rPr>
          <w:rFonts w:ascii="Calibri" w:cs="Calibri" w:eastAsia="Calibri" w:hAnsi="Calibri"/>
          <w:b/>
          <w:bCs/>
          <w:color w:val="2A4B8D"/>
          <w:sz w:val="23"/>
          <w:szCs w:val="23"/>
        </w:rPr>
        <w:t xml:space="preserve">Objectifs chiffrés</w:t>
      </w:r>
    </w:p>
    <w:p>
      <w:pPr>
        <w:spacing w:after="120" w:before="0" w:line="276"/>
      </w:pPr>
      <w:r>
        <w:rPr>
          <w:rFonts w:ascii="Calibri" w:cs="Calibri" w:eastAsia="Calibri" w:hAnsi="Calibri"/>
          <w:color w:val="1C1F26"/>
          <w:sz w:val="21"/>
          <w:szCs w:val="21"/>
        </w:rPr>
        <w:t xml:space="preserve">Trois indicateurs, quatre échéances. Ce sont eux qui débloquent le plafond, pas le nombre de clients.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98"/>
        <w:gridCol w:w="2246"/>
        <w:gridCol w:w="2246"/>
        <w:gridCol w:w="3370"/>
      </w:tblGrid>
      <w:tr>
        <w:trPr>
          <w:tblHeader/>
        </w:trPr>
        <w:tc>
          <w:tcPr>
            <w:tcW w:type="dxa" w:w="1498"/>
            <w:shd w:fill="E7E6E1" w:val="clear"/>
            <w:tcMar>
              <w:top w:type="dxa" w:w="90"/>
              <w:left w:type="dxa" w:w="120"/>
              <w:bottom w:type="dxa" w:w="90"/>
              <w:right w:type="dxa" w:w="120"/>
            </w:tcMar>
          </w:tcPr>
          <w:p>
            <w:r>
              <w:rPr>
                <w:rFonts w:ascii="Calibri" w:cs="Calibri" w:eastAsia="Calibri" w:hAnsi="Calibri"/>
                <w:b/>
                <w:bCs/>
                <w:color w:val="1C1F26"/>
                <w:sz w:val="19"/>
                <w:szCs w:val="19"/>
              </w:rPr>
              <w:t xml:space="preserve">Échéance</w:t>
            </w:r>
          </w:p>
        </w:tc>
        <w:tc>
          <w:tcPr>
            <w:tcW w:type="dxa" w:w="2246"/>
            <w:shd w:fill="E7E6E1" w:val="clear"/>
            <w:tcMar>
              <w:top w:type="dxa" w:w="90"/>
              <w:left w:type="dxa" w:w="120"/>
              <w:bottom w:type="dxa" w:w="90"/>
              <w:right w:type="dxa" w:w="120"/>
            </w:tcMar>
          </w:tcPr>
          <w:p>
            <w:r>
              <w:rPr>
                <w:rFonts w:ascii="Calibri" w:cs="Calibri" w:eastAsia="Calibri" w:hAnsi="Calibri"/>
                <w:b/>
                <w:bCs/>
                <w:color w:val="1C1F26"/>
                <w:sz w:val="19"/>
                <w:szCs w:val="19"/>
              </w:rPr>
              <w:t xml:space="preserve">Temps par client</w:t>
            </w:r>
          </w:p>
        </w:tc>
        <w:tc>
          <w:tcPr>
            <w:tcW w:type="dxa" w:w="2246"/>
            <w:shd w:fill="E7E6E1" w:val="clear"/>
            <w:tcMar>
              <w:top w:type="dxa" w:w="90"/>
              <w:left w:type="dxa" w:w="120"/>
              <w:bottom w:type="dxa" w:w="90"/>
              <w:right w:type="dxa" w:w="120"/>
            </w:tcMar>
          </w:tcPr>
          <w:p>
            <w:r>
              <w:rPr>
                <w:rFonts w:ascii="Calibri" w:cs="Calibri" w:eastAsia="Calibri" w:hAnsi="Calibri"/>
                <w:b/>
                <w:bCs/>
                <w:color w:val="1C1F26"/>
                <w:sz w:val="19"/>
                <w:szCs w:val="19"/>
              </w:rPr>
              <w:t xml:space="preserve">Revenu moyen par client</w:t>
            </w:r>
          </w:p>
        </w:tc>
        <w:tc>
          <w:tcPr>
            <w:tcW w:type="dxa" w:w="3370"/>
            <w:shd w:fill="E7E6E1" w:val="clear"/>
            <w:tcMar>
              <w:top w:type="dxa" w:w="90"/>
              <w:left w:type="dxa" w:w="120"/>
              <w:bottom w:type="dxa" w:w="90"/>
              <w:right w:type="dxa" w:w="120"/>
            </w:tcMar>
          </w:tcPr>
          <w:p>
            <w:r>
              <w:rPr>
                <w:rFonts w:ascii="Calibri" w:cs="Calibri" w:eastAsia="Calibri" w:hAnsi="Calibri"/>
                <w:b/>
                <w:bCs/>
                <w:color w:val="1C1F26"/>
                <w:sz w:val="19"/>
                <w:szCs w:val="19"/>
              </w:rPr>
              <w:t xml:space="preserve">Jalon</w:t>
            </w:r>
          </w:p>
        </w:tc>
      </w:tr>
      <w:tr>
        <w:tc>
          <w:tcPr>
            <w:tcW w:type="dxa" w:w="1498"/>
            <w:tcMar>
              <w:top w:type="dxa" w:w="90"/>
              <w:left w:type="dxa" w:w="120"/>
              <w:bottom w:type="dxa" w:w="90"/>
              <w:right w:type="dxa" w:w="120"/>
            </w:tcMar>
          </w:tcPr>
          <w:p>
            <w:pPr>
              <w:spacing w:line="260"/>
            </w:pPr>
            <w:r>
              <w:rPr>
                <w:rFonts w:ascii="Calibri" w:cs="Calibri" w:eastAsia="Calibri" w:hAnsi="Calibri"/>
                <w:b/>
                <w:bCs/>
                <w:color w:val="1C1F26"/>
                <w:sz w:val="19"/>
                <w:szCs w:val="19"/>
              </w:rPr>
              <w:t xml:space="preserve">Mois 3</w:t>
            </w:r>
          </w:p>
        </w:tc>
        <w:tc>
          <w:tcPr>
            <w:tcW w:type="dxa" w:w="2246"/>
            <w:tcMar>
              <w:top w:type="dxa" w:w="90"/>
              <w:left w:type="dxa" w:w="120"/>
              <w:bottom w:type="dxa" w:w="90"/>
              <w:right w:type="dxa" w:w="120"/>
            </w:tcMar>
          </w:tcPr>
          <w:p>
            <w:pPr>
              <w:spacing w:line="260"/>
            </w:pPr>
            <w:r>
              <w:rPr>
                <w:rFonts w:ascii="Calibri" w:cs="Calibri" w:eastAsia="Calibri" w:hAnsi="Calibri"/>
                <w:b w:val="false"/>
                <w:bCs w:val="false"/>
                <w:color w:val="1C1F26"/>
                <w:sz w:val="19"/>
                <w:szCs w:val="19"/>
              </w:rPr>
              <w:t xml:space="preserve">mesuré, quel qu'il soit</w:t>
            </w:r>
          </w:p>
        </w:tc>
        <w:tc>
          <w:tcPr>
            <w:tcW w:type="dxa" w:w="2246"/>
            <w:tcMar>
              <w:top w:type="dxa" w:w="90"/>
              <w:left w:type="dxa" w:w="120"/>
              <w:bottom w:type="dxa" w:w="90"/>
              <w:right w:type="dxa" w:w="120"/>
            </w:tcMar>
          </w:tcPr>
          <w:p>
            <w:pPr>
              <w:spacing w:line="260"/>
            </w:pPr>
            <w:r>
              <w:rPr>
                <w:rFonts w:ascii="Calibri" w:cs="Calibri" w:eastAsia="Calibri" w:hAnsi="Calibri"/>
                <w:b w:val="false"/>
                <w:bCs w:val="false"/>
                <w:color w:val="1C1F26"/>
                <w:sz w:val="19"/>
                <w:szCs w:val="19"/>
              </w:rPr>
              <w:t xml:space="preserve">49 € (pilotes)</w:t>
            </w:r>
          </w:p>
        </w:tc>
        <w:tc>
          <w:tcPr>
            <w:tcW w:type="dxa" w:w="3370"/>
            <w:tcMar>
              <w:top w:type="dxa" w:w="90"/>
              <w:left w:type="dxa" w:w="120"/>
              <w:bottom w:type="dxa" w:w="90"/>
              <w:right w:type="dxa" w:w="120"/>
            </w:tcMar>
          </w:tcPr>
          <w:p>
            <w:pPr>
              <w:spacing w:line="260"/>
            </w:pPr>
            <w:r>
              <w:rPr>
                <w:rFonts w:ascii="Calibri" w:cs="Calibri" w:eastAsia="Calibri" w:hAnsi="Calibri"/>
                <w:b w:val="false"/>
                <w:bCs w:val="false"/>
                <w:color w:val="1C1F26"/>
                <w:sz w:val="19"/>
                <w:szCs w:val="19"/>
              </w:rPr>
              <w:t xml:space="preserve">Connaître le chiffre réel</w:t>
            </w:r>
          </w:p>
        </w:tc>
      </w:tr>
      <w:tr>
        <w:tc>
          <w:tcPr>
            <w:tcW w:type="dxa" w:w="1498"/>
            <w:tcMar>
              <w:top w:type="dxa" w:w="90"/>
              <w:left w:type="dxa" w:w="120"/>
              <w:bottom w:type="dxa" w:w="90"/>
              <w:right w:type="dxa" w:w="120"/>
            </w:tcMar>
          </w:tcPr>
          <w:p>
            <w:pPr>
              <w:spacing w:line="260"/>
            </w:pPr>
            <w:r>
              <w:rPr>
                <w:rFonts w:ascii="Calibri" w:cs="Calibri" w:eastAsia="Calibri" w:hAnsi="Calibri"/>
                <w:b/>
                <w:bCs/>
                <w:color w:val="1C1F26"/>
                <w:sz w:val="19"/>
                <w:szCs w:val="19"/>
              </w:rPr>
              <w:t xml:space="preserve">Mois 6</w:t>
            </w:r>
          </w:p>
        </w:tc>
        <w:tc>
          <w:tcPr>
            <w:tcW w:type="dxa" w:w="2246"/>
            <w:tcMar>
              <w:top w:type="dxa" w:w="90"/>
              <w:left w:type="dxa" w:w="120"/>
              <w:bottom w:type="dxa" w:w="90"/>
              <w:right w:type="dxa" w:w="120"/>
            </w:tcMar>
          </w:tcPr>
          <w:p>
            <w:pPr>
              <w:spacing w:line="260"/>
            </w:pPr>
            <w:r>
              <w:rPr>
                <w:rFonts w:ascii="Calibri" w:cs="Calibri" w:eastAsia="Calibri" w:hAnsi="Calibri"/>
                <w:b w:val="false"/>
                <w:bCs w:val="false"/>
                <w:color w:val="1C1F26"/>
                <w:sz w:val="19"/>
                <w:szCs w:val="19"/>
              </w:rPr>
              <w:t xml:space="preserve">moins de 25 min</w:t>
            </w:r>
          </w:p>
        </w:tc>
        <w:tc>
          <w:tcPr>
            <w:tcW w:type="dxa" w:w="2246"/>
            <w:tcMar>
              <w:top w:type="dxa" w:w="90"/>
              <w:left w:type="dxa" w:w="120"/>
              <w:bottom w:type="dxa" w:w="90"/>
              <w:right w:type="dxa" w:w="120"/>
            </w:tcMar>
          </w:tcPr>
          <w:p>
            <w:pPr>
              <w:spacing w:line="260"/>
            </w:pPr>
            <w:r>
              <w:rPr>
                <w:rFonts w:ascii="Calibri" w:cs="Calibri" w:eastAsia="Calibri" w:hAnsi="Calibri"/>
                <w:b w:val="false"/>
                <w:bCs w:val="false"/>
                <w:color w:val="1C1F26"/>
                <w:sz w:val="19"/>
                <w:szCs w:val="19"/>
              </w:rPr>
              <w:t xml:space="preserve">100 €</w:t>
            </w:r>
          </w:p>
        </w:tc>
        <w:tc>
          <w:tcPr>
            <w:tcW w:type="dxa" w:w="3370"/>
            <w:tcMar>
              <w:top w:type="dxa" w:w="90"/>
              <w:left w:type="dxa" w:w="120"/>
              <w:bottom w:type="dxa" w:w="90"/>
              <w:right w:type="dxa" w:w="120"/>
            </w:tcMar>
          </w:tcPr>
          <w:p>
            <w:pPr>
              <w:spacing w:line="260"/>
            </w:pPr>
            <w:r>
              <w:rPr>
                <w:rFonts w:ascii="Calibri" w:cs="Calibri" w:eastAsia="Calibri" w:hAnsi="Calibri"/>
                <w:b w:val="false"/>
                <w:bCs w:val="false"/>
                <w:color w:val="1C1F26"/>
                <w:sz w:val="19"/>
                <w:szCs w:val="19"/>
              </w:rPr>
              <w:t xml:space="preserve">Extraction automatique en service, paliers en place</w:t>
            </w:r>
          </w:p>
        </w:tc>
      </w:tr>
      <w:tr>
        <w:tc>
          <w:tcPr>
            <w:tcW w:type="dxa" w:w="1498"/>
            <w:tcMar>
              <w:top w:type="dxa" w:w="90"/>
              <w:left w:type="dxa" w:w="120"/>
              <w:bottom w:type="dxa" w:w="90"/>
              <w:right w:type="dxa" w:w="120"/>
            </w:tcMar>
          </w:tcPr>
          <w:p>
            <w:pPr>
              <w:spacing w:line="260"/>
            </w:pPr>
            <w:r>
              <w:rPr>
                <w:rFonts w:ascii="Calibri" w:cs="Calibri" w:eastAsia="Calibri" w:hAnsi="Calibri"/>
                <w:b/>
                <w:bCs/>
                <w:color w:val="1C1F26"/>
                <w:sz w:val="19"/>
                <w:szCs w:val="19"/>
              </w:rPr>
              <w:t xml:space="preserve">Mois 9</w:t>
            </w:r>
          </w:p>
        </w:tc>
        <w:tc>
          <w:tcPr>
            <w:tcW w:type="dxa" w:w="2246"/>
            <w:tcMar>
              <w:top w:type="dxa" w:w="90"/>
              <w:left w:type="dxa" w:w="120"/>
              <w:bottom w:type="dxa" w:w="90"/>
              <w:right w:type="dxa" w:w="120"/>
            </w:tcMar>
          </w:tcPr>
          <w:p>
            <w:pPr>
              <w:spacing w:line="260"/>
            </w:pPr>
            <w:r>
              <w:rPr>
                <w:rFonts w:ascii="Calibri" w:cs="Calibri" w:eastAsia="Calibri" w:hAnsi="Calibri"/>
                <w:b w:val="false"/>
                <w:bCs w:val="false"/>
                <w:color w:val="1C1F26"/>
                <w:sz w:val="19"/>
                <w:szCs w:val="19"/>
              </w:rPr>
              <w:t xml:space="preserve">moins de 18 min</w:t>
            </w:r>
          </w:p>
        </w:tc>
        <w:tc>
          <w:tcPr>
            <w:tcW w:type="dxa" w:w="2246"/>
            <w:tcMar>
              <w:top w:type="dxa" w:w="90"/>
              <w:left w:type="dxa" w:w="120"/>
              <w:bottom w:type="dxa" w:w="90"/>
              <w:right w:type="dxa" w:w="120"/>
            </w:tcMar>
          </w:tcPr>
          <w:p>
            <w:pPr>
              <w:spacing w:line="260"/>
            </w:pPr>
            <w:r>
              <w:rPr>
                <w:rFonts w:ascii="Calibri" w:cs="Calibri" w:eastAsia="Calibri" w:hAnsi="Calibri"/>
                <w:b w:val="false"/>
                <w:bCs w:val="false"/>
                <w:color w:val="1C1F26"/>
                <w:sz w:val="19"/>
                <w:szCs w:val="19"/>
              </w:rPr>
              <w:t xml:space="preserve">120 €</w:t>
            </w:r>
          </w:p>
        </w:tc>
        <w:tc>
          <w:tcPr>
            <w:tcW w:type="dxa" w:w="3370"/>
            <w:tcMar>
              <w:top w:type="dxa" w:w="90"/>
              <w:left w:type="dxa" w:w="120"/>
              <w:bottom w:type="dxa" w:w="90"/>
              <w:right w:type="dxa" w:w="120"/>
            </w:tcMar>
          </w:tcPr>
          <w:p>
            <w:pPr>
              <w:spacing w:line="260"/>
            </w:pPr>
            <w:r>
              <w:rPr>
                <w:rFonts w:ascii="Calibri" w:cs="Calibri" w:eastAsia="Calibri" w:hAnsi="Calibri"/>
                <w:b w:val="false"/>
                <w:bCs w:val="false"/>
                <w:color w:val="1C1F26"/>
                <w:sz w:val="19"/>
                <w:szCs w:val="19"/>
              </w:rPr>
              <w:t xml:space="preserve">Deuxième ligne de revenu lancée, 30 % du parc en prépayé annuel</w:t>
            </w:r>
          </w:p>
        </w:tc>
      </w:tr>
      <w:tr>
        <w:tc>
          <w:tcPr>
            <w:tcW w:type="dxa" w:w="1498"/>
            <w:tcMar>
              <w:top w:type="dxa" w:w="90"/>
              <w:left w:type="dxa" w:w="120"/>
              <w:bottom w:type="dxa" w:w="90"/>
              <w:right w:type="dxa" w:w="120"/>
            </w:tcMar>
          </w:tcPr>
          <w:p>
            <w:pPr>
              <w:spacing w:line="260"/>
            </w:pPr>
            <w:r>
              <w:rPr>
                <w:rFonts w:ascii="Calibri" w:cs="Calibri" w:eastAsia="Calibri" w:hAnsi="Calibri"/>
                <w:b/>
                <w:bCs/>
                <w:color w:val="1C1F26"/>
                <w:sz w:val="19"/>
                <w:szCs w:val="19"/>
              </w:rPr>
              <w:t xml:space="preserve">Mois 12</w:t>
            </w:r>
          </w:p>
        </w:tc>
        <w:tc>
          <w:tcPr>
            <w:tcW w:type="dxa" w:w="2246"/>
            <w:tcMar>
              <w:top w:type="dxa" w:w="90"/>
              <w:left w:type="dxa" w:w="120"/>
              <w:bottom w:type="dxa" w:w="90"/>
              <w:right w:type="dxa" w:w="120"/>
            </w:tcMar>
          </w:tcPr>
          <w:p>
            <w:pPr>
              <w:spacing w:line="260"/>
            </w:pPr>
            <w:r>
              <w:rPr>
                <w:rFonts w:ascii="Calibri" w:cs="Calibri" w:eastAsia="Calibri" w:hAnsi="Calibri"/>
                <w:b w:val="false"/>
                <w:bCs w:val="false"/>
                <w:color w:val="1C1F26"/>
                <w:sz w:val="19"/>
                <w:szCs w:val="19"/>
              </w:rPr>
              <w:t xml:space="preserve">moins de 15 min</w:t>
            </w:r>
          </w:p>
        </w:tc>
        <w:tc>
          <w:tcPr>
            <w:tcW w:type="dxa" w:w="2246"/>
            <w:tcMar>
              <w:top w:type="dxa" w:w="90"/>
              <w:left w:type="dxa" w:w="120"/>
              <w:bottom w:type="dxa" w:w="90"/>
              <w:right w:type="dxa" w:w="120"/>
            </w:tcMar>
          </w:tcPr>
          <w:p>
            <w:pPr>
              <w:spacing w:line="260"/>
            </w:pPr>
            <w:r>
              <w:rPr>
                <w:rFonts w:ascii="Calibri" w:cs="Calibri" w:eastAsia="Calibri" w:hAnsi="Calibri"/>
                <w:b w:val="false"/>
                <w:bCs w:val="false"/>
                <w:color w:val="1C1F26"/>
                <w:sz w:val="19"/>
                <w:szCs w:val="19"/>
              </w:rPr>
              <w:t xml:space="preserve">130 €</w:t>
            </w:r>
          </w:p>
        </w:tc>
        <w:tc>
          <w:tcPr>
            <w:tcW w:type="dxa" w:w="3370"/>
            <w:tcMar>
              <w:top w:type="dxa" w:w="90"/>
              <w:left w:type="dxa" w:w="120"/>
              <w:bottom w:type="dxa" w:w="90"/>
              <w:right w:type="dxa" w:w="120"/>
            </w:tcMar>
          </w:tcPr>
          <w:p>
            <w:pPr>
              <w:spacing w:line="260"/>
            </w:pPr>
            <w:r>
              <w:rPr>
                <w:rFonts w:ascii="Calibri" w:cs="Calibri" w:eastAsia="Calibri" w:hAnsi="Calibri"/>
                <w:b w:val="false"/>
                <w:bCs w:val="false"/>
                <w:color w:val="1C1F26"/>
                <w:sz w:val="19"/>
                <w:szCs w:val="19"/>
              </w:rPr>
              <w:t xml:space="preserve">Un revendeur en marque blanche actif</w:t>
            </w:r>
          </w:p>
        </w:tc>
      </w:tr>
    </w:tbl>
    <w:p>
      <w:pPr>
        <w:spacing w:after="200"/>
      </w:pPr>
    </w:p>
    <w:p>
      <w:pPr>
        <w:spacing w:after="160" w:before="0" w:line="276"/>
      </w:pPr>
      <w:r>
        <w:rPr>
          <w:rFonts w:ascii="Calibri" w:cs="Calibri" w:eastAsia="Calibri" w:hAnsi="Calibri"/>
          <w:color w:val="1C1F26"/>
          <w:sz w:val="21"/>
          <w:szCs w:val="21"/>
        </w:rPr>
        <w:t xml:space="preserve">À 60 clients, 130 € de revenu moyen et 15 minutes chacun, l'activité dégage environ 4 500 à 5 000 € nets pour 15 heures de livraison mensuelle. Rien de ce tableau ne se joue avant le mois 3 : la première ligne est la seule qui compte pour l'instant, et elle ne demande qu'un chronomètre.</w:t>
      </w:r>
    </w:p>
    <w:p>
      <w:pPr>
        <w:pStyle w:val="Heading1"/>
        <w:pBdr>
          <w:bottom w:val="single" w:color="1C1F26" w:sz="12" w:space="6"/>
        </w:pBdr>
        <w:spacing w:after="160" w:before="400"/>
      </w:pPr>
      <w:r>
        <w:rPr>
          <w:rFonts w:ascii="Calibri" w:cs="Calibri" w:eastAsia="Calibri" w:hAnsi="Calibri"/>
          <w:b/>
          <w:bCs/>
          <w:color w:val="1C1F26"/>
          <w:sz w:val="28"/>
          <w:szCs w:val="28"/>
        </w:rPr>
        <w:t xml:space="preserve">8. Défensabilité</w:t>
      </w:r>
    </w:p>
    <w:p>
      <w:pPr>
        <w:spacing w:after="160" w:before="0" w:line="276"/>
      </w:pPr>
      <w:r>
        <w:rPr>
          <w:rFonts w:ascii="Calibri" w:cs="Calibri" w:eastAsia="Calibri" w:hAnsi="Calibri"/>
          <w:color w:val="5C6270"/>
          <w:sz w:val="21"/>
          <w:szCs w:val="21"/>
        </w:rPr>
        <w:t xml:space="preserve">Le risque principal est qu'un éditeur intègre la fonction. Il ne s'annule pas, il se contourne. Six leviers, du plus solide au plus fragile.</w:t>
      </w:r>
    </w:p>
    <w:p>
      <w:pPr>
        <w:pStyle w:val="ListParagraph"/>
        <w:numPr>
          <w:ilvl w:val="0"/>
          <w:numId w:val="7"/>
        </w:numPr>
        <w:spacing w:after="90" w:line="276"/>
      </w:pPr>
      <w:r>
        <w:rPr>
          <w:rFonts w:ascii="Calibri" w:cs="Calibri" w:eastAsia="Calibri" w:hAnsi="Calibri"/>
          <w:b/>
          <w:bCs/>
          <w:color w:val="1C1F26"/>
          <w:sz w:val="21"/>
          <w:szCs w:val="21"/>
        </w:rPr>
        <w:t xml:space="preserve">L'engagement de mise en conformité sous 48 heures. </w:t>
      </w:r>
      <w:r>
        <w:rPr>
          <w:rFonts w:ascii="Calibri" w:cs="Calibri" w:eastAsia="Calibri" w:hAnsi="Calibri"/>
          <w:color w:val="1C1F26"/>
          <w:sz w:val="21"/>
          <w:szCs w:val="21"/>
        </w:rPr>
        <w:t xml:space="preserve">Si une pièce manque ou qu'un livrable est en défaut de ton côté, correction sous 48 heures ou mois offert. Corrigé par rapport à la version 1, qui proposait de rembourser douze mois en cas de non-conformité constatée en audit : cette promesse exposait à une décision d'auditeur sur laquelle tu n'as aucune prise. La formulation retenue reste hors de portée d'un éditeur sans créer de dette conditionnelle.</w:t>
      </w:r>
    </w:p>
    <w:p>
      <w:pPr>
        <w:pStyle w:val="ListParagraph"/>
        <w:numPr>
          <w:ilvl w:val="0"/>
          <w:numId w:val="7"/>
        </w:numPr>
        <w:spacing w:after="90" w:line="276"/>
      </w:pPr>
      <w:r>
        <w:rPr>
          <w:rFonts w:ascii="Calibri" w:cs="Calibri" w:eastAsia="Calibri" w:hAnsi="Calibri"/>
          <w:b/>
          <w:bCs/>
          <w:color w:val="1C1F26"/>
          <w:sz w:val="21"/>
          <w:szCs w:val="21"/>
        </w:rPr>
        <w:t xml:space="preserve">Les prescripteurs. </w:t>
      </w:r>
      <w:r>
        <w:rPr>
          <w:rFonts w:ascii="Calibri" w:cs="Calibri" w:eastAsia="Calibri" w:hAnsi="Calibri"/>
          <w:color w:val="1C1F26"/>
          <w:sz w:val="21"/>
          <w:szCs w:val="21"/>
        </w:rPr>
        <w:t xml:space="preserve">Quinze à vingt consultants Qualiopi indépendants, contactés par écrit, avec 25 % récurrent sur les clients apportés, ou mieux, en marque blanche. Ils préparent l'audit et ne veulent pas du suivi mensuel. Une fonction logicielle ne déloge pas une relation d'apport rémunérée. Ils ne sont pas exclusifs : le lien tient par la fiabilité, pas par le contrat.</w:t>
      </w:r>
    </w:p>
    <w:p>
      <w:pPr>
        <w:pStyle w:val="ListParagraph"/>
        <w:numPr>
          <w:ilvl w:val="0"/>
          <w:numId w:val="7"/>
        </w:numPr>
        <w:spacing w:after="90" w:line="276"/>
      </w:pPr>
      <w:r>
        <w:rPr>
          <w:rFonts w:ascii="Calibri" w:cs="Calibri" w:eastAsia="Calibri" w:hAnsi="Calibri"/>
          <w:b/>
          <w:bCs/>
          <w:color w:val="1C1F26"/>
          <w:sz w:val="21"/>
          <w:szCs w:val="21"/>
        </w:rPr>
        <w:t xml:space="preserve">Le fichier de dates d'audit. </w:t>
      </w:r>
      <w:r>
        <w:rPr>
          <w:rFonts w:ascii="Calibri" w:cs="Calibri" w:eastAsia="Calibri" w:hAnsi="Calibri"/>
          <w:color w:val="1C1F26"/>
          <w:sz w:val="21"/>
          <w:szCs w:val="21"/>
        </w:rPr>
        <w:t xml:space="preserve">Construit jour après jour à partir des relevés quotidiens, il n'existe nulle part ailleurs et ne se rattrape pas rétroactivement. Il alimente ta prospection et celle de tes prescripteurs, et c'est probablement la meilleure défense du dossier parce qu'elle se renforce toute seule avec le temps.</w:t>
      </w:r>
    </w:p>
    <w:p>
      <w:pPr>
        <w:pStyle w:val="ListParagraph"/>
        <w:numPr>
          <w:ilvl w:val="0"/>
          <w:numId w:val="7"/>
        </w:numPr>
        <w:spacing w:after="90" w:line="276"/>
      </w:pPr>
      <w:r>
        <w:rPr>
          <w:rFonts w:ascii="Calibri" w:cs="Calibri" w:eastAsia="Calibri" w:hAnsi="Calibri"/>
          <w:b/>
          <w:bCs/>
          <w:color w:val="1C1F26"/>
          <w:sz w:val="21"/>
          <w:szCs w:val="21"/>
        </w:rPr>
        <w:t xml:space="preserve">L'archive opposable. </w:t>
      </w:r>
      <w:r>
        <w:rPr>
          <w:rFonts w:ascii="Calibri" w:cs="Calibri" w:eastAsia="Calibri" w:hAnsi="Calibri"/>
          <w:color w:val="1C1F26"/>
          <w:sz w:val="21"/>
          <w:szCs w:val="21"/>
        </w:rPr>
        <w:t xml:space="preserve">La continuité pluriannuelle des preuves horodatées. L'export reste possible et documenté, par honnêteté et parce que c'est un argument de vente ; la continuité garde une valeur propre même exportable.</w:t>
      </w:r>
    </w:p>
    <w:p>
      <w:pPr>
        <w:pStyle w:val="ListParagraph"/>
        <w:numPr>
          <w:ilvl w:val="0"/>
          <w:numId w:val="7"/>
        </w:numPr>
        <w:spacing w:after="90" w:line="276"/>
      </w:pPr>
      <w:r>
        <w:rPr>
          <w:rFonts w:ascii="Calibri" w:cs="Calibri" w:eastAsia="Calibri" w:hAnsi="Calibri"/>
          <w:b/>
          <w:bCs/>
          <w:color w:val="1C1F26"/>
          <w:sz w:val="21"/>
          <w:szCs w:val="21"/>
        </w:rPr>
        <w:t xml:space="preserve">Le format reconnu. </w:t>
      </w:r>
      <w:r>
        <w:rPr>
          <w:rFonts w:ascii="Calibri" w:cs="Calibri" w:eastAsia="Calibri" w:hAnsi="Calibri"/>
          <w:color w:val="1C1F26"/>
          <w:sz w:val="21"/>
          <w:szCs w:val="21"/>
        </w:rPr>
        <w:t xml:space="preserve">Faire relire la structure du dossier de preuves par deux organismes certificateurs. Ni label ni validation, seulement une familiarité — et cela ne coûte que des e-mails.</w:t>
      </w:r>
    </w:p>
    <w:p>
      <w:pPr>
        <w:pStyle w:val="ListParagraph"/>
        <w:numPr>
          <w:ilvl w:val="0"/>
          <w:numId w:val="7"/>
        </w:numPr>
        <w:spacing w:after="90" w:line="276"/>
      </w:pPr>
      <w:r>
        <w:rPr>
          <w:rFonts w:ascii="Calibri" w:cs="Calibri" w:eastAsia="Calibri" w:hAnsi="Calibri"/>
          <w:b/>
          <w:bCs/>
          <w:color w:val="1C1F26"/>
          <w:sz w:val="21"/>
          <w:szCs w:val="21"/>
        </w:rPr>
        <w:t xml:space="preserve">L'élargissement du périmètre. </w:t>
      </w:r>
      <w:r>
        <w:rPr>
          <w:rFonts w:ascii="Calibri" w:cs="Calibri" w:eastAsia="Calibri" w:hAnsi="Calibri"/>
          <w:color w:val="1C1F26"/>
          <w:sz w:val="21"/>
          <w:szCs w:val="21"/>
        </w:rPr>
        <w:t xml:space="preserve">Des indicateurs du critère 7 vers l'ensemble du référentiel, puis le bilan pédagogique et financier, puis les OPCO. Plus la surface couverte est large, moins une fonction isolée ajoutée par un concurrent fait mal.</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4B8D" w:sz="6"/>
              <w:left w:val="single" w:color="2A4B8D" w:sz="18"/>
              <w:bottom w:val="single" w:color="2A4B8D" w:sz="6"/>
              <w:right w:val="single" w:color="2A4B8D" w:sz="6"/>
            </w:tcBorders>
            <w:shd w:fill="EDEFF4" w:val="clear"/>
            <w:tcMar>
              <w:top w:type="dxa" w:w="160"/>
              <w:left w:type="dxa" w:w="200"/>
              <w:bottom w:type="dxa" w:w="160"/>
              <w:right w:type="dxa" w:w="200"/>
            </w:tcMar>
          </w:tcPr>
          <w:p>
            <w:pPr>
              <w:spacing w:after="60"/>
            </w:pPr>
            <w:r>
              <w:rPr>
                <w:rFonts w:ascii="Calibri" w:cs="Calibri" w:eastAsia="Calibri" w:hAnsi="Calibri"/>
                <w:b/>
                <w:bCs/>
                <w:color w:val="2A4B8D"/>
                <w:sz w:val="21"/>
                <w:szCs w:val="21"/>
              </w:rPr>
              <w:t xml:space="preserve">Formulation corrigée</w:t>
            </w:r>
          </w:p>
          <w:p>
            <w:pPr>
              <w:spacing w:after="60" w:line="276"/>
            </w:pPr>
            <w:r>
              <w:rPr>
                <w:rFonts w:ascii="Calibri" w:cs="Calibri" w:eastAsia="Calibri" w:hAnsi="Calibri"/>
                <w:color w:val="1C1F26"/>
                <w:sz w:val="20"/>
                <w:szCs w:val="20"/>
              </w:rPr>
              <w:t xml:space="preserve">La version 1 affirmait qu'un éditeur « ne peut pas » offrir de garantie. C'est faux et ce n'était pas démontré. La formulation juste : il ne le fera probablement pas, parce qu'il vend un outil et non un résultat, et parce que descendre à 59 € cannibaliserait ses clients à 150-300 €. Ce sont des freins structurels, pas des impossibilités.</w:t>
            </w:r>
          </w:p>
          <w:p>
            <w:pPr>
              <w:spacing w:after="60" w:line="276"/>
            </w:pPr>
            <w:r>
              <w:rPr>
                <w:rFonts w:ascii="Calibri" w:cs="Calibri" w:eastAsia="Calibri" w:hAnsi="Calibri"/>
                <w:color w:val="1C1F26"/>
                <w:sz w:val="20"/>
                <w:szCs w:val="20"/>
              </w:rPr>
              <w:t xml:space="preserve">Signal à surveiller plutôt qu'une inquiétude diffuse : le jour où un éditeur annonce une formule d'entrée sous 79 € par mois incluant l'automatisation des évaluations, tu élargis le périmètre ou tu montes en gamme.</w:t>
            </w:r>
          </w:p>
        </w:tc>
      </w:tr>
    </w:tbl>
    <w:p>
      <w:pPr>
        <w:spacing w:after="200"/>
      </w:pPr>
    </w:p>
    <w:p>
      <w:pPr>
        <w:pStyle w:val="Heading1"/>
        <w:pBdr>
          <w:bottom w:val="single" w:color="1C1F26" w:sz="12" w:space="6"/>
        </w:pBdr>
        <w:spacing w:after="160" w:before="400"/>
      </w:pPr>
      <w:r>
        <w:rPr>
          <w:rFonts w:ascii="Calibri" w:cs="Calibri" w:eastAsia="Calibri" w:hAnsi="Calibri"/>
          <w:b/>
          <w:bCs/>
          <w:color w:val="1C1F26"/>
          <w:sz w:val="28"/>
          <w:szCs w:val="28"/>
        </w:rPr>
        <w:t xml:space="preserve">9. Économie unitaire</w:t>
      </w:r>
    </w:p>
    <w:p>
      <w:pPr>
        <w:spacing w:after="160" w:before="0" w:line="276"/>
      </w:pPr>
      <w:r>
        <w:rPr>
          <w:rFonts w:ascii="Calibri" w:cs="Calibri" w:eastAsia="Calibri" w:hAnsi="Calibri"/>
          <w:color w:val="5C6270"/>
          <w:sz w:val="21"/>
          <w:szCs w:val="21"/>
        </w:rPr>
        <w:t xml:space="preserve">Le chiffre qui décide de tout est le rapport entre les frais d'entrée et le coût d'acquisition. S'il est supérieur à un, la croissance s'autofinance.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53"/>
        <w:gridCol w:w="2246"/>
        <w:gridCol w:w="4961"/>
      </w:tblGrid>
      <w:tr>
        <w:trPr>
          <w:tblHeader/>
        </w:trPr>
        <w:tc>
          <w:tcPr>
            <w:tcW w:type="dxa" w:w="2153"/>
            <w:shd w:fill="E7E6E1" w:val="clear"/>
            <w:tcMar>
              <w:top w:type="dxa" w:w="90"/>
              <w:left w:type="dxa" w:w="120"/>
              <w:bottom w:type="dxa" w:w="90"/>
              <w:right w:type="dxa" w:w="120"/>
            </w:tcMar>
          </w:tcPr>
          <w:p>
            <w:r>
              <w:rPr>
                <w:rFonts w:ascii="Calibri" w:cs="Calibri" w:eastAsia="Calibri" w:hAnsi="Calibri"/>
                <w:b/>
                <w:bCs/>
                <w:color w:val="1C1F26"/>
                <w:sz w:val="19"/>
                <w:szCs w:val="19"/>
              </w:rPr>
              <w:t xml:space="preserve">Poste</w:t>
            </w:r>
          </w:p>
        </w:tc>
        <w:tc>
          <w:tcPr>
            <w:tcW w:type="dxa" w:w="2246"/>
            <w:shd w:fill="E7E6E1" w:val="clear"/>
            <w:tcMar>
              <w:top w:type="dxa" w:w="90"/>
              <w:left w:type="dxa" w:w="120"/>
              <w:bottom w:type="dxa" w:w="90"/>
              <w:right w:type="dxa" w:w="120"/>
            </w:tcMar>
          </w:tcPr>
          <w:p>
            <w:r>
              <w:rPr>
                <w:rFonts w:ascii="Calibri" w:cs="Calibri" w:eastAsia="Calibri" w:hAnsi="Calibri"/>
                <w:b/>
                <w:bCs/>
                <w:color w:val="1C1F26"/>
                <w:sz w:val="19"/>
                <w:szCs w:val="19"/>
              </w:rPr>
              <w:t xml:space="preserve">Valeur</w:t>
            </w:r>
          </w:p>
        </w:tc>
        <w:tc>
          <w:tcPr>
            <w:tcW w:type="dxa" w:w="4961"/>
            <w:shd w:fill="E7E6E1" w:val="clear"/>
            <w:tcMar>
              <w:top w:type="dxa" w:w="90"/>
              <w:left w:type="dxa" w:w="120"/>
              <w:bottom w:type="dxa" w:w="90"/>
              <w:right w:type="dxa" w:w="120"/>
            </w:tcMar>
          </w:tcPr>
          <w:p>
            <w:r>
              <w:rPr>
                <w:rFonts w:ascii="Calibri" w:cs="Calibri" w:eastAsia="Calibri" w:hAnsi="Calibri"/>
                <w:b/>
                <w:bCs/>
                <w:color w:val="1C1F26"/>
                <w:sz w:val="19"/>
                <w:szCs w:val="19"/>
              </w:rPr>
              <w:t xml:space="preserve">Commentaire</w:t>
            </w:r>
          </w:p>
        </w:tc>
      </w:tr>
      <w:tr>
        <w:tc>
          <w:tcPr>
            <w:tcW w:type="dxa" w:w="2153"/>
            <w:tcMar>
              <w:top w:type="dxa" w:w="90"/>
              <w:left w:type="dxa" w:w="120"/>
              <w:bottom w:type="dxa" w:w="90"/>
              <w:right w:type="dxa" w:w="120"/>
            </w:tcMar>
          </w:tcPr>
          <w:p>
            <w:pPr>
              <w:spacing w:line="260"/>
            </w:pPr>
            <w:r>
              <w:rPr>
                <w:rFonts w:ascii="Calibri" w:cs="Calibri" w:eastAsia="Calibri" w:hAnsi="Calibri"/>
                <w:b/>
                <w:bCs/>
                <w:color w:val="1C1F26"/>
                <w:sz w:val="19"/>
                <w:szCs w:val="19"/>
              </w:rPr>
              <w:t xml:space="preserve">Abonnement</w:t>
            </w:r>
          </w:p>
        </w:tc>
        <w:tc>
          <w:tcPr>
            <w:tcW w:type="dxa" w:w="2246"/>
            <w:tcMar>
              <w:top w:type="dxa" w:w="90"/>
              <w:left w:type="dxa" w:w="120"/>
              <w:bottom w:type="dxa" w:w="90"/>
              <w:right w:type="dxa" w:w="120"/>
            </w:tcMar>
          </w:tcPr>
          <w:p>
            <w:pPr>
              <w:spacing w:line="260"/>
            </w:pPr>
            <w:r>
              <w:rPr>
                <w:rFonts w:ascii="Calibri" w:cs="Calibri" w:eastAsia="Calibri" w:hAnsi="Calibri"/>
                <w:b w:val="false"/>
                <w:bCs w:val="false"/>
                <w:color w:val="1C1F26"/>
                <w:sz w:val="19"/>
                <w:szCs w:val="19"/>
              </w:rPr>
              <w:t xml:space="preserve">89 € / mois</w:t>
            </w:r>
          </w:p>
        </w:tc>
        <w:tc>
          <w:tcPr>
            <w:tcW w:type="dxa" w:w="4961"/>
            <w:tcMar>
              <w:top w:type="dxa" w:w="90"/>
              <w:left w:type="dxa" w:w="120"/>
              <w:bottom w:type="dxa" w:w="90"/>
              <w:right w:type="dxa" w:w="120"/>
            </w:tcMar>
          </w:tcPr>
          <w:p>
            <w:pPr>
              <w:spacing w:line="260"/>
            </w:pPr>
            <w:r>
              <w:rPr>
                <w:rFonts w:ascii="Calibri" w:cs="Calibri" w:eastAsia="Calibri" w:hAnsi="Calibri"/>
                <w:b w:val="false"/>
                <w:bCs w:val="false"/>
                <w:color w:val="1C1F26"/>
                <w:sz w:val="19"/>
                <w:szCs w:val="19"/>
              </w:rPr>
              <w:t xml:space="preserve">49 € à vie pour les trois pilotes ; paliers à 149 et 249 € à partir de la phase 3</w:t>
            </w:r>
          </w:p>
        </w:tc>
      </w:tr>
      <w:tr>
        <w:tc>
          <w:tcPr>
            <w:tcW w:type="dxa" w:w="2153"/>
            <w:tcMar>
              <w:top w:type="dxa" w:w="90"/>
              <w:left w:type="dxa" w:w="120"/>
              <w:bottom w:type="dxa" w:w="90"/>
              <w:right w:type="dxa" w:w="120"/>
            </w:tcMar>
          </w:tcPr>
          <w:p>
            <w:pPr>
              <w:spacing w:line="260"/>
            </w:pPr>
            <w:r>
              <w:rPr>
                <w:rFonts w:ascii="Calibri" w:cs="Calibri" w:eastAsia="Calibri" w:hAnsi="Calibri"/>
                <w:b/>
                <w:bCs/>
                <w:color w:val="1C1F26"/>
                <w:sz w:val="19"/>
                <w:szCs w:val="19"/>
              </w:rPr>
              <w:t xml:space="preserve">Frais d'entrée</w:t>
            </w:r>
          </w:p>
        </w:tc>
        <w:tc>
          <w:tcPr>
            <w:tcW w:type="dxa" w:w="2246"/>
            <w:tcMar>
              <w:top w:type="dxa" w:w="90"/>
              <w:left w:type="dxa" w:w="120"/>
              <w:bottom w:type="dxa" w:w="90"/>
              <w:right w:type="dxa" w:w="120"/>
            </w:tcMar>
          </w:tcPr>
          <w:p>
            <w:pPr>
              <w:spacing w:line="260"/>
            </w:pPr>
            <w:r>
              <w:rPr>
                <w:rFonts w:ascii="Calibri" w:cs="Calibri" w:eastAsia="Calibri" w:hAnsi="Calibri"/>
                <w:b w:val="false"/>
                <w:bCs w:val="false"/>
                <w:color w:val="1C1F26"/>
                <w:sz w:val="19"/>
                <w:szCs w:val="19"/>
              </w:rPr>
              <w:t xml:space="preserve">390 €</w:t>
            </w:r>
          </w:p>
        </w:tc>
        <w:tc>
          <w:tcPr>
            <w:tcW w:type="dxa" w:w="4961"/>
            <w:tcMar>
              <w:top w:type="dxa" w:w="90"/>
              <w:left w:type="dxa" w:w="120"/>
              <w:bottom w:type="dxa" w:w="90"/>
              <w:right w:type="dxa" w:w="120"/>
            </w:tcMar>
          </w:tcPr>
          <w:p>
            <w:pPr>
              <w:spacing w:line="260"/>
            </w:pPr>
            <w:r>
              <w:rPr>
                <w:rFonts w:ascii="Calibri" w:cs="Calibri" w:eastAsia="Calibri" w:hAnsi="Calibri"/>
                <w:b w:val="false"/>
                <w:bCs w:val="false"/>
                <w:color w:val="1C1F26"/>
                <w:sz w:val="19"/>
                <w:szCs w:val="19"/>
              </w:rPr>
              <w:t xml:space="preserve">Ils financent l'acquisition. Voir section 3 si le montant bloque la signature</w:t>
            </w:r>
          </w:p>
        </w:tc>
      </w:tr>
      <w:tr>
        <w:tc>
          <w:tcPr>
            <w:tcW w:type="dxa" w:w="2153"/>
            <w:tcMar>
              <w:top w:type="dxa" w:w="90"/>
              <w:left w:type="dxa" w:w="120"/>
              <w:bottom w:type="dxa" w:w="90"/>
              <w:right w:type="dxa" w:w="120"/>
            </w:tcMar>
          </w:tcPr>
          <w:p>
            <w:pPr>
              <w:spacing w:line="260"/>
            </w:pPr>
            <w:r>
              <w:rPr>
                <w:rFonts w:ascii="Calibri" w:cs="Calibri" w:eastAsia="Calibri" w:hAnsi="Calibri"/>
                <w:b/>
                <w:bCs/>
                <w:color w:val="1C1F26"/>
                <w:sz w:val="19"/>
                <w:szCs w:val="19"/>
              </w:rPr>
              <w:t xml:space="preserve">Commission prescripteur</w:t>
            </w:r>
          </w:p>
        </w:tc>
        <w:tc>
          <w:tcPr>
            <w:tcW w:type="dxa" w:w="2246"/>
            <w:tcMar>
              <w:top w:type="dxa" w:w="90"/>
              <w:left w:type="dxa" w:w="120"/>
              <w:bottom w:type="dxa" w:w="90"/>
              <w:right w:type="dxa" w:w="120"/>
            </w:tcMar>
          </w:tcPr>
          <w:p>
            <w:pPr>
              <w:spacing w:line="260"/>
            </w:pPr>
            <w:r>
              <w:rPr>
                <w:rFonts w:ascii="Calibri" w:cs="Calibri" w:eastAsia="Calibri" w:hAnsi="Calibri"/>
                <w:b w:val="false"/>
                <w:bCs w:val="false"/>
                <w:color w:val="1C1F26"/>
                <w:sz w:val="19"/>
                <w:szCs w:val="19"/>
              </w:rPr>
              <w:t xml:space="preserve">25 % récurrent</w:t>
            </w:r>
          </w:p>
        </w:tc>
        <w:tc>
          <w:tcPr>
            <w:tcW w:type="dxa" w:w="4961"/>
            <w:tcMar>
              <w:top w:type="dxa" w:w="90"/>
              <w:left w:type="dxa" w:w="120"/>
              <w:bottom w:type="dxa" w:w="90"/>
              <w:right w:type="dxa" w:w="120"/>
            </w:tcMar>
          </w:tcPr>
          <w:p>
            <w:pPr>
              <w:spacing w:line="260"/>
            </w:pPr>
            <w:r>
              <w:rPr>
                <w:rFonts w:ascii="Calibri" w:cs="Calibri" w:eastAsia="Calibri" w:hAnsi="Calibri"/>
                <w:b w:val="false"/>
                <w:bCs w:val="false"/>
                <w:color w:val="1C1F26"/>
                <w:sz w:val="19"/>
                <w:szCs w:val="19"/>
              </w:rPr>
              <w:t xml:space="preserve">Absente de la version 1 : c'est elle qui fait passer le seuil de 40 à 50 clients</w:t>
            </w:r>
          </w:p>
        </w:tc>
      </w:tr>
      <w:tr>
        <w:tc>
          <w:tcPr>
            <w:tcW w:type="dxa" w:w="2153"/>
            <w:tcMar>
              <w:top w:type="dxa" w:w="90"/>
              <w:left w:type="dxa" w:w="120"/>
              <w:bottom w:type="dxa" w:w="90"/>
              <w:right w:type="dxa" w:w="120"/>
            </w:tcMar>
          </w:tcPr>
          <w:p>
            <w:pPr>
              <w:spacing w:line="260"/>
            </w:pPr>
            <w:r>
              <w:rPr>
                <w:rFonts w:ascii="Calibri" w:cs="Calibri" w:eastAsia="Calibri" w:hAnsi="Calibri"/>
                <w:b/>
                <w:bCs/>
                <w:color w:val="1C1F26"/>
                <w:sz w:val="19"/>
                <w:szCs w:val="19"/>
              </w:rPr>
              <w:t xml:space="preserve">Coût de service visé</w:t>
            </w:r>
          </w:p>
        </w:tc>
        <w:tc>
          <w:tcPr>
            <w:tcW w:type="dxa" w:w="2246"/>
            <w:tcMar>
              <w:top w:type="dxa" w:w="90"/>
              <w:left w:type="dxa" w:w="120"/>
              <w:bottom w:type="dxa" w:w="90"/>
              <w:right w:type="dxa" w:w="120"/>
            </w:tcMar>
          </w:tcPr>
          <w:p>
            <w:pPr>
              <w:spacing w:line="260"/>
            </w:pPr>
            <w:r>
              <w:rPr>
                <w:rFonts w:ascii="Calibri" w:cs="Calibri" w:eastAsia="Calibri" w:hAnsi="Calibri"/>
                <w:b w:val="false"/>
                <w:bCs w:val="false"/>
                <w:color w:val="1C1F26"/>
                <w:sz w:val="19"/>
                <w:szCs w:val="19"/>
              </w:rPr>
              <w:t xml:space="preserve">moins de 45 min / mois au départ, 15 min à douze mois</w:t>
            </w:r>
          </w:p>
        </w:tc>
        <w:tc>
          <w:tcPr>
            <w:tcW w:type="dxa" w:w="4961"/>
            <w:tcMar>
              <w:top w:type="dxa" w:w="90"/>
              <w:left w:type="dxa" w:w="120"/>
              <w:bottom w:type="dxa" w:w="90"/>
              <w:right w:type="dxa" w:w="120"/>
            </w:tcMar>
          </w:tcPr>
          <w:p>
            <w:pPr>
              <w:spacing w:line="260"/>
            </w:pPr>
            <w:r>
              <w:rPr>
                <w:rFonts w:ascii="Calibri" w:cs="Calibri" w:eastAsia="Calibri" w:hAnsi="Calibri"/>
                <w:b w:val="false"/>
                <w:bCs w:val="false"/>
                <w:color w:val="1C1F26"/>
                <w:sz w:val="19"/>
                <w:szCs w:val="19"/>
              </w:rPr>
              <w:t xml:space="preserve">Mesuré au chronomètre en semaine 4, pas estimé</w:t>
            </w:r>
          </w:p>
        </w:tc>
      </w:tr>
      <w:tr>
        <w:tc>
          <w:tcPr>
            <w:tcW w:type="dxa" w:w="2153"/>
            <w:tcMar>
              <w:top w:type="dxa" w:w="90"/>
              <w:left w:type="dxa" w:w="120"/>
              <w:bottom w:type="dxa" w:w="90"/>
              <w:right w:type="dxa" w:w="120"/>
            </w:tcMar>
          </w:tcPr>
          <w:p>
            <w:pPr>
              <w:spacing w:line="260"/>
            </w:pPr>
            <w:r>
              <w:rPr>
                <w:rFonts w:ascii="Calibri" w:cs="Calibri" w:eastAsia="Calibri" w:hAnsi="Calibri"/>
                <w:b/>
                <w:bCs/>
                <w:color w:val="1C1F26"/>
                <w:sz w:val="19"/>
                <w:szCs w:val="19"/>
              </w:rPr>
              <w:t xml:space="preserve">Coûts fixes outils</w:t>
            </w:r>
          </w:p>
        </w:tc>
        <w:tc>
          <w:tcPr>
            <w:tcW w:type="dxa" w:w="2246"/>
            <w:tcMar>
              <w:top w:type="dxa" w:w="90"/>
              <w:left w:type="dxa" w:w="120"/>
              <w:bottom w:type="dxa" w:w="90"/>
              <w:right w:type="dxa" w:w="120"/>
            </w:tcMar>
          </w:tcPr>
          <w:p>
            <w:pPr>
              <w:spacing w:line="260"/>
            </w:pPr>
            <w:r>
              <w:rPr>
                <w:rFonts w:ascii="Calibri" w:cs="Calibri" w:eastAsia="Calibri" w:hAnsi="Calibri"/>
                <w:b w:val="false"/>
                <w:bCs w:val="false"/>
                <w:color w:val="1C1F26"/>
                <w:sz w:val="19"/>
                <w:szCs w:val="19"/>
              </w:rPr>
              <w:t xml:space="preserve">150 à 250 € / mois</w:t>
            </w:r>
          </w:p>
        </w:tc>
        <w:tc>
          <w:tcPr>
            <w:tcW w:type="dxa" w:w="4961"/>
            <w:tcMar>
              <w:top w:type="dxa" w:w="90"/>
              <w:left w:type="dxa" w:w="120"/>
              <w:bottom w:type="dxa" w:w="90"/>
              <w:right w:type="dxa" w:w="120"/>
            </w:tcMar>
          </w:tcPr>
          <w:p>
            <w:pPr>
              <w:spacing w:line="260"/>
            </w:pPr>
            <w:r>
              <w:rPr>
                <w:rFonts w:ascii="Calibri" w:cs="Calibri" w:eastAsia="Calibri" w:hAnsi="Calibri"/>
                <w:b w:val="false"/>
                <w:bCs w:val="false"/>
                <w:color w:val="1C1F26"/>
                <w:sz w:val="19"/>
                <w:szCs w:val="19"/>
              </w:rPr>
              <w:t xml:space="preserve">À partir du troisième mois seulement</w:t>
            </w:r>
          </w:p>
        </w:tc>
      </w:tr>
      <w:tr>
        <w:tc>
          <w:tcPr>
            <w:tcW w:type="dxa" w:w="2153"/>
            <w:tcMar>
              <w:top w:type="dxa" w:w="90"/>
              <w:left w:type="dxa" w:w="120"/>
              <w:bottom w:type="dxa" w:w="90"/>
              <w:right w:type="dxa" w:w="120"/>
            </w:tcMar>
          </w:tcPr>
          <w:p>
            <w:pPr>
              <w:spacing w:line="260"/>
            </w:pPr>
            <w:r>
              <w:rPr>
                <w:rFonts w:ascii="Calibri" w:cs="Calibri" w:eastAsia="Calibri" w:hAnsi="Calibri"/>
                <w:b/>
                <w:bCs/>
                <w:color w:val="1C1F26"/>
                <w:sz w:val="19"/>
                <w:szCs w:val="19"/>
              </w:rPr>
              <w:t xml:space="preserve">Coût d'acquisition visé</w:t>
            </w:r>
          </w:p>
        </w:tc>
        <w:tc>
          <w:tcPr>
            <w:tcW w:type="dxa" w:w="2246"/>
            <w:tcMar>
              <w:top w:type="dxa" w:w="90"/>
              <w:left w:type="dxa" w:w="120"/>
              <w:bottom w:type="dxa" w:w="90"/>
              <w:right w:type="dxa" w:w="120"/>
            </w:tcMar>
          </w:tcPr>
          <w:p>
            <w:pPr>
              <w:spacing w:line="260"/>
            </w:pPr>
            <w:r>
              <w:rPr>
                <w:rFonts w:ascii="Calibri" w:cs="Calibri" w:eastAsia="Calibri" w:hAnsi="Calibri"/>
                <w:b w:val="false"/>
                <w:bCs w:val="false"/>
                <w:color w:val="1C1F26"/>
                <w:sz w:val="19"/>
                <w:szCs w:val="19"/>
              </w:rPr>
              <w:t xml:space="preserve">moins de 250 €</w:t>
            </w:r>
          </w:p>
        </w:tc>
        <w:tc>
          <w:tcPr>
            <w:tcW w:type="dxa" w:w="4961"/>
            <w:tcMar>
              <w:top w:type="dxa" w:w="90"/>
              <w:left w:type="dxa" w:w="120"/>
              <w:bottom w:type="dxa" w:w="90"/>
              <w:right w:type="dxa" w:w="120"/>
            </w:tcMar>
          </w:tcPr>
          <w:p>
            <w:pPr>
              <w:spacing w:line="260"/>
            </w:pPr>
            <w:r>
              <w:rPr>
                <w:rFonts w:ascii="Calibri" w:cs="Calibri" w:eastAsia="Calibri" w:hAnsi="Calibri"/>
                <w:b w:val="false"/>
                <w:bCs w:val="false"/>
                <w:color w:val="1C1F26"/>
                <w:sz w:val="19"/>
                <w:szCs w:val="19"/>
              </w:rPr>
              <w:t xml:space="preserve">Couvert par les frais d'entrée dès le premier mois</w:t>
            </w:r>
          </w:p>
        </w:tc>
      </w:tr>
      <w:tr>
        <w:tc>
          <w:tcPr>
            <w:tcW w:type="dxa" w:w="2153"/>
            <w:tcMar>
              <w:top w:type="dxa" w:w="90"/>
              <w:left w:type="dxa" w:w="120"/>
              <w:bottom w:type="dxa" w:w="90"/>
              <w:right w:type="dxa" w:w="120"/>
            </w:tcMar>
          </w:tcPr>
          <w:p>
            <w:pPr>
              <w:spacing w:line="260"/>
            </w:pPr>
            <w:r>
              <w:rPr>
                <w:rFonts w:ascii="Calibri" w:cs="Calibri" w:eastAsia="Calibri" w:hAnsi="Calibri"/>
                <w:b/>
                <w:bCs/>
                <w:color w:val="1C1F26"/>
                <w:sz w:val="19"/>
                <w:szCs w:val="19"/>
              </w:rPr>
              <w:t xml:space="preserve">Rotation visée</w:t>
            </w:r>
          </w:p>
        </w:tc>
        <w:tc>
          <w:tcPr>
            <w:tcW w:type="dxa" w:w="2246"/>
            <w:tcMar>
              <w:top w:type="dxa" w:w="90"/>
              <w:left w:type="dxa" w:w="120"/>
              <w:bottom w:type="dxa" w:w="90"/>
              <w:right w:type="dxa" w:w="120"/>
            </w:tcMar>
          </w:tcPr>
          <w:p>
            <w:pPr>
              <w:spacing w:line="260"/>
            </w:pPr>
            <w:r>
              <w:rPr>
                <w:rFonts w:ascii="Calibri" w:cs="Calibri" w:eastAsia="Calibri" w:hAnsi="Calibri"/>
                <w:b w:val="false"/>
                <w:bCs w:val="false"/>
                <w:color w:val="1C1F26"/>
                <w:sz w:val="19"/>
                <w:szCs w:val="19"/>
              </w:rPr>
              <w:t xml:space="preserve">moins de 3 % / mois</w:t>
            </w:r>
          </w:p>
        </w:tc>
        <w:tc>
          <w:tcPr>
            <w:tcW w:type="dxa" w:w="4961"/>
            <w:tcMar>
              <w:top w:type="dxa" w:w="90"/>
              <w:left w:type="dxa" w:w="120"/>
              <w:bottom w:type="dxa" w:w="90"/>
              <w:right w:type="dxa" w:w="120"/>
            </w:tcMar>
          </w:tcPr>
          <w:p>
            <w:pPr>
              <w:spacing w:line="260"/>
            </w:pPr>
            <w:r>
              <w:rPr>
                <w:rFonts w:ascii="Calibri" w:cs="Calibri" w:eastAsia="Calibri" w:hAnsi="Calibri"/>
                <w:b w:val="false"/>
                <w:bCs w:val="false"/>
                <w:color w:val="1C1F26"/>
                <w:sz w:val="19"/>
                <w:szCs w:val="19"/>
              </w:rPr>
              <w:t xml:space="preserve">Valeur vie d'environ 2 900 € à 89 €</w:t>
            </w:r>
          </w:p>
        </w:tc>
      </w:tr>
      <w:tr>
        <w:tc>
          <w:tcPr>
            <w:tcW w:type="dxa" w:w="2153"/>
            <w:tcMar>
              <w:top w:type="dxa" w:w="90"/>
              <w:left w:type="dxa" w:w="120"/>
              <w:bottom w:type="dxa" w:w="90"/>
              <w:right w:type="dxa" w:w="120"/>
            </w:tcMar>
          </w:tcPr>
          <w:p>
            <w:pPr>
              <w:spacing w:line="260"/>
            </w:pPr>
            <w:r>
              <w:rPr>
                <w:rFonts w:ascii="Calibri" w:cs="Calibri" w:eastAsia="Calibri" w:hAnsi="Calibri"/>
                <w:b/>
                <w:bCs/>
                <w:color w:val="1C1F26"/>
                <w:sz w:val="19"/>
                <w:szCs w:val="19"/>
              </w:rPr>
              <w:t xml:space="preserve">Seuil personnel</w:t>
            </w:r>
          </w:p>
        </w:tc>
        <w:tc>
          <w:tcPr>
            <w:tcW w:type="dxa" w:w="2246"/>
            <w:tcMar>
              <w:top w:type="dxa" w:w="90"/>
              <w:left w:type="dxa" w:w="120"/>
              <w:bottom w:type="dxa" w:w="90"/>
              <w:right w:type="dxa" w:w="120"/>
            </w:tcMar>
          </w:tcPr>
          <w:p>
            <w:pPr>
              <w:spacing w:line="260"/>
            </w:pPr>
            <w:r>
              <w:rPr>
                <w:rFonts w:ascii="Calibri" w:cs="Calibri" w:eastAsia="Calibri" w:hAnsi="Calibri"/>
                <w:b w:val="false"/>
                <w:bCs w:val="false"/>
                <w:color w:val="1C1F26"/>
                <w:sz w:val="19"/>
                <w:szCs w:val="19"/>
              </w:rPr>
              <w:t xml:space="preserve">50 clients environ</w:t>
            </w:r>
          </w:p>
        </w:tc>
        <w:tc>
          <w:tcPr>
            <w:tcW w:type="dxa" w:w="4961"/>
            <w:tcMar>
              <w:top w:type="dxa" w:w="90"/>
              <w:left w:type="dxa" w:w="120"/>
              <w:bottom w:type="dxa" w:w="90"/>
              <w:right w:type="dxa" w:w="120"/>
            </w:tcMar>
          </w:tcPr>
          <w:p>
            <w:pPr>
              <w:spacing w:line="260"/>
            </w:pPr>
            <w:r>
              <w:rPr>
                <w:rFonts w:ascii="Calibri" w:cs="Calibri" w:eastAsia="Calibri" w:hAnsi="Calibri"/>
                <w:b w:val="false"/>
                <w:bCs w:val="false"/>
                <w:color w:val="1C1F26"/>
                <w:sz w:val="19"/>
                <w:szCs w:val="19"/>
              </w:rPr>
              <w:t xml:space="preserve">Pour 2 000 € nets, commissions et cotisations déduites</w:t>
            </w:r>
          </w:p>
        </w:tc>
      </w:tr>
    </w:tbl>
    <w:p>
      <w:pPr>
        <w:spacing w:after="200"/>
      </w:pPr>
    </w:p>
    <w:p>
      <w:pPr>
        <w:pStyle w:val="Heading2"/>
        <w:spacing w:after="100" w:before="280"/>
      </w:pPr>
      <w:r>
        <w:rPr>
          <w:rFonts w:ascii="Calibri" w:cs="Calibri" w:eastAsia="Calibri" w:hAnsi="Calibri"/>
          <w:b/>
          <w:bCs/>
          <w:color w:val="2A4B8D"/>
          <w:sz w:val="23"/>
          <w:szCs w:val="23"/>
        </w:rPr>
        <w:t xml:space="preserve">Quatre leviers de marge</w:t>
      </w:r>
    </w:p>
    <w:p>
      <w:pPr>
        <w:pStyle w:val="ListParagraph"/>
        <w:numPr>
          <w:ilvl w:val="0"/>
          <w:numId w:val="3"/>
        </w:numPr>
        <w:spacing w:after="90" w:line="276"/>
      </w:pPr>
      <w:r>
        <w:rPr>
          <w:rFonts w:ascii="Calibri" w:cs="Calibri" w:eastAsia="Calibri" w:hAnsi="Calibri"/>
          <w:b/>
          <w:bCs/>
          <w:color w:val="1C1F26"/>
          <w:sz w:val="21"/>
          <w:szCs w:val="21"/>
        </w:rPr>
        <w:t xml:space="preserve">Filtrer les organismes dormants à l'entrée. </w:t>
      </w:r>
      <w:r>
        <w:rPr>
          <w:rFonts w:ascii="Calibri" w:cs="Calibri" w:eastAsia="Calibri" w:hAnsi="Calibri"/>
          <w:color w:val="1C1F26"/>
          <w:sz w:val="21"/>
          <w:szCs w:val="21"/>
        </w:rPr>
        <w:t xml:space="preserve">Une part importante des organismes déclarés n'a presque pas d'activité et ne paie pas longtemps. Refuser en dessous d'un seuil coûte des prospects et sauve la rotation.</w:t>
      </w:r>
    </w:p>
    <w:p>
      <w:pPr>
        <w:pStyle w:val="ListParagraph"/>
        <w:numPr>
          <w:ilvl w:val="0"/>
          <w:numId w:val="3"/>
        </w:numPr>
        <w:spacing w:after="90" w:line="276"/>
      </w:pPr>
      <w:r>
        <w:rPr>
          <w:rFonts w:ascii="Calibri" w:cs="Calibri" w:eastAsia="Calibri" w:hAnsi="Calibri"/>
          <w:b/>
          <w:bCs/>
          <w:color w:val="1C1F26"/>
          <w:sz w:val="21"/>
          <w:szCs w:val="21"/>
        </w:rPr>
        <w:t xml:space="preserve">Facturer l'exception. </w:t>
      </w:r>
      <w:r>
        <w:rPr>
          <w:rFonts w:ascii="Calibri" w:cs="Calibri" w:eastAsia="Calibri" w:hAnsi="Calibri"/>
          <w:color w:val="1C1F26"/>
          <w:sz w:val="21"/>
          <w:szCs w:val="21"/>
        </w:rPr>
        <w:t xml:space="preserve">Au-delà d'un nombre de réclamations complexes ou de stagiaires inclus, facturation à l'unité. C'est ce qui empêche un client atypique de manger la marge de dix autres.</w:t>
      </w:r>
    </w:p>
    <w:p>
      <w:pPr>
        <w:pStyle w:val="ListParagraph"/>
        <w:numPr>
          <w:ilvl w:val="0"/>
          <w:numId w:val="3"/>
        </w:numPr>
        <w:spacing w:after="90" w:line="276"/>
      </w:pPr>
      <w:r>
        <w:rPr>
          <w:rFonts w:ascii="Calibri" w:cs="Calibri" w:eastAsia="Calibri" w:hAnsi="Calibri"/>
          <w:b/>
          <w:bCs/>
          <w:color w:val="1C1F26"/>
          <w:sz w:val="21"/>
          <w:szCs w:val="21"/>
        </w:rPr>
        <w:t xml:space="preserve">Surveiller le seuil de franchise de TVA. </w:t>
      </w:r>
      <w:r>
        <w:rPr>
          <w:rFonts w:ascii="Calibri" w:cs="Calibri" w:eastAsia="Calibri" w:hAnsi="Calibri"/>
          <w:color w:val="1C1F26"/>
          <w:sz w:val="21"/>
          <w:szCs w:val="21"/>
        </w:rPr>
        <w:t xml:space="preserve">À 60 clients, le chiffre d'affaires annuel dépasse largement les seuils bas discutés. Annoncer en hors taxes dès le premier devis.</w:t>
      </w:r>
    </w:p>
    <w:p>
      <w:pPr>
        <w:pStyle w:val="ListParagraph"/>
        <w:numPr>
          <w:ilvl w:val="0"/>
          <w:numId w:val="3"/>
        </w:numPr>
        <w:spacing w:after="90" w:line="276"/>
      </w:pPr>
      <w:r>
        <w:rPr>
          <w:rFonts w:ascii="Calibri" w:cs="Calibri" w:eastAsia="Calibri" w:hAnsi="Calibri"/>
          <w:b/>
          <w:bCs/>
          <w:color w:val="1C1F26"/>
          <w:sz w:val="21"/>
          <w:szCs w:val="21"/>
        </w:rPr>
        <w:t xml:space="preserve">Ne jamais brader les frais d'entrée pour conclure. </w:t>
      </w:r>
      <w:r>
        <w:rPr>
          <w:rFonts w:ascii="Calibri" w:cs="Calibri" w:eastAsia="Calibri" w:hAnsi="Calibri"/>
          <w:color w:val="1C1F26"/>
          <w:sz w:val="21"/>
          <w:szCs w:val="21"/>
        </w:rPr>
        <w:t xml:space="preserve">Une remise sur l'abonnement coûte 89 € une fois ; une remise sur l'entrée casse le modèle de financement de la croissance. Les supprimer temporairement pour tous est une décision de lancement, pas une concession individuelle.</w:t>
      </w:r>
    </w:p>
    <w:p>
      <w:pPr>
        <w:pStyle w:val="Heading1"/>
        <w:pBdr>
          <w:bottom w:val="single" w:color="1C1F26" w:sz="12" w:space="6"/>
        </w:pBdr>
        <w:spacing w:after="160" w:before="400"/>
      </w:pPr>
      <w:r>
        <w:rPr>
          <w:rFonts w:ascii="Calibri" w:cs="Calibri" w:eastAsia="Calibri" w:hAnsi="Calibri"/>
          <w:b/>
          <w:bCs/>
          <w:color w:val="1C1F26"/>
          <w:sz w:val="28"/>
          <w:szCs w:val="28"/>
        </w:rPr>
        <w:t xml:space="preserve">10. Acquisition</w:t>
      </w:r>
    </w:p>
    <w:p>
      <w:pPr>
        <w:spacing w:after="160" w:before="0" w:line="276"/>
      </w:pPr>
      <w:r>
        <w:rPr>
          <w:rFonts w:ascii="Calibri" w:cs="Calibri" w:eastAsia="Calibri" w:hAnsi="Calibri"/>
          <w:color w:val="5C6270"/>
          <w:sz w:val="21"/>
          <w:szCs w:val="21"/>
        </w:rPr>
        <w:t xml:space="preserve">Classés par coût par client obtenu, du meilleur au moins bon. Aucun ne suppose un appel.</w:t>
      </w:r>
    </w:p>
    <w:p>
      <w:pPr>
        <w:pStyle w:val="Heading2"/>
        <w:spacing w:after="100" w:before="280"/>
      </w:pPr>
      <w:r>
        <w:rPr>
          <w:rFonts w:ascii="Calibri" w:cs="Calibri" w:eastAsia="Calibri" w:hAnsi="Calibri"/>
          <w:b/>
          <w:bCs/>
          <w:color w:val="2A4B8D"/>
          <w:sz w:val="23"/>
          <w:szCs w:val="23"/>
        </w:rPr>
        <w:t xml:space="preserve">Prescripteurs — priorité absolue</w:t>
      </w:r>
    </w:p>
    <w:p>
      <w:pPr>
        <w:spacing w:after="120" w:before="0" w:line="276"/>
      </w:pPr>
      <w:r>
        <w:rPr>
          <w:rFonts w:ascii="Calibri" w:cs="Calibri" w:eastAsia="Calibri" w:hAnsi="Calibri"/>
          <w:color w:val="1C1F26"/>
          <w:sz w:val="21"/>
          <w:szCs w:val="21"/>
        </w:rPr>
        <w:t xml:space="preserve">Consultants et accompagnateurs Qualiopi indépendants, contactés par e-mail et LinkedIn avec un exemple de dossier de preuves. Un seul prescripteur actif peut valoir cinq à dix clients par an, et le relais se maintient sans travail nouveau. Préférer la marque blanche à la commission dès que la relation est établie : même volume, marge supérieure.</w:t>
      </w:r>
    </w:p>
    <w:p>
      <w:pPr>
        <w:pStyle w:val="Heading2"/>
        <w:spacing w:after="100" w:before="280"/>
      </w:pPr>
      <w:r>
        <w:rPr>
          <w:rFonts w:ascii="Calibri" w:cs="Calibri" w:eastAsia="Calibri" w:hAnsi="Calibri"/>
          <w:b/>
          <w:bCs/>
          <w:color w:val="2A4B8D"/>
          <w:sz w:val="23"/>
          <w:szCs w:val="23"/>
        </w:rPr>
        <w:t xml:space="preserve">E-mail froid déclenché</w:t>
      </w:r>
    </w:p>
    <w:p>
      <w:pPr>
        <w:spacing w:after="120" w:before="0" w:line="276"/>
      </w:pPr>
      <w:r>
        <w:rPr>
          <w:rFonts w:ascii="Calibri" w:cs="Calibri" w:eastAsia="Calibri" w:hAnsi="Calibri"/>
          <w:color w:val="1C1F26"/>
          <w:sz w:val="21"/>
          <w:szCs w:val="21"/>
        </w:rPr>
        <w:t xml:space="preserve">Le volume ne convertit pas, le déclencheur oui. Le meilleur est la proximité de l'audit de surveillance, qui demande le détour décrit en section 3 ; le second est la déclaration d'activité récente. Écrire l'objet autour de la date, pas du produit. Compter 400 à 500 contacts par vague pour que le résultat soit lisible.</w:t>
      </w:r>
    </w:p>
    <w:p>
      <w:pPr>
        <w:pStyle w:val="Heading2"/>
        <w:spacing w:after="100" w:before="280"/>
      </w:pPr>
      <w:r>
        <w:rPr>
          <w:rFonts w:ascii="Calibri" w:cs="Calibri" w:eastAsia="Calibri" w:hAnsi="Calibri"/>
          <w:b/>
          <w:bCs/>
          <w:color w:val="2A4B8D"/>
          <w:sz w:val="23"/>
          <w:szCs w:val="23"/>
        </w:rPr>
        <w:t xml:space="preserve">Référencement en longue traîne</w:t>
      </w:r>
    </w:p>
    <w:p>
      <w:pPr>
        <w:spacing w:after="120" w:before="0" w:line="276"/>
      </w:pPr>
      <w:r>
        <w:rPr>
          <w:rFonts w:ascii="Calibri" w:cs="Calibri" w:eastAsia="Calibri" w:hAnsi="Calibri"/>
          <w:color w:val="1C1F26"/>
          <w:sz w:val="21"/>
          <w:szCs w:val="21"/>
        </w:rPr>
        <w:t xml:space="preserve">Trente à quarante pages sur les requêtes exactes que tapent les responsables d'organismes : modèles de registre, exemples de questionnaire à froid, preuves attendues par indicateur. Chaque page se termine par un gabarit téléchargeable contre une adresse. C'est le canal qui travaille pendant que tu dors : rédigé par agent, relu par toi. Compter quatre à six mois avant le premier effet.</w:t>
      </w:r>
    </w:p>
    <w:p>
      <w:pPr>
        <w:pStyle w:val="Heading2"/>
        <w:spacing w:after="100" w:before="280"/>
      </w:pPr>
      <w:r>
        <w:rPr>
          <w:rFonts w:ascii="Calibri" w:cs="Calibri" w:eastAsia="Calibri" w:hAnsi="Calibri"/>
          <w:b/>
          <w:bCs/>
          <w:color w:val="2A4B8D"/>
          <w:sz w:val="23"/>
          <w:szCs w:val="23"/>
        </w:rPr>
        <w:t xml:space="preserve">LinkedIn</w:t>
      </w:r>
    </w:p>
    <w:p>
      <w:pPr>
        <w:spacing w:after="120" w:before="0" w:line="276"/>
      </w:pPr>
      <w:r>
        <w:rPr>
          <w:rFonts w:ascii="Calibri" w:cs="Calibri" w:eastAsia="Calibri" w:hAnsi="Calibri"/>
          <w:color w:val="1C1F26"/>
          <w:sz w:val="21"/>
          <w:szCs w:val="21"/>
        </w:rPr>
        <w:t xml:space="preserve">Trois publications par semaine montrant un dossier de preuves réel et anonymisé, ou une non-conformité fréquente et sa correction. Les formateurs indépendants y sont massivement présents et le contenu technique y circule bien.</w:t>
      </w:r>
    </w:p>
    <w:p>
      <w:pPr>
        <w:pStyle w:val="Heading2"/>
        <w:spacing w:after="100" w:before="280"/>
      </w:pPr>
      <w:r>
        <w:rPr>
          <w:rFonts w:ascii="Calibri" w:cs="Calibri" w:eastAsia="Calibri" w:hAnsi="Calibri"/>
          <w:b/>
          <w:bCs/>
          <w:color w:val="2A4B8D"/>
          <w:sz w:val="23"/>
          <w:szCs w:val="23"/>
        </w:rPr>
        <w:t xml:space="preserve">Communautés</w:t>
      </w:r>
    </w:p>
    <w:p>
      <w:pPr>
        <w:spacing w:after="120" w:before="0" w:line="276"/>
      </w:pPr>
      <w:r>
        <w:rPr>
          <w:rFonts w:ascii="Calibri" w:cs="Calibri" w:eastAsia="Calibri" w:hAnsi="Calibri"/>
          <w:color w:val="1C1F26"/>
          <w:sz w:val="21"/>
          <w:szCs w:val="21"/>
        </w:rPr>
        <w:t xml:space="preserve">Groupes et forums de formateurs indépendants. Présence utile, réponses techniques précises, aucune promotion directe. Cycle long, coût nul, crédibilité élevée.</w:t>
      </w:r>
    </w:p>
    <w:p>
      <w:pPr>
        <w:spacing w:after="120"/>
      </w:pPr>
    </w:p>
    <w:p>
      <w:pPr>
        <w:spacing w:after="200" w:before="0" w:line="276"/>
      </w:pPr>
      <w:r>
        <w:rPr>
          <w:rFonts w:ascii="Calibri" w:cs="Calibri" w:eastAsia="Calibri" w:hAnsi="Calibri"/>
          <w:b/>
          <w:bCs/>
          <w:color w:val="1C1F26"/>
          <w:sz w:val="21"/>
          <w:szCs w:val="21"/>
        </w:rPr>
        <w:t xml:space="preserve">Écartés : </w:t>
      </w:r>
      <w:r>
        <w:rPr>
          <w:rFonts w:ascii="Calibri" w:cs="Calibri" w:eastAsia="Calibri" w:hAnsi="Calibri"/>
          <w:color w:val="1C1F26"/>
          <w:sz w:val="21"/>
          <w:szCs w:val="21"/>
        </w:rPr>
        <w:t xml:space="preserve">publicité payante, que le panier ne supporte pas ; salons, qui imposent une présence physique ; téléphone, exclu par principe.</w:t>
      </w:r>
    </w:p>
    <w:p>
      <w:pPr>
        <w:pStyle w:val="Heading1"/>
        <w:pBdr>
          <w:bottom w:val="single" w:color="1C1F26" w:sz="12" w:space="6"/>
        </w:pBdr>
        <w:spacing w:after="160" w:before="400"/>
      </w:pPr>
      <w:r>
        <w:rPr>
          <w:rFonts w:ascii="Calibri" w:cs="Calibri" w:eastAsia="Calibri" w:hAnsi="Calibri"/>
          <w:b/>
          <w:bCs/>
          <w:color w:val="1C1F26"/>
          <w:sz w:val="28"/>
          <w:szCs w:val="28"/>
        </w:rPr>
        <w:t xml:space="preserve">11. Ce qui peut tuer le projet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70"/>
        <w:gridCol w:w="5990"/>
      </w:tblGrid>
      <w:tr>
        <w:trPr>
          <w:tblHeader/>
        </w:trPr>
        <w:tc>
          <w:tcPr>
            <w:tcW w:type="dxa" w:w="3370"/>
            <w:shd w:fill="E7E6E1" w:val="clear"/>
            <w:tcMar>
              <w:top w:type="dxa" w:w="90"/>
              <w:left w:type="dxa" w:w="120"/>
              <w:bottom w:type="dxa" w:w="90"/>
              <w:right w:type="dxa" w:w="120"/>
            </w:tcMar>
          </w:tcPr>
          <w:p>
            <w:r>
              <w:rPr>
                <w:rFonts w:ascii="Calibri" w:cs="Calibri" w:eastAsia="Calibri" w:hAnsi="Calibri"/>
                <w:b/>
                <w:bCs/>
                <w:color w:val="1C1F26"/>
                <w:sz w:val="19"/>
                <w:szCs w:val="19"/>
              </w:rPr>
              <w:t xml:space="preserve">Risque</w:t>
            </w:r>
          </w:p>
        </w:tc>
        <w:tc>
          <w:tcPr>
            <w:tcW w:type="dxa" w:w="5990"/>
            <w:shd w:fill="E7E6E1" w:val="clear"/>
            <w:tcMar>
              <w:top w:type="dxa" w:w="90"/>
              <w:left w:type="dxa" w:w="120"/>
              <w:bottom w:type="dxa" w:w="90"/>
              <w:right w:type="dxa" w:w="120"/>
            </w:tcMar>
          </w:tcPr>
          <w:p>
            <w:r>
              <w:rPr>
                <w:rFonts w:ascii="Calibri" w:cs="Calibri" w:eastAsia="Calibri" w:hAnsi="Calibri"/>
                <w:b/>
                <w:bCs/>
                <w:color w:val="1C1F26"/>
                <w:sz w:val="19"/>
                <w:szCs w:val="19"/>
              </w:rPr>
              <w:t xml:space="preserve">Parade</w:t>
            </w:r>
          </w:p>
        </w:tc>
      </w:tr>
      <w:tr>
        <w:tc>
          <w:tcPr>
            <w:tcW w:type="dxa" w:w="3370"/>
            <w:tcMar>
              <w:top w:type="dxa" w:w="90"/>
              <w:left w:type="dxa" w:w="120"/>
              <w:bottom w:type="dxa" w:w="90"/>
              <w:right w:type="dxa" w:w="120"/>
            </w:tcMar>
          </w:tcPr>
          <w:p>
            <w:pPr>
              <w:spacing w:line="260"/>
            </w:pPr>
            <w:r>
              <w:rPr>
                <w:rFonts w:ascii="Calibri" w:cs="Calibri" w:eastAsia="Calibri" w:hAnsi="Calibri"/>
                <w:b/>
                <w:bCs/>
                <w:color w:val="1C1F26"/>
                <w:sz w:val="19"/>
                <w:szCs w:val="19"/>
              </w:rPr>
              <w:t xml:space="preserve">Personne ne paie au prix prévu</w:t>
            </w:r>
          </w:p>
        </w:tc>
        <w:tc>
          <w:tcPr>
            <w:tcW w:type="dxa" w:w="5990"/>
            <w:tcMar>
              <w:top w:type="dxa" w:w="90"/>
              <w:left w:type="dxa" w:w="120"/>
              <w:bottom w:type="dxa" w:w="90"/>
              <w:right w:type="dxa" w:w="120"/>
            </w:tcMar>
          </w:tcPr>
          <w:p>
            <w:pPr>
              <w:spacing w:line="260"/>
            </w:pPr>
            <w:r>
              <w:rPr>
                <w:rFonts w:ascii="Calibri" w:cs="Calibri" w:eastAsia="Calibri" w:hAnsi="Calibri"/>
                <w:b w:val="false"/>
                <w:bCs w:val="false"/>
                <w:color w:val="1C1F26"/>
                <w:sz w:val="19"/>
                <w:szCs w:val="19"/>
              </w:rPr>
              <w:t xml:space="preserve">C'est le risque principal et il n'a pas de parade : c'est l'objet du test à trente jours</w:t>
            </w:r>
          </w:p>
        </w:tc>
      </w:tr>
      <w:tr>
        <w:tc>
          <w:tcPr>
            <w:tcW w:type="dxa" w:w="3370"/>
            <w:tcMar>
              <w:top w:type="dxa" w:w="90"/>
              <w:left w:type="dxa" w:w="120"/>
              <w:bottom w:type="dxa" w:w="90"/>
              <w:right w:type="dxa" w:w="120"/>
            </w:tcMar>
          </w:tcPr>
          <w:p>
            <w:pPr>
              <w:spacing w:line="260"/>
            </w:pPr>
            <w:r>
              <w:rPr>
                <w:rFonts w:ascii="Calibri" w:cs="Calibri" w:eastAsia="Calibri" w:hAnsi="Calibri"/>
                <w:b/>
                <w:bCs/>
                <w:color w:val="1C1F26"/>
                <w:sz w:val="19"/>
                <w:szCs w:val="19"/>
              </w:rPr>
              <w:t xml:space="preserve">Décalage entre douleur ponctuelle et abonnement mensuel</w:t>
            </w:r>
          </w:p>
        </w:tc>
        <w:tc>
          <w:tcPr>
            <w:tcW w:type="dxa" w:w="5990"/>
            <w:tcMar>
              <w:top w:type="dxa" w:w="90"/>
              <w:left w:type="dxa" w:w="120"/>
              <w:bottom w:type="dxa" w:w="90"/>
              <w:right w:type="dxa" w:w="120"/>
            </w:tcMar>
          </w:tcPr>
          <w:p>
            <w:pPr>
              <w:spacing w:line="260"/>
            </w:pPr>
            <w:r>
              <w:rPr>
                <w:rFonts w:ascii="Calibri" w:cs="Calibri" w:eastAsia="Calibri" w:hAnsi="Calibri"/>
                <w:b w:val="false"/>
                <w:bCs w:val="false"/>
                <w:color w:val="1C1F26"/>
                <w:sz w:val="19"/>
                <w:szCs w:val="19"/>
              </w:rPr>
              <w:t xml:space="preserve">Vendre au déclencheur d'audit ; ajouter une deuxième ligne de revenu à échéance fixe</w:t>
            </w:r>
          </w:p>
        </w:tc>
      </w:tr>
      <w:tr>
        <w:tc>
          <w:tcPr>
            <w:tcW w:type="dxa" w:w="3370"/>
            <w:tcMar>
              <w:top w:type="dxa" w:w="90"/>
              <w:left w:type="dxa" w:w="120"/>
              <w:bottom w:type="dxa" w:w="90"/>
              <w:right w:type="dxa" w:w="120"/>
            </w:tcMar>
          </w:tcPr>
          <w:p>
            <w:pPr>
              <w:spacing w:line="260"/>
            </w:pPr>
            <w:r>
              <w:rPr>
                <w:rFonts w:ascii="Calibri" w:cs="Calibri" w:eastAsia="Calibri" w:hAnsi="Calibri"/>
                <w:b/>
                <w:bCs/>
                <w:color w:val="1C1F26"/>
                <w:sz w:val="19"/>
                <w:szCs w:val="19"/>
              </w:rPr>
              <w:t xml:space="preserve">Aucune réponse à l'e-mail froid</w:t>
            </w:r>
          </w:p>
        </w:tc>
        <w:tc>
          <w:tcPr>
            <w:tcW w:type="dxa" w:w="5990"/>
            <w:tcMar>
              <w:top w:type="dxa" w:w="90"/>
              <w:left w:type="dxa" w:w="120"/>
              <w:bottom w:type="dxa" w:w="90"/>
              <w:right w:type="dxa" w:w="120"/>
            </w:tcMar>
          </w:tcPr>
          <w:p>
            <w:pPr>
              <w:spacing w:line="260"/>
            </w:pPr>
            <w:r>
              <w:rPr>
                <w:rFonts w:ascii="Calibri" w:cs="Calibri" w:eastAsia="Calibri" w:hAnsi="Calibri"/>
                <w:b w:val="false"/>
                <w:bCs w:val="false"/>
                <w:color w:val="1C1F26"/>
                <w:sz w:val="19"/>
                <w:szCs w:val="19"/>
              </w:rPr>
              <w:t xml:space="preserve">Changer de déclencheur avant de changer de message : le segment se teste, pas la formulation</w:t>
            </w:r>
          </w:p>
        </w:tc>
      </w:tr>
      <w:tr>
        <w:tc>
          <w:tcPr>
            <w:tcW w:type="dxa" w:w="3370"/>
            <w:tcMar>
              <w:top w:type="dxa" w:w="90"/>
              <w:left w:type="dxa" w:w="120"/>
              <w:bottom w:type="dxa" w:w="90"/>
              <w:right w:type="dxa" w:w="120"/>
            </w:tcMar>
          </w:tcPr>
          <w:p>
            <w:pPr>
              <w:spacing w:line="260"/>
            </w:pPr>
            <w:r>
              <w:rPr>
                <w:rFonts w:ascii="Calibri" w:cs="Calibri" w:eastAsia="Calibri" w:hAnsi="Calibri"/>
                <w:b/>
                <w:bCs/>
                <w:color w:val="1C1F26"/>
                <w:sz w:val="19"/>
                <w:szCs w:val="19"/>
              </w:rPr>
              <w:t xml:space="preserve">Un éditeur intègre la fonction</w:t>
            </w:r>
          </w:p>
        </w:tc>
        <w:tc>
          <w:tcPr>
            <w:tcW w:type="dxa" w:w="5990"/>
            <w:tcMar>
              <w:top w:type="dxa" w:w="90"/>
              <w:left w:type="dxa" w:w="120"/>
              <w:bottom w:type="dxa" w:w="90"/>
              <w:right w:type="dxa" w:w="120"/>
            </w:tcMar>
          </w:tcPr>
          <w:p>
            <w:pPr>
              <w:spacing w:line="260"/>
            </w:pPr>
            <w:r>
              <w:rPr>
                <w:rFonts w:ascii="Calibri" w:cs="Calibri" w:eastAsia="Calibri" w:hAnsi="Calibri"/>
                <w:b w:val="false"/>
                <w:bCs w:val="false"/>
                <w:color w:val="1C1F26"/>
                <w:sz w:val="19"/>
                <w:szCs w:val="19"/>
              </w:rPr>
              <w:t xml:space="preserve">Prescripteurs, fichier de dates, engagement de service ; élargir le périmètre au signal décrit en section 8</w:t>
            </w:r>
          </w:p>
        </w:tc>
      </w:tr>
      <w:tr>
        <w:tc>
          <w:tcPr>
            <w:tcW w:type="dxa" w:w="3370"/>
            <w:tcMar>
              <w:top w:type="dxa" w:w="90"/>
              <w:left w:type="dxa" w:w="120"/>
              <w:bottom w:type="dxa" w:w="90"/>
              <w:right w:type="dxa" w:w="120"/>
            </w:tcMar>
          </w:tcPr>
          <w:p>
            <w:pPr>
              <w:spacing w:line="260"/>
            </w:pPr>
            <w:r>
              <w:rPr>
                <w:rFonts w:ascii="Calibri" w:cs="Calibri" w:eastAsia="Calibri" w:hAnsi="Calibri"/>
                <w:b/>
                <w:bCs/>
                <w:color w:val="1C1F26"/>
                <w:sz w:val="19"/>
                <w:szCs w:val="19"/>
              </w:rPr>
              <w:t xml:space="preserve">Le temps par client ne descend pas</w:t>
            </w:r>
          </w:p>
        </w:tc>
        <w:tc>
          <w:tcPr>
            <w:tcW w:type="dxa" w:w="5990"/>
            <w:tcMar>
              <w:top w:type="dxa" w:w="90"/>
              <w:left w:type="dxa" w:w="120"/>
              <w:bottom w:type="dxa" w:w="90"/>
              <w:right w:type="dxa" w:w="120"/>
            </w:tcMar>
          </w:tcPr>
          <w:p>
            <w:pPr>
              <w:spacing w:line="260"/>
            </w:pPr>
            <w:r>
              <w:rPr>
                <w:rFonts w:ascii="Calibri" w:cs="Calibri" w:eastAsia="Calibri" w:hAnsi="Calibri"/>
                <w:b w:val="false"/>
                <w:bCs w:val="false"/>
                <w:color w:val="1C1F26"/>
                <w:sz w:val="19"/>
                <w:szCs w:val="19"/>
              </w:rPr>
              <w:t xml:space="preserve">L'extraction automatique est la condition de passage au mois 6 ; sans elle, plafonner le nombre de clients</w:t>
            </w:r>
          </w:p>
        </w:tc>
      </w:tr>
      <w:tr>
        <w:tc>
          <w:tcPr>
            <w:tcW w:type="dxa" w:w="3370"/>
            <w:tcMar>
              <w:top w:type="dxa" w:w="90"/>
              <w:left w:type="dxa" w:w="120"/>
              <w:bottom w:type="dxa" w:w="90"/>
              <w:right w:type="dxa" w:w="120"/>
            </w:tcMar>
          </w:tcPr>
          <w:p>
            <w:pPr>
              <w:spacing w:line="260"/>
            </w:pPr>
            <w:r>
              <w:rPr>
                <w:rFonts w:ascii="Calibri" w:cs="Calibri" w:eastAsia="Calibri" w:hAnsi="Calibri"/>
                <w:b/>
                <w:bCs/>
                <w:color w:val="1C1F26"/>
                <w:sz w:val="19"/>
                <w:szCs w:val="19"/>
              </w:rPr>
              <w:t xml:space="preserve">Rotation élevée</w:t>
            </w:r>
          </w:p>
        </w:tc>
        <w:tc>
          <w:tcPr>
            <w:tcW w:type="dxa" w:w="5990"/>
            <w:tcMar>
              <w:top w:type="dxa" w:w="90"/>
              <w:left w:type="dxa" w:w="120"/>
              <w:bottom w:type="dxa" w:w="90"/>
              <w:right w:type="dxa" w:w="120"/>
            </w:tcMar>
          </w:tcPr>
          <w:p>
            <w:pPr>
              <w:spacing w:line="260"/>
            </w:pPr>
            <w:r>
              <w:rPr>
                <w:rFonts w:ascii="Calibri" w:cs="Calibri" w:eastAsia="Calibri" w:hAnsi="Calibri"/>
                <w:b w:val="false"/>
                <w:bCs w:val="false"/>
                <w:color w:val="1C1F26"/>
                <w:sz w:val="19"/>
                <w:szCs w:val="19"/>
              </w:rPr>
              <w:t xml:space="preserve">Filtre d'activité à l'entrée et prépaiement annuel</w:t>
            </w:r>
          </w:p>
        </w:tc>
      </w:tr>
      <w:tr>
        <w:tc>
          <w:tcPr>
            <w:tcW w:type="dxa" w:w="3370"/>
            <w:tcMar>
              <w:top w:type="dxa" w:w="90"/>
              <w:left w:type="dxa" w:w="120"/>
              <w:bottom w:type="dxa" w:w="90"/>
              <w:right w:type="dxa" w:w="120"/>
            </w:tcMar>
          </w:tcPr>
          <w:p>
            <w:pPr>
              <w:spacing w:line="260"/>
            </w:pPr>
            <w:r>
              <w:rPr>
                <w:rFonts w:ascii="Calibri" w:cs="Calibri" w:eastAsia="Calibri" w:hAnsi="Calibri"/>
                <w:b/>
                <w:bCs/>
                <w:color w:val="1C1F26"/>
                <w:sz w:val="19"/>
                <w:szCs w:val="19"/>
              </w:rPr>
              <w:t xml:space="preserve">Le palier OPCO fait exploser la charge</w:t>
            </w:r>
          </w:p>
        </w:tc>
        <w:tc>
          <w:tcPr>
            <w:tcW w:type="dxa" w:w="5990"/>
            <w:tcMar>
              <w:top w:type="dxa" w:w="90"/>
              <w:left w:type="dxa" w:w="120"/>
              <w:bottom w:type="dxa" w:w="90"/>
              <w:right w:type="dxa" w:w="120"/>
            </w:tcMar>
          </w:tcPr>
          <w:p>
            <w:pPr>
              <w:spacing w:line="260"/>
            </w:pPr>
            <w:r>
              <w:rPr>
                <w:rFonts w:ascii="Calibri" w:cs="Calibri" w:eastAsia="Calibri" w:hAnsi="Calibri"/>
                <w:b w:val="false"/>
                <w:bCs w:val="false"/>
                <w:color w:val="1C1F26"/>
                <w:sz w:val="19"/>
                <w:szCs w:val="19"/>
              </w:rPr>
              <w:t xml:space="preserve">Deux financeurs maximum, refus assumé des autres</w:t>
            </w:r>
          </w:p>
        </w:tc>
      </w:tr>
      <w:tr>
        <w:tc>
          <w:tcPr>
            <w:tcW w:type="dxa" w:w="3370"/>
            <w:tcMar>
              <w:top w:type="dxa" w:w="90"/>
              <w:left w:type="dxa" w:w="120"/>
              <w:bottom w:type="dxa" w:w="90"/>
              <w:right w:type="dxa" w:w="120"/>
            </w:tcMar>
          </w:tcPr>
          <w:p>
            <w:pPr>
              <w:spacing w:line="260"/>
            </w:pPr>
            <w:r>
              <w:rPr>
                <w:rFonts w:ascii="Calibri" w:cs="Calibri" w:eastAsia="Calibri" w:hAnsi="Calibri"/>
                <w:b/>
                <w:bCs/>
                <w:color w:val="1C1F26"/>
                <w:sz w:val="19"/>
                <w:szCs w:val="19"/>
              </w:rPr>
              <w:t xml:space="preserve">Réforme du référentiel qualité</w:t>
            </w:r>
          </w:p>
        </w:tc>
        <w:tc>
          <w:tcPr>
            <w:tcW w:type="dxa" w:w="5990"/>
            <w:tcMar>
              <w:top w:type="dxa" w:w="90"/>
              <w:left w:type="dxa" w:w="120"/>
              <w:bottom w:type="dxa" w:w="90"/>
              <w:right w:type="dxa" w:w="120"/>
            </w:tcMar>
          </w:tcPr>
          <w:p>
            <w:pPr>
              <w:spacing w:line="260"/>
            </w:pPr>
            <w:r>
              <w:rPr>
                <w:rFonts w:ascii="Calibri" w:cs="Calibri" w:eastAsia="Calibri" w:hAnsi="Calibri"/>
                <w:b w:val="false"/>
                <w:bCs w:val="false"/>
                <w:color w:val="1C1F26"/>
                <w:sz w:val="19"/>
                <w:szCs w:val="19"/>
              </w:rPr>
              <w:t xml:space="preserve">Veille France Compétences, élargissement du périmètre couvert</w:t>
            </w:r>
          </w:p>
        </w:tc>
      </w:tr>
      <w:tr>
        <w:tc>
          <w:tcPr>
            <w:tcW w:type="dxa" w:w="3370"/>
            <w:tcMar>
              <w:top w:type="dxa" w:w="90"/>
              <w:left w:type="dxa" w:w="120"/>
              <w:bottom w:type="dxa" w:w="90"/>
              <w:right w:type="dxa" w:w="120"/>
            </w:tcMar>
          </w:tcPr>
          <w:p>
            <w:pPr>
              <w:spacing w:line="260"/>
            </w:pPr>
            <w:r>
              <w:rPr>
                <w:rFonts w:ascii="Calibri" w:cs="Calibri" w:eastAsia="Calibri" w:hAnsi="Calibri"/>
                <w:b/>
                <w:bCs/>
                <w:color w:val="1C1F26"/>
                <w:sz w:val="19"/>
                <w:szCs w:val="19"/>
              </w:rPr>
              <w:t xml:space="preserve">Abandon à la semaine six</w:t>
            </w:r>
          </w:p>
        </w:tc>
        <w:tc>
          <w:tcPr>
            <w:tcW w:type="dxa" w:w="5990"/>
            <w:tcMar>
              <w:top w:type="dxa" w:w="90"/>
              <w:left w:type="dxa" w:w="120"/>
              <w:bottom w:type="dxa" w:w="90"/>
              <w:right w:type="dxa" w:w="120"/>
            </w:tcMar>
          </w:tcPr>
          <w:p>
            <w:pPr>
              <w:spacing w:line="260"/>
            </w:pPr>
            <w:r>
              <w:rPr>
                <w:rFonts w:ascii="Calibri" w:cs="Calibri" w:eastAsia="Calibri" w:hAnsi="Calibri"/>
                <w:b w:val="false"/>
                <w:bCs w:val="false"/>
                <w:color w:val="1C1F26"/>
                <w:sz w:val="19"/>
                <w:szCs w:val="19"/>
              </w:rPr>
              <w:t xml:space="preserve">Décisions écrites aux jours 30 et 60 et à chaque fin de phase ; aucun nouveau projet avant juin</w:t>
            </w:r>
          </w:p>
        </w:tc>
      </w:tr>
    </w:tbl>
    <w:p>
      <w:pPr>
        <w:spacing w:after="200"/>
      </w:pPr>
    </w:p>
    <w:p>
      <w:pPr>
        <w:spacing w:after="200" w:before="0" w:line="276"/>
      </w:pPr>
      <w:r>
        <w:rPr>
          <w:rFonts w:ascii="Calibri" w:cs="Calibri" w:eastAsia="Calibri" w:hAnsi="Calibri"/>
          <w:color w:val="1C1F26"/>
          <w:sz w:val="21"/>
          <w:szCs w:val="21"/>
        </w:rPr>
        <w:t xml:space="preserve">Le dernier risque est de loin le plus probable, et le seul contre lequel aucun levier commercial ne peut rien.</w:t>
      </w:r>
    </w:p>
    <w:p>
      <w:pPr>
        <w:pStyle w:val="Heading1"/>
        <w:pBdr>
          <w:bottom w:val="single" w:color="1C1F26" w:sz="12" w:space="6"/>
        </w:pBdr>
        <w:spacing w:after="160" w:before="400"/>
      </w:pPr>
      <w:r>
        <w:rPr>
          <w:rFonts w:ascii="Calibri" w:cs="Calibri" w:eastAsia="Calibri" w:hAnsi="Calibri"/>
          <w:b/>
          <w:bCs/>
          <w:color w:val="1C1F26"/>
          <w:sz w:val="28"/>
          <w:szCs w:val="28"/>
        </w:rPr>
        <w:t xml:space="preserve">12. Tableau de bord</w:t>
      </w:r>
    </w:p>
    <w:p>
      <w:pPr>
        <w:spacing w:after="160" w:before="0" w:line="276"/>
      </w:pPr>
      <w:r>
        <w:rPr>
          <w:rFonts w:ascii="Calibri" w:cs="Calibri" w:eastAsia="Calibri" w:hAnsi="Calibri"/>
          <w:color w:val="5C6270"/>
          <w:sz w:val="21"/>
          <w:szCs w:val="21"/>
        </w:rPr>
        <w:t xml:space="preserve">Six chiffres, relevés chaque vendredi, sur une seule ligne.</w:t>
      </w:r>
    </w:p>
    <w:p>
      <w:pPr>
        <w:pStyle w:val="ListParagraph"/>
        <w:numPr>
          <w:ilvl w:val="0"/>
          <w:numId w:val="3"/>
        </w:numPr>
        <w:spacing w:after="90" w:line="276"/>
      </w:pPr>
      <w:r>
        <w:rPr>
          <w:rFonts w:ascii="Calibri" w:cs="Calibri" w:eastAsia="Calibri" w:hAnsi="Calibri"/>
          <w:color w:val="1C1F26"/>
          <w:sz w:val="21"/>
          <w:szCs w:val="21"/>
        </w:rPr>
        <w:t xml:space="preserve">E-mails envoyés dans la semaine</w:t>
      </w:r>
    </w:p>
    <w:p>
      <w:pPr>
        <w:pStyle w:val="ListParagraph"/>
        <w:numPr>
          <w:ilvl w:val="0"/>
          <w:numId w:val="3"/>
        </w:numPr>
        <w:spacing w:after="90" w:line="276"/>
      </w:pPr>
      <w:r>
        <w:rPr>
          <w:rFonts w:ascii="Calibri" w:cs="Calibri" w:eastAsia="Calibri" w:hAnsi="Calibri"/>
          <w:color w:val="1C1F26"/>
          <w:sz w:val="21"/>
          <w:szCs w:val="21"/>
        </w:rPr>
        <w:t xml:space="preserve">Réponses positives, en nombre absolu et par segment</w:t>
      </w:r>
    </w:p>
    <w:p>
      <w:pPr>
        <w:pStyle w:val="ListParagraph"/>
        <w:numPr>
          <w:ilvl w:val="0"/>
          <w:numId w:val="3"/>
        </w:numPr>
        <w:spacing w:after="90" w:line="276"/>
      </w:pPr>
      <w:r>
        <w:rPr>
          <w:rFonts w:ascii="Calibri" w:cs="Calibri" w:eastAsia="Calibri" w:hAnsi="Calibri"/>
          <w:color w:val="1C1F26"/>
          <w:sz w:val="21"/>
          <w:szCs w:val="21"/>
        </w:rPr>
        <w:t xml:space="preserve">Audits gratuits livrés</w:t>
      </w:r>
    </w:p>
    <w:p>
      <w:pPr>
        <w:pStyle w:val="ListParagraph"/>
        <w:numPr>
          <w:ilvl w:val="0"/>
          <w:numId w:val="3"/>
        </w:numPr>
        <w:spacing w:after="90" w:line="276"/>
      </w:pPr>
      <w:r>
        <w:rPr>
          <w:rFonts w:ascii="Calibri" w:cs="Calibri" w:eastAsia="Calibri" w:hAnsi="Calibri"/>
          <w:color w:val="1C1F26"/>
          <w:sz w:val="21"/>
          <w:szCs w:val="21"/>
        </w:rPr>
        <w:t xml:space="preserve">Clients payants</w:t>
      </w:r>
    </w:p>
    <w:p>
      <w:pPr>
        <w:pStyle w:val="ListParagraph"/>
        <w:numPr>
          <w:ilvl w:val="0"/>
          <w:numId w:val="3"/>
        </w:numPr>
        <w:spacing w:after="90" w:line="276"/>
      </w:pPr>
      <w:r>
        <w:rPr>
          <w:rFonts w:ascii="Calibri" w:cs="Calibri" w:eastAsia="Calibri" w:hAnsi="Calibri"/>
          <w:color w:val="1C1F26"/>
          <w:sz w:val="21"/>
          <w:szCs w:val="21"/>
        </w:rPr>
        <w:t xml:space="preserve">Minutes de travail par client et par mois</w:t>
      </w:r>
    </w:p>
    <w:p>
      <w:pPr>
        <w:pStyle w:val="ListParagraph"/>
        <w:numPr>
          <w:ilvl w:val="0"/>
          <w:numId w:val="3"/>
        </w:numPr>
        <w:spacing w:after="90" w:line="276"/>
      </w:pPr>
      <w:r>
        <w:rPr>
          <w:rFonts w:ascii="Calibri" w:cs="Calibri" w:eastAsia="Calibri" w:hAnsi="Calibri"/>
          <w:color w:val="1C1F26"/>
          <w:sz w:val="21"/>
          <w:szCs w:val="21"/>
        </w:rPr>
        <w:t xml:space="preserve">Revenu récurrent mensuel et revenu moyen par client</w:t>
      </w:r>
    </w:p>
    <w:p>
      <w:pPr>
        <w:spacing w:after="120"/>
      </w:pPr>
    </w:p>
    <w:p>
      <w:pPr>
        <w:spacing w:after="240" w:before="0" w:line="276"/>
      </w:pPr>
      <w:r>
        <w:rPr>
          <w:rFonts w:ascii="Calibri" w:cs="Calibri" w:eastAsia="Calibri" w:hAnsi="Calibri"/>
          <w:color w:val="1C1F26"/>
          <w:sz w:val="21"/>
          <w:szCs w:val="21"/>
        </w:rPr>
        <w:t xml:space="preserve">Le cinquième est le plus important et le plus souvent oublié. C'est lui qui dit si l'activité tient à 60 clients ou s'écroule à 25.</w:t>
      </w:r>
    </w:p>
    <w:p>
      <w:pPr>
        <w:pBdr>
          <w:top w:val="single" w:color="D6D4CD" w:sz="6" w:space="8"/>
        </w:pBdr>
        <w:spacing w:after="0" w:before="240"/>
      </w:pPr>
      <w:r>
        <w:rPr>
          <w:rFonts w:ascii="Calibri" w:cs="Calibri" w:eastAsia="Calibri" w:hAnsi="Calibri"/>
          <w:i/>
          <w:iCs/>
          <w:color w:val="5C6270"/>
          <w:sz w:val="17"/>
          <w:szCs w:val="17"/>
        </w:rPr>
        <w:t xml:space="preserve">Version 2, corrigée après relecture critique : seuil de rentabilité relevé de 40 à 50 clients pour tenir compte des commissions, volume du test porté à 500 contacts, garantie de remboursement remplacée par un engagement de service, budget annuel relevé à 3 000-4 000 €, périmètre du test à trente jours restreint au cycle à chaud. Les montants, seuils et références réglementaires sont des points de départ à vérifier avant engagement, notamment le seuil de franchise de TVA, les conditions de l'ACRE et la formulation en vigueur des indicateurs du référentiel qualité.</w:t>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C6270"/>
        <w:sz w:val="17"/>
        <w:szCs w:val="17"/>
      </w:rPr>
      <w:t xml:space="preserve">Plan d'implantation — Qualiopi, version 2   ·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504" w:hanging="288"/>
      </w:pPr>
    </w:lvl>
  </w:abstractNum>
  <w:abstractNum w:abstractNumId="3" w15:restartNumberingAfterBreak="0">
    <w:multiLevelType w:val="hybridMultilevel"/>
    <w:lvl w:ilvl="0" w15:tentative="1">
      <w:start w:val="1"/>
      <w:numFmt w:val="decimal"/>
      <w:lvlText w:val="%1."/>
      <w:lvlJc w:val="start"/>
      <w:pPr>
        <w:ind w:left="504" w:hanging="360"/>
      </w:pPr>
    </w:lvl>
  </w:abstractNum>
  <w:abstractNum w:abstractNumId="4" w15:restartNumberingAfterBreak="0">
    <w:multiLevelType w:val="hybridMultilevel"/>
    <w:lvl w:ilvl="0" w15:tentative="1">
      <w:start w:val="1"/>
      <w:numFmt w:val="decimal"/>
      <w:lvlText w:val="%1."/>
      <w:lvlJc w:val="start"/>
      <w:pPr>
        <w:ind w:left="504" w:hanging="360"/>
      </w:pPr>
    </w:lvl>
  </w:abstractNum>
  <w:abstractNum w:abstractNumId="5" w15:restartNumberingAfterBreak="0">
    <w:multiLevelType w:val="hybridMultilevel"/>
    <w:lvl w:ilvl="0" w15:tentative="1">
      <w:start w:val="1"/>
      <w:numFmt w:val="decimal"/>
      <w:lvlText w:val="%1."/>
      <w:lvlJc w:val="start"/>
      <w:pPr>
        <w:ind w:left="504" w:hanging="360"/>
      </w:pPr>
    </w:lvl>
  </w:abstractNum>
  <w:abstractNum w:abstractNumId="6" w15:restartNumberingAfterBreak="0">
    <w:multiLevelType w:val="hybridMultilevel"/>
    <w:lvl w:ilvl="0" w15:tentative="1">
      <w:start w:val="1"/>
      <w:numFmt w:val="decimal"/>
      <w:lvlText w:val="%1."/>
      <w:lvlJc w:val="start"/>
      <w:pPr>
        <w:ind w:left="504" w:hanging="360"/>
      </w:pPr>
    </w:lvl>
  </w:abstractNum>
  <w:abstractNum w:abstractNumId="7" w15:restartNumberingAfterBreak="0">
    <w:multiLevelType w:val="hybridMultilevel"/>
    <w:lvl w:ilvl="0" w15:tentative="1">
      <w:start w:val="1"/>
      <w:numFmt w:val="decimal"/>
      <w:lvlText w:val="%1."/>
      <w:lvlJc w:val="start"/>
      <w:pPr>
        <w:ind w:left="504"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d'implantation — back-office Qualiopi (v2)</dc:title>
  <dc:creator>Anthony</dc:creator>
  <cp:lastModifiedBy>Un-named</cp:lastModifiedBy>
  <cp:revision>1</cp:revision>
  <dcterms:created xsi:type="dcterms:W3CDTF">2026-09-08T11:59:05.290Z</dcterms:created>
  <dcterms:modified xsi:type="dcterms:W3CDTF">2026-09-08T11:59:05.300Z</dcterms:modified>
</cp:coreProperties>
</file>

<file path=docProps/custom.xml><?xml version="1.0" encoding="utf-8"?>
<Properties xmlns="http://schemas.openxmlformats.org/officeDocument/2006/custom-properties" xmlns:vt="http://schemas.openxmlformats.org/officeDocument/2006/docPropsVTypes"/>
</file>