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62CAD">
      <w:pPr>
        <w:pStyle w:val="2"/>
        <w:widowControl/>
        <w:jc w:val="center"/>
        <w:rPr>
          <w:rStyle w:val="10"/>
          <w:rFonts w:hint="default" w:ascii="Arial" w:hAnsi="Arial" w:cs="Arial"/>
          <w:b/>
          <w:sz w:val="30"/>
          <w:szCs w:val="30"/>
        </w:rPr>
      </w:pPr>
      <w:r>
        <w:rPr>
          <w:rStyle w:val="10"/>
          <w:rFonts w:hint="default" w:ascii="Arial" w:hAnsi="Arial" w:cs="Arial"/>
          <w:b/>
          <w:sz w:val="30"/>
          <w:szCs w:val="30"/>
        </w:rPr>
        <w:t>Optimizing Congestion in High-Load Singapore MRT Stations Using Mathematical Passenger-Flow and Queuing Models</w:t>
      </w:r>
    </w:p>
    <w:p w14:paraId="1B7AE09B">
      <w:pPr>
        <w:pStyle w:val="7"/>
        <w:widowControl/>
        <w:rPr>
          <w:rFonts w:ascii="Arial" w:hAnsi="Arial" w:cs="Arial"/>
          <w:b/>
          <w:bCs/>
          <w:sz w:val="28"/>
          <w:szCs w:val="28"/>
        </w:rPr>
      </w:pPr>
      <w:bookmarkStart w:id="0" w:name="_GoBack"/>
      <w:bookmarkEnd w:id="0"/>
      <w:r>
        <w:rPr>
          <w:rFonts w:ascii="Arial" w:hAnsi="Arial" w:cs="Arial"/>
          <w:b/>
          <w:bCs/>
          <w:sz w:val="28"/>
          <w:szCs w:val="28"/>
        </w:rPr>
        <w:t>Introduction and Background</w:t>
      </w:r>
    </w:p>
    <w:p w14:paraId="43245695">
      <w:pPr>
        <w:pStyle w:val="7"/>
        <w:widowControl/>
        <w:rPr>
          <w:rFonts w:ascii="Arial" w:hAnsi="Arial" w:cs="Arial"/>
          <w:sz w:val="21"/>
          <w:szCs w:val="21"/>
        </w:rPr>
      </w:pPr>
      <w:r>
        <w:rPr>
          <w:rFonts w:ascii="Arial" w:hAnsi="Arial" w:cs="Arial"/>
          <w:sz w:val="21"/>
          <w:szCs w:val="21"/>
        </w:rPr>
        <w:t>Singapore’s Mass Rapid Transit (MRT) system is a critical component of the nation’s urban mobility network, supporting millions of passenger journeys daily. As ridership continues to increase, congestion has become a persistent operational challenge, particularly at stations with high passenger throughput and complex transfer functions.</w:t>
      </w:r>
    </w:p>
    <w:p w14:paraId="5360FB98">
      <w:pPr>
        <w:pStyle w:val="7"/>
        <w:widowControl/>
        <w:rPr>
          <w:rFonts w:ascii="Arial" w:hAnsi="Arial" w:cs="Arial"/>
          <w:sz w:val="21"/>
          <w:szCs w:val="21"/>
        </w:rPr>
      </w:pPr>
      <w:r>
        <w:rPr>
          <w:rFonts w:ascii="Arial" w:hAnsi="Arial" w:cs="Arial"/>
          <w:sz w:val="21"/>
          <w:szCs w:val="21"/>
        </w:rPr>
        <w:t>Recent data-driven analysis based on station-level origin–destination passenger-load data demonstrates that demand is highly uneven across the MRT network, with a small number of stations consistently carrying disproportionately large passenger volumes during peak periods (Tan, 2025). The analysis shows that stations such as Jurong East MRT Station, Raffles Place MRT Station, and Tanjong Pagar MRT Station rank among the busiest stations during both morning and evening peaks, indicating persistent congestion pressure rather than isolated crowding events.</w:t>
      </w:r>
      <w:r>
        <w:rPr>
          <w:rFonts w:hint="eastAsia" w:ascii="Arial" w:hAnsi="Arial" w:cs="Arial"/>
          <w:sz w:val="21"/>
          <w:szCs w:val="21"/>
        </w:rPr>
        <w:t xml:space="preserve">                                                                                               </w:t>
      </w:r>
    </w:p>
    <w:p w14:paraId="367D48DA">
      <w:pPr>
        <w:pStyle w:val="7"/>
        <w:widowControl/>
        <w:rPr>
          <w:rFonts w:ascii="Arial" w:hAnsi="Arial" w:cs="Arial"/>
          <w:sz w:val="21"/>
          <w:szCs w:val="21"/>
        </w:rPr>
      </w:pPr>
      <w:r>
        <w:rPr>
          <w:rFonts w:ascii="Arial" w:hAnsi="Arial" w:cs="Arial"/>
          <w:sz w:val="21"/>
          <w:szCs w:val="21"/>
        </w:rPr>
        <w:t>These empirical passenger-load patterns provide quantitative evidence that congestion in the MRT system is structural and recurrent, particularly at interchange stations and central business district stations with strong directional commuter flows (Tan, 2025).</w:t>
      </w:r>
    </w:p>
    <w:p w14:paraId="24C4A273">
      <w:pPr>
        <w:pStyle w:val="3"/>
        <w:widowControl/>
        <w:rPr>
          <w:rFonts w:hint="default" w:ascii="Arial" w:hAnsi="Arial" w:cs="Arial"/>
          <w:sz w:val="28"/>
          <w:szCs w:val="28"/>
        </w:rPr>
      </w:pPr>
      <w:r>
        <w:rPr>
          <w:rStyle w:val="10"/>
          <w:rFonts w:hint="default" w:ascii="Arial" w:hAnsi="Arial" w:cs="Arial"/>
          <w:b/>
          <w:sz w:val="28"/>
          <w:szCs w:val="28"/>
        </w:rPr>
        <w:t>Literature Review</w:t>
      </w:r>
    </w:p>
    <w:p w14:paraId="138D98B5">
      <w:pPr>
        <w:pStyle w:val="4"/>
        <w:widowControl/>
        <w:rPr>
          <w:rFonts w:hint="default" w:ascii="Arial" w:hAnsi="Arial" w:cs="Arial"/>
          <w:sz w:val="24"/>
          <w:szCs w:val="24"/>
        </w:rPr>
      </w:pPr>
      <w:r>
        <w:rPr>
          <w:rStyle w:val="10"/>
          <w:rFonts w:hint="default" w:ascii="Arial" w:hAnsi="Arial" w:cs="Arial"/>
          <w:b/>
          <w:sz w:val="24"/>
          <w:szCs w:val="24"/>
        </w:rPr>
        <w:t>2.1 Empirical Evidence of MRT Congestion</w:t>
      </w:r>
    </w:p>
    <w:p w14:paraId="3C2C538B">
      <w:pPr>
        <w:pStyle w:val="7"/>
        <w:widowControl/>
        <w:rPr>
          <w:rFonts w:ascii="Arial" w:hAnsi="Arial" w:cs="Arial"/>
          <w:sz w:val="21"/>
          <w:szCs w:val="21"/>
        </w:rPr>
      </w:pPr>
      <w:r>
        <w:rPr>
          <w:rFonts w:ascii="Arial" w:hAnsi="Arial" w:cs="Arial"/>
          <w:sz w:val="21"/>
          <w:szCs w:val="21"/>
        </w:rPr>
        <w:t>Empirical studies and data-driven analyses consistently show that congestion in metro systems is spatially concentrated rather than uniformly distributed. Station-level passenger-load analysis of Singapore’s MRT network demonstrates that a small subset of stations accounts for a disproportionate share of peak-hour demand, reinforcing the need for targeted congestion management strategies rather than system-wide interventions (Tan, 2025).</w:t>
      </w:r>
    </w:p>
    <w:p w14:paraId="0FA5A750">
      <w:pPr>
        <w:pStyle w:val="7"/>
        <w:widowControl/>
        <w:rPr>
          <w:rFonts w:ascii="Arial" w:hAnsi="Arial" w:cs="Arial"/>
          <w:sz w:val="21"/>
          <w:szCs w:val="21"/>
        </w:rPr>
      </w:pPr>
      <w:r>
        <w:rPr>
          <w:rFonts w:ascii="Arial" w:hAnsi="Arial" w:cs="Arial"/>
          <w:sz w:val="21"/>
          <w:szCs w:val="21"/>
        </w:rPr>
        <w:t>In addition to quantitative data, qualitative evidence from commuter reports highlights the operational impacts of congestion, including platform overcrowding, constrained pedestrian movement, and extended queuing times during peak periods (The Online Citizen, 2025). Together, these sources establish congestion as a persistent and observable phenomenon requiring systematic intervention.</w:t>
      </w:r>
    </w:p>
    <w:p w14:paraId="7B252599">
      <w:pPr>
        <w:pStyle w:val="4"/>
        <w:widowControl/>
        <w:rPr>
          <w:rFonts w:hint="default" w:ascii="Arial" w:hAnsi="Arial" w:cs="Arial"/>
          <w:sz w:val="24"/>
          <w:szCs w:val="24"/>
        </w:rPr>
      </w:pPr>
      <w:r>
        <w:rPr>
          <w:rStyle w:val="10"/>
          <w:rFonts w:hint="default" w:ascii="Arial" w:hAnsi="Arial" w:cs="Arial"/>
          <w:b/>
          <w:sz w:val="24"/>
          <w:szCs w:val="24"/>
        </w:rPr>
        <w:t>2.2 Queuing Theory and Station Capacity</w:t>
      </w:r>
    </w:p>
    <w:p w14:paraId="67CC5897">
      <w:pPr>
        <w:pStyle w:val="7"/>
        <w:widowControl/>
        <w:rPr>
          <w:rFonts w:ascii="Arial" w:hAnsi="Arial" w:cs="Arial"/>
          <w:sz w:val="21"/>
          <w:szCs w:val="21"/>
          <w:lang w:bidi="ar"/>
        </w:rPr>
      </w:pPr>
      <w:r>
        <w:rPr>
          <w:rFonts w:ascii="Arial" w:hAnsi="Arial" w:cs="Arial"/>
          <w:sz w:val="21"/>
          <w:szCs w:val="21"/>
        </w:rPr>
        <w:t xml:space="preserve">Queuing theory has been widely applied to analyse subway station capacity and bottleneck behaviour. </w:t>
      </w:r>
      <w:r>
        <w:rPr>
          <w:rFonts w:ascii="Arial" w:hAnsi="Arial" w:cs="Arial"/>
          <w:sz w:val="21"/>
          <w:szCs w:val="21"/>
          <w:lang w:bidi="ar"/>
        </w:rPr>
        <w:t xml:space="preserve">In queuing-based models, the expected queue length </w:t>
      </w:r>
      <w:r>
        <w:rPr>
          <w:rFonts w:ascii="Arial" w:hAnsi="Arial" w:cs="Arial"/>
          <w:lang w:bidi="ar"/>
        </w:rPr>
        <w:t xml:space="preserve">L </w:t>
      </w:r>
      <w:r>
        <w:rPr>
          <w:rFonts w:ascii="Arial" w:hAnsi="Arial" w:cs="Arial"/>
          <w:sz w:val="21"/>
          <w:szCs w:val="21"/>
          <w:lang w:bidi="ar"/>
        </w:rPr>
        <w:t xml:space="preserve">and waiting time </w:t>
      </w:r>
      <w:r>
        <w:rPr>
          <w:rFonts w:ascii="Arial" w:hAnsi="Arial" w:cs="Arial"/>
          <w:lang w:bidi="ar"/>
        </w:rPr>
        <w:t>W</w:t>
      </w:r>
      <w:r>
        <w:rPr>
          <w:rFonts w:ascii="Arial" w:hAnsi="Arial" w:cs="Arial"/>
          <w:sz w:val="21"/>
          <w:szCs w:val="21"/>
          <w:lang w:bidi="ar"/>
        </w:rPr>
        <w:t xml:space="preserve"> at a service facility are expressed as:</w:t>
      </w:r>
    </w:p>
    <w:p w14:paraId="43D737EC">
      <w:pPr>
        <w:pStyle w:val="7"/>
        <w:widowControl/>
        <w:rPr>
          <w:rFonts w:hAnsi="Cambria Math"/>
          <w:sz w:val="21"/>
        </w:rPr>
      </w:pPr>
      <m:oMathPara>
        <m:oMath>
          <m:r>
            <m:rPr/>
            <w:rPr>
              <w:rFonts w:ascii="Cambria Math" w:hAnsi="Cambria Math"/>
              <w:sz w:val="21"/>
            </w:rPr>
            <m:t>L=</m:t>
          </m:r>
          <m:f>
            <m:fPr>
              <m:ctrlPr>
                <w:rPr>
                  <w:rFonts w:ascii="Cambria Math" w:hAnsi="Cambria Math"/>
                  <w:i/>
                  <w:sz w:val="21"/>
                </w:rPr>
              </m:ctrlPr>
            </m:fPr>
            <m:num>
              <m:r>
                <m:rPr/>
                <w:rPr>
                  <w:rFonts w:ascii="Cambria Math" w:hAnsi="Cambria Math"/>
                  <w:sz w:val="21"/>
                </w:rPr>
                <m:t>λ</m:t>
              </m:r>
              <m:ctrlPr>
                <w:rPr>
                  <w:rFonts w:ascii="Cambria Math" w:hAnsi="Cambria Math"/>
                  <w:sz w:val="21"/>
                </w:rPr>
              </m:ctrlPr>
            </m:num>
            <m:den>
              <m:r>
                <m:rPr/>
                <w:rPr>
                  <w:rFonts w:ascii="Cambria Math" w:hAnsi="Cambria Math"/>
                  <w:sz w:val="21"/>
                </w:rPr>
                <m:t>μ−λ</m:t>
              </m:r>
              <m:ctrlPr>
                <w:rPr>
                  <w:rFonts w:ascii="Cambria Math" w:hAnsi="Cambria Math"/>
                  <w:sz w:val="21"/>
                </w:rPr>
              </m:ctrlPr>
            </m:den>
          </m:f>
        </m:oMath>
      </m:oMathPara>
    </w:p>
    <w:p w14:paraId="5EAC2D59">
      <w:pPr>
        <w:pStyle w:val="7"/>
        <w:widowControl/>
        <w:rPr>
          <w:rFonts w:hAnsi="Cambria Math"/>
          <w:sz w:val="21"/>
        </w:rPr>
      </w:pPr>
      <m:oMathPara>
        <m:oMath>
          <m:r>
            <m:rPr/>
            <w:rPr>
              <w:rFonts w:ascii="Cambria Math" w:hAnsi="Cambria Math"/>
              <w:sz w:val="21"/>
            </w:rPr>
            <m:t>W=</m:t>
          </m:r>
          <m:f>
            <m:fPr>
              <m:ctrlPr>
                <w:rPr>
                  <w:rFonts w:ascii="Cambria Math" w:hAnsi="Cambria Math"/>
                  <w:i/>
                  <w:sz w:val="21"/>
                </w:rPr>
              </m:ctrlPr>
            </m:fPr>
            <m:num>
              <m:r>
                <m:rPr/>
                <w:rPr>
                  <w:rFonts w:ascii="Cambria Math" w:hAnsi="Cambria Math"/>
                  <w:sz w:val="21"/>
                </w:rPr>
                <m:t>1</m:t>
              </m:r>
              <m:ctrlPr>
                <w:rPr>
                  <w:rFonts w:ascii="Cambria Math" w:hAnsi="Cambria Math"/>
                  <w:sz w:val="21"/>
                </w:rPr>
              </m:ctrlPr>
            </m:num>
            <m:den>
              <m:r>
                <m:rPr/>
                <w:rPr>
                  <w:rFonts w:ascii="Cambria Math" w:hAnsi="Cambria Math"/>
                  <w:sz w:val="21"/>
                </w:rPr>
                <m:t>μ−λ</m:t>
              </m:r>
              <m:ctrlPr>
                <w:rPr>
                  <w:rFonts w:ascii="Cambria Math" w:hAnsi="Cambria Math"/>
                  <w:sz w:val="21"/>
                </w:rPr>
              </m:ctrlPr>
            </m:den>
          </m:f>
        </m:oMath>
      </m:oMathPara>
    </w:p>
    <w:p w14:paraId="11B4A04B">
      <w:pPr>
        <w:widowControl/>
        <w:spacing w:before="100" w:beforeAutospacing="1" w:after="100" w:afterAutospacing="1"/>
        <w:jc w:val="left"/>
        <w:rPr>
          <w:rFonts w:ascii="Arial" w:hAnsi="Arial" w:cs="Arial"/>
          <w:kern w:val="0"/>
          <w:lang w:bidi="ar"/>
          <w:oMath/>
        </w:rPr>
      </w:pPr>
      <m:oMath>
        <m:r>
          <m:rPr>
            <m:sty m:val="p"/>
          </m:rPr>
          <w:rPr>
            <w:rFonts w:ascii="Arial" w:hAnsi="Arial" w:cs="Arial"/>
            <w:kern w:val="0"/>
            <w:lang w:bidi="ar"/>
          </w:rPr>
          <m:t xml:space="preserve">where </m:t>
        </m:r>
      </m:oMath>
      <w:r>
        <w:rPr>
          <w:rFonts w:ascii="Arial" w:hAnsi="Arial" w:cs="Arial"/>
          <w:iCs/>
          <w:kern w:val="0"/>
          <w:sz w:val="24"/>
          <w:lang w:bidi="ar"/>
        </w:rPr>
        <w:t>λ</w:t>
      </w:r>
      <m:oMath>
        <m:r>
          <m:rPr>
            <m:sty m:val="p"/>
          </m:rPr>
          <w:rPr>
            <w:rFonts w:ascii="Arial" w:hAnsi="Arial" w:cs="Arial"/>
            <w:kern w:val="0"/>
            <w:sz w:val="24"/>
            <w:lang w:bidi="ar"/>
          </w:rPr>
          <m:t xml:space="preserve"> </m:t>
        </m:r>
        <m:r>
          <m:rPr>
            <m:sty m:val="p"/>
          </m:rPr>
          <w:rPr>
            <w:rFonts w:ascii="Arial" w:hAnsi="Arial" w:cs="Arial"/>
            <w:kern w:val="0"/>
            <w:lang w:bidi="ar"/>
          </w:rPr>
          <m:t xml:space="preserve">denotes passenger arrival rate and </m:t>
        </m:r>
      </m:oMath>
      <w:r>
        <w:rPr>
          <w:rFonts w:ascii="Arial" w:hAnsi="Arial" w:cs="Arial"/>
          <w:iCs/>
          <w:kern w:val="0"/>
          <w:sz w:val="24"/>
          <w:lang w:bidi="ar"/>
        </w:rPr>
        <w:t>µ</w:t>
      </w:r>
      <m:oMath>
        <m:r>
          <m:rPr>
            <m:sty m:val="p"/>
          </m:rPr>
          <w:rPr>
            <w:rFonts w:ascii="Arial" w:hAnsi="Arial" w:cs="Arial"/>
            <w:kern w:val="0"/>
            <w:sz w:val="24"/>
            <w:lang w:bidi="ar"/>
          </w:rPr>
          <m:t xml:space="preserve"> </m:t>
        </m:r>
        <m:r>
          <m:rPr>
            <m:sty m:val="p"/>
          </m:rPr>
          <w:rPr>
            <w:rFonts w:ascii="Arial" w:hAnsi="Arial" w:cs="Arial"/>
            <w:kern w:val="0"/>
            <w:lang w:bidi="ar"/>
          </w:rPr>
          <m:t>denotes service rate</m:t>
        </m:r>
      </m:oMath>
      <w:r>
        <w:rPr>
          <w:rFonts w:hAnsi="Arial" w:cs="Arial"/>
          <w:iCs/>
          <w:kern w:val="0"/>
          <w:lang w:bidi="ar"/>
        </w:rPr>
        <w:t xml:space="preserve"> </w:t>
      </w:r>
      <w:r>
        <w:rPr>
          <w:rFonts w:ascii="Arial" w:hAnsi="Arial" w:cs="Arial"/>
          <w:iCs/>
          <w:kern w:val="0"/>
          <w:lang w:bidi="ar"/>
        </w:rPr>
        <w:t>(Hillier &amp; Lieberman, 2021)</w:t>
      </w:r>
    </w:p>
    <w:p w14:paraId="0ECADF87">
      <w:pPr>
        <w:pStyle w:val="7"/>
        <w:widowControl/>
        <w:rPr>
          <w:rFonts w:ascii="Arial" w:hAnsi="Arial" w:cs="Arial"/>
          <w:sz w:val="21"/>
          <w:szCs w:val="21"/>
        </w:rPr>
      </w:pPr>
      <w:r>
        <w:rPr>
          <w:rFonts w:ascii="Arial" w:hAnsi="Arial" w:cs="Arial"/>
          <w:sz w:val="21"/>
          <w:szCs w:val="21"/>
        </w:rPr>
        <w:t>By using queuing theory,it is possible to model station facilities such as fare gates and escalators as queuing systems, demonstrating that expected queue length and waiting time increase sharply as passenger arrival rates approach service capacity (Xu et al.,2014). These findings underscore the importance of operational control at bottleneck facilities in managing congestion.</w:t>
      </w:r>
    </w:p>
    <w:p w14:paraId="45D94722">
      <w:pPr>
        <w:pStyle w:val="7"/>
        <w:widowControl/>
        <w:rPr>
          <w:rFonts w:ascii="Arial" w:hAnsi="Arial" w:cs="Arial"/>
          <w:sz w:val="21"/>
          <w:szCs w:val="21"/>
        </w:rPr>
      </w:pPr>
      <w:r>
        <w:rPr>
          <w:rFonts w:ascii="Arial" w:hAnsi="Arial" w:cs="Arial"/>
          <w:sz w:val="21"/>
          <w:szCs w:val="21"/>
        </w:rPr>
        <w:t>Queuing-based approaches provide analytically tractable tools for evaluating how changes in service configuration—such as increasing effective service capacity in one direction—can influence congestion levels. This makes queuing theory particularly relevant for assessing operational strategies such as escalator direction control in MRT stations.</w:t>
      </w:r>
    </w:p>
    <w:p w14:paraId="06DF6056">
      <w:pPr>
        <w:pStyle w:val="4"/>
        <w:widowControl/>
        <w:rPr>
          <w:rFonts w:hint="default" w:ascii="Arial" w:hAnsi="Arial" w:cs="Arial"/>
          <w:sz w:val="21"/>
          <w:szCs w:val="21"/>
        </w:rPr>
      </w:pPr>
      <w:r>
        <w:rPr>
          <w:rStyle w:val="10"/>
          <w:rFonts w:hint="default" w:ascii="Arial" w:hAnsi="Arial" w:cs="Arial"/>
          <w:b/>
          <w:sz w:val="24"/>
          <w:szCs w:val="24"/>
        </w:rPr>
        <w:t>2.3 Crowd Dynamics and Pedestrian Flow Modelling</w:t>
      </w:r>
    </w:p>
    <w:p w14:paraId="6C7CD023">
      <w:pPr>
        <w:pStyle w:val="7"/>
        <w:widowControl/>
        <w:rPr>
          <w:rFonts w:ascii="Arial" w:hAnsi="Arial" w:cs="Arial"/>
          <w:sz w:val="21"/>
          <w:szCs w:val="21"/>
        </w:rPr>
      </w:pPr>
      <w:r>
        <w:rPr>
          <w:rFonts w:ascii="Arial" w:hAnsi="Arial" w:cs="Arial"/>
          <w:sz w:val="21"/>
          <w:szCs w:val="21"/>
        </w:rPr>
        <w:t xml:space="preserve">Beyond </w:t>
      </w:r>
      <w:r>
        <w:rPr>
          <w:rFonts w:hint="eastAsia" w:ascii="Arial" w:hAnsi="Arial" w:cs="Arial"/>
          <w:sz w:val="21"/>
          <w:szCs w:val="21"/>
        </w:rPr>
        <w:t>separated</w:t>
      </w:r>
      <w:r>
        <w:rPr>
          <w:rFonts w:ascii="Arial" w:hAnsi="Arial" w:cs="Arial"/>
          <w:sz w:val="21"/>
          <w:szCs w:val="21"/>
        </w:rPr>
        <w:t xml:space="preserve"> bottleneck</w:t>
      </w:r>
      <w:r>
        <w:rPr>
          <w:rFonts w:hint="eastAsia" w:ascii="Arial" w:hAnsi="Arial" w:cs="Arial"/>
          <w:sz w:val="21"/>
          <w:szCs w:val="21"/>
        </w:rPr>
        <w:t xml:space="preserve"> points</w:t>
      </w:r>
      <w:r>
        <w:rPr>
          <w:rFonts w:ascii="Arial" w:hAnsi="Arial" w:cs="Arial"/>
          <w:sz w:val="21"/>
          <w:szCs w:val="21"/>
        </w:rPr>
        <w:t>, congestion also emerges from continuous pedestrian interactions within station corridors and platforms. Crowd dynamics model describe</w:t>
      </w:r>
      <w:r>
        <w:rPr>
          <w:rFonts w:hint="eastAsia" w:ascii="Arial" w:hAnsi="Arial" w:cs="Arial"/>
          <w:sz w:val="21"/>
          <w:szCs w:val="21"/>
        </w:rPr>
        <w:t>s</w:t>
      </w:r>
      <w:r>
        <w:rPr>
          <w:rFonts w:ascii="Arial" w:hAnsi="Arial" w:cs="Arial"/>
          <w:sz w:val="21"/>
          <w:szCs w:val="21"/>
        </w:rPr>
        <w:t xml:space="preserve"> the evolution of pedestrian density and flow using macroscopic formulations based on mass conservation principle</w:t>
      </w:r>
      <w:r>
        <w:rPr>
          <w:rFonts w:hint="eastAsia" w:ascii="Arial" w:hAnsi="Arial" w:cs="Arial"/>
          <w:sz w:val="21"/>
          <w:szCs w:val="21"/>
        </w:rPr>
        <w:t>:</w:t>
      </w:r>
    </w:p>
    <w:p w14:paraId="7820D7D2">
      <w:pPr>
        <w:pStyle w:val="7"/>
        <w:widowControl/>
        <w:rPr>
          <w:rFonts w:hAnsi="Cambria Math"/>
          <w:sz w:val="21"/>
        </w:rPr>
      </w:pPr>
      <m:oMathPara>
        <m:oMath>
          <m:sSub>
            <m:sSubPr>
              <m:ctrlPr>
                <w:rPr>
                  <w:rFonts w:ascii="Cambria Math" w:hAnsi="Cambria Math"/>
                  <w:sz w:val="21"/>
                </w:rPr>
              </m:ctrlPr>
            </m:sSubPr>
            <m:e>
              <m:r>
                <m:rPr/>
                <w:rPr>
                  <w:rFonts w:ascii="Cambria Math" w:hAnsi="Cambria Math"/>
                  <w:sz w:val="21"/>
                </w:rPr>
                <m:t>∂</m:t>
              </m:r>
              <m:ctrlPr>
                <w:rPr>
                  <w:rFonts w:ascii="Cambria Math" w:hAnsi="Cambria Math"/>
                  <w:sz w:val="21"/>
                </w:rPr>
              </m:ctrlPr>
            </m:e>
            <m:sub>
              <m:r>
                <m:rPr/>
                <w:rPr>
                  <w:rFonts w:ascii="Cambria Math" w:hAnsi="Cambria Math"/>
                  <w:sz w:val="21"/>
                </w:rPr>
                <m:t>t</m:t>
              </m:r>
              <m:ctrlPr>
                <w:rPr>
                  <w:rFonts w:ascii="Cambria Math" w:hAnsi="Cambria Math"/>
                  <w:sz w:val="21"/>
                </w:rPr>
              </m:ctrlPr>
            </m:sub>
          </m:sSub>
          <m:r>
            <m:rPr/>
            <w:rPr>
              <w:rFonts w:ascii="Cambria Math" w:hAnsi="Cambria Math"/>
              <w:sz w:val="21"/>
            </w:rPr>
            <m:t>ρ+</m:t>
          </m:r>
          <m:r>
            <m:rPr>
              <m:sty m:val="p"/>
            </m:rPr>
            <w:rPr>
              <w:rFonts w:ascii="Cambria Math" w:hAnsi="Cambria Math"/>
              <w:sz w:val="21"/>
            </w:rPr>
            <m:t>∇</m:t>
          </m:r>
          <m:r>
            <m:rPr/>
            <w:rPr>
              <w:rFonts w:ascii="Cambria Math" w:hAnsi="Cambria Math"/>
              <w:sz w:val="21"/>
            </w:rPr>
            <m:t>⋅(ρv)=0</m:t>
          </m:r>
        </m:oMath>
      </m:oMathPara>
    </w:p>
    <w:p w14:paraId="5AE661B8">
      <w:pPr>
        <w:pStyle w:val="7"/>
        <w:widowControl/>
        <w:rPr>
          <w:rFonts w:ascii="Arial" w:hAnsi="Arial" w:cs="Arial"/>
          <w:sz w:val="21"/>
          <w:szCs w:val="21"/>
        </w:rPr>
      </w:pPr>
      <w:r>
        <w:rPr>
          <w:rFonts w:ascii="Arial" w:hAnsi="Arial" w:cs="Arial"/>
          <w:sz w:val="21"/>
          <w:szCs w:val="21"/>
        </w:rPr>
        <w:t>where</w:t>
      </w:r>
      <w:r>
        <w:rPr>
          <w:rFonts w:ascii="Arial" w:hAnsi="Arial" w:cs="Arial"/>
        </w:rPr>
        <w:t xml:space="preserve"> ρ</w:t>
      </w:r>
      <w:r>
        <w:rPr>
          <w:rFonts w:ascii="Arial" w:hAnsi="Arial" w:cs="Arial"/>
          <w:sz w:val="21"/>
          <w:szCs w:val="21"/>
        </w:rPr>
        <w:t xml:space="preserve"> represents pedestrian density and </w:t>
      </w:r>
      <w:r>
        <w:rPr>
          <w:rFonts w:ascii="Arial" w:hAnsi="Arial" w:cs="Arial"/>
        </w:rPr>
        <w:t>v</w:t>
      </w:r>
      <w:r>
        <w:rPr>
          <w:rFonts w:ascii="Arial" w:hAnsi="Arial" w:cs="Arial"/>
          <w:sz w:val="21"/>
          <w:szCs w:val="21"/>
        </w:rPr>
        <w:t xml:space="preserve"> represents velocity (Albi et al., 2020). </w:t>
      </w:r>
    </w:p>
    <w:p w14:paraId="195FF5C5">
      <w:pPr>
        <w:pStyle w:val="7"/>
        <w:widowControl/>
        <w:rPr>
          <w:rFonts w:ascii="Arial" w:hAnsi="Arial" w:cs="Arial"/>
          <w:sz w:val="21"/>
          <w:szCs w:val="21"/>
        </w:rPr>
      </w:pPr>
      <w:r>
        <w:rPr>
          <w:rFonts w:ascii="Arial" w:hAnsi="Arial" w:cs="Arial"/>
          <w:sz w:val="21"/>
          <w:szCs w:val="21"/>
        </w:rPr>
        <w:t>This equation describes how density evolves as pedestrians move through constrained spaces.Th</w:t>
      </w:r>
      <w:r>
        <w:rPr>
          <w:rFonts w:hint="eastAsia" w:ascii="Arial" w:hAnsi="Arial" w:cs="Arial"/>
          <w:sz w:val="21"/>
          <w:szCs w:val="21"/>
        </w:rPr>
        <w:t>is</w:t>
      </w:r>
      <w:r>
        <w:rPr>
          <w:rFonts w:ascii="Arial" w:hAnsi="Arial" w:cs="Arial"/>
          <w:sz w:val="21"/>
          <w:szCs w:val="21"/>
        </w:rPr>
        <w:t xml:space="preserve"> model provide</w:t>
      </w:r>
      <w:r>
        <w:rPr>
          <w:rFonts w:hint="eastAsia" w:ascii="Arial" w:hAnsi="Arial" w:cs="Arial"/>
          <w:sz w:val="21"/>
          <w:szCs w:val="21"/>
        </w:rPr>
        <w:t>s</w:t>
      </w:r>
      <w:r>
        <w:rPr>
          <w:rFonts w:ascii="Arial" w:hAnsi="Arial" w:cs="Arial"/>
          <w:sz w:val="21"/>
          <w:szCs w:val="21"/>
        </w:rPr>
        <w:t xml:space="preserve"> a theoretical framework for understanding how density accumulates and dissipates under different flow conditions.(Albi et al., 2020).</w:t>
      </w:r>
    </w:p>
    <w:p w14:paraId="6B5393D0">
      <w:pPr>
        <w:pStyle w:val="7"/>
        <w:widowControl/>
        <w:rPr>
          <w:rFonts w:ascii="Arial" w:hAnsi="Arial" w:cs="Arial"/>
          <w:sz w:val="21"/>
          <w:szCs w:val="21"/>
        </w:rPr>
      </w:pPr>
      <w:r>
        <w:rPr>
          <w:rFonts w:ascii="Arial" w:hAnsi="Arial" w:cs="Arial"/>
          <w:sz w:val="21"/>
          <w:szCs w:val="21"/>
        </w:rPr>
        <w:t>Comprehensive surveys of crowd modelling techniques highlight the breadth of available approaches, ranging from macroscopic flow models to microscopic and data-driven methods (Zitouni et al., 2016; Bahamid &amp; Mohd Ibrahim, 2022). While these studies advance understanding of pedestrian behaviour, they primarily emphasize modelling and analysis rather than operational optimization for routine transport settings.</w:t>
      </w:r>
    </w:p>
    <w:p w14:paraId="7DD12E05">
      <w:pPr>
        <w:pStyle w:val="4"/>
        <w:widowControl/>
        <w:rPr>
          <w:rFonts w:hint="default" w:ascii="Arial" w:hAnsi="Arial" w:cs="Arial"/>
        </w:rPr>
      </w:pPr>
      <w:r>
        <w:rPr>
          <w:rStyle w:val="10"/>
          <w:rFonts w:hint="default" w:ascii="Arial" w:hAnsi="Arial" w:cs="Arial"/>
          <w:b/>
          <w:sz w:val="24"/>
          <w:szCs w:val="24"/>
        </w:rPr>
        <w:t>2.4 Dynamic Flow Analysis and Performance Indicators</w:t>
      </w:r>
    </w:p>
    <w:p w14:paraId="7E1C0D05">
      <w:pPr>
        <w:pStyle w:val="7"/>
        <w:widowControl/>
        <w:rPr>
          <w:rFonts w:ascii="Arial" w:hAnsi="Arial" w:cs="Arial"/>
          <w:sz w:val="21"/>
          <w:szCs w:val="21"/>
        </w:rPr>
      </w:pPr>
      <w:r>
        <w:rPr>
          <w:rFonts w:ascii="Arial" w:hAnsi="Arial" w:cs="Arial"/>
          <w:sz w:val="21"/>
          <w:szCs w:val="21"/>
        </w:rPr>
        <w:t>Recent research on transfer stations has introduced dynamic flow analysis frameworks that define mathematically measurable indicators for congestion and operational performance. Zhang et al. (2024) propose indicators such as passenger density, capacity usage, queue length, total time consumption, and maximum platform density to evaluate crowd management strategies in metro stations.</w:t>
      </w:r>
    </w:p>
    <w:p w14:paraId="26536A3F">
      <w:pPr>
        <w:pStyle w:val="7"/>
        <w:widowControl/>
        <w:rPr>
          <w:rFonts w:ascii="Arial" w:hAnsi="Arial" w:cs="Arial"/>
          <w:sz w:val="21"/>
          <w:szCs w:val="21"/>
        </w:rPr>
      </w:pPr>
      <w:r>
        <w:rPr>
          <w:rFonts w:ascii="Arial" w:hAnsi="Arial" w:cs="Arial"/>
          <w:sz w:val="21"/>
          <w:szCs w:val="21"/>
        </w:rPr>
        <w:t>These indicators provide a quantitative basis for comparing different operational scenarios and assessing the effectiveness of congestion-mitigation measures. However, their application has largely been limited to case studies outside Singapore and has not been extensively integrated with empirical passenger-load data for MRT stations.</w:t>
      </w:r>
    </w:p>
    <w:p w14:paraId="36391613">
      <w:pPr>
        <w:pStyle w:val="2"/>
        <w:rPr>
          <w:rFonts w:hint="default" w:ascii="Arial" w:hAnsi="Arial" w:cs="Arial"/>
          <w:sz w:val="28"/>
          <w:szCs w:val="28"/>
        </w:rPr>
      </w:pPr>
      <w:r>
        <w:rPr>
          <w:rFonts w:hint="default" w:ascii="Arial" w:hAnsi="Arial" w:cs="Arial"/>
          <w:sz w:val="28"/>
          <w:szCs w:val="28"/>
        </w:rPr>
        <w:t>Research Aims, Objectives, and Questions</w:t>
      </w:r>
    </w:p>
    <w:p w14:paraId="580EC0CC">
      <w:pPr>
        <w:pStyle w:val="2"/>
        <w:rPr>
          <w:rFonts w:hint="default" w:ascii="Arial" w:hAnsi="Arial" w:cs="Arial"/>
          <w:sz w:val="24"/>
          <w:szCs w:val="24"/>
        </w:rPr>
      </w:pPr>
      <w:r>
        <w:rPr>
          <w:rFonts w:hint="default" w:ascii="Arial" w:hAnsi="Arial" w:cs="Arial"/>
          <w:sz w:val="24"/>
          <w:szCs w:val="24"/>
        </w:rPr>
        <w:t>3.1 Research Aim</w:t>
      </w:r>
    </w:p>
    <w:p w14:paraId="537F832F">
      <w:pPr>
        <w:widowControl/>
        <w:rPr>
          <w:rFonts w:ascii="Arial" w:hAnsi="Arial" w:cs="Arial"/>
          <w:szCs w:val="21"/>
        </w:rPr>
      </w:pPr>
      <w:r>
        <w:rPr>
          <w:rFonts w:ascii="Arial" w:hAnsi="Arial" w:cs="Arial"/>
          <w:szCs w:val="21"/>
        </w:rPr>
        <w:t>To develop and evaluate mathematically grounded operational strategies that reduce congestion and improve passenger-flow efficiency at Singapore’s busiest MRT stations.</w:t>
      </w:r>
    </w:p>
    <w:p w14:paraId="72A929FB">
      <w:pPr>
        <w:pStyle w:val="2"/>
        <w:rPr>
          <w:rFonts w:hint="default" w:ascii="Arial" w:hAnsi="Arial" w:cs="Arial"/>
          <w:sz w:val="24"/>
          <w:szCs w:val="24"/>
        </w:rPr>
      </w:pPr>
      <w:r>
        <w:rPr>
          <w:rFonts w:hint="default" w:ascii="Arial" w:hAnsi="Arial" w:cs="Arial"/>
          <w:sz w:val="24"/>
          <w:szCs w:val="24"/>
        </w:rPr>
        <w:t>3.2 Research Objectives</w:t>
      </w:r>
    </w:p>
    <w:p w14:paraId="034D0D00">
      <w:pPr>
        <w:widowControl/>
        <w:jc w:val="left"/>
        <w:rPr>
          <w:rFonts w:ascii="Arial" w:hAnsi="Arial" w:cs="Arial"/>
          <w:szCs w:val="21"/>
        </w:rPr>
      </w:pPr>
      <w:r>
        <w:rPr>
          <w:rFonts w:ascii="Arial" w:hAnsi="Arial" w:cs="Arial"/>
          <w:szCs w:val="21"/>
        </w:rPr>
        <w:t>1. To justify the selection of high-congestion MRT stations using empirical passenger-load data (Tan, 2025);</w:t>
      </w:r>
    </w:p>
    <w:p w14:paraId="6049DB5A">
      <w:pPr>
        <w:widowControl/>
        <w:jc w:val="left"/>
        <w:rPr>
          <w:rFonts w:ascii="Arial" w:hAnsi="Arial" w:cs="Arial"/>
          <w:szCs w:val="21"/>
        </w:rPr>
      </w:pPr>
      <w:r>
        <w:rPr>
          <w:rFonts w:ascii="Arial" w:hAnsi="Arial" w:cs="Arial"/>
          <w:szCs w:val="21"/>
        </w:rPr>
        <w:t>2. To model congestion mechanisms using established queuing and crowd-flow formulations (Xu et al., 2014; Albi et al., 2020);</w:t>
      </w:r>
    </w:p>
    <w:p w14:paraId="09B7C892">
      <w:pPr>
        <w:widowControl/>
        <w:jc w:val="left"/>
        <w:rPr>
          <w:rFonts w:ascii="Arial" w:hAnsi="Arial" w:cs="Arial"/>
          <w:szCs w:val="21"/>
        </w:rPr>
      </w:pPr>
      <w:r>
        <w:rPr>
          <w:rFonts w:ascii="Arial" w:hAnsi="Arial" w:cs="Arial"/>
          <w:szCs w:val="21"/>
        </w:rPr>
        <w:t>3. To design operational congestion-mitigation strategies grounded in mathematical models;</w:t>
      </w:r>
    </w:p>
    <w:p w14:paraId="36553C2C">
      <w:pPr>
        <w:widowControl/>
        <w:jc w:val="left"/>
        <w:rPr>
          <w:rFonts w:ascii="Arial" w:hAnsi="Arial" w:cs="Arial"/>
          <w:szCs w:val="21"/>
        </w:rPr>
      </w:pPr>
      <w:r>
        <w:rPr>
          <w:rFonts w:ascii="Arial" w:hAnsi="Arial" w:cs="Arial"/>
          <w:szCs w:val="21"/>
        </w:rPr>
        <w:t>4. To quantitatively evaluate the effectiveness of these strategies using established performance indicators (Zhang et al., 2024).</w:t>
      </w:r>
    </w:p>
    <w:p w14:paraId="03D95375">
      <w:pPr>
        <w:pStyle w:val="2"/>
        <w:rPr>
          <w:rFonts w:hint="default" w:ascii="Arial" w:hAnsi="Arial" w:cs="Arial"/>
          <w:sz w:val="24"/>
          <w:szCs w:val="24"/>
        </w:rPr>
      </w:pPr>
      <w:r>
        <w:rPr>
          <w:rFonts w:hint="default" w:ascii="Arial" w:hAnsi="Arial" w:cs="Arial"/>
          <w:sz w:val="24"/>
          <w:szCs w:val="24"/>
        </w:rPr>
        <w:t>3.3 Research Questions</w:t>
      </w:r>
    </w:p>
    <w:p w14:paraId="0AD3A9A3">
      <w:pPr>
        <w:widowControl/>
        <w:jc w:val="left"/>
        <w:rPr>
          <w:rFonts w:ascii="Arial" w:hAnsi="Arial" w:cs="Arial"/>
          <w:szCs w:val="21"/>
        </w:rPr>
      </w:pPr>
      <w:r>
        <w:rPr>
          <w:rFonts w:ascii="Arial" w:hAnsi="Arial" w:cs="Arial"/>
          <w:szCs w:val="21"/>
        </w:rPr>
        <w:t>1. How do passenger arrival rates and bottlenecks contribute to congestion at high-load MRT stations?</w:t>
      </w:r>
    </w:p>
    <w:p w14:paraId="2DCA716D">
      <w:pPr>
        <w:widowControl/>
        <w:jc w:val="left"/>
        <w:rPr>
          <w:rFonts w:ascii="Arial" w:hAnsi="Arial" w:cs="Arial"/>
          <w:szCs w:val="21"/>
        </w:rPr>
      </w:pPr>
      <w:r>
        <w:rPr>
          <w:rFonts w:ascii="Arial" w:hAnsi="Arial" w:cs="Arial"/>
          <w:szCs w:val="21"/>
        </w:rPr>
        <w:t>2. Can mathematical passenger-flow models inform effective operational congestion-mitigation strategies?</w:t>
      </w:r>
    </w:p>
    <w:p w14:paraId="3EBA22D3">
      <w:pPr>
        <w:widowControl/>
        <w:jc w:val="left"/>
        <w:rPr>
          <w:rFonts w:ascii="Arial" w:hAnsi="Arial" w:cs="Arial"/>
          <w:szCs w:val="21"/>
        </w:rPr>
      </w:pPr>
      <w:r>
        <w:rPr>
          <w:rFonts w:ascii="Arial" w:hAnsi="Arial" w:cs="Arial"/>
          <w:szCs w:val="21"/>
        </w:rPr>
        <w:t>3. How do optimized operations compare with existing configurations in terms of congestion indicators?</w:t>
      </w:r>
    </w:p>
    <w:p w14:paraId="236DC11C">
      <w:pPr>
        <w:pStyle w:val="2"/>
        <w:rPr>
          <w:rFonts w:hint="default" w:ascii="Arial" w:hAnsi="Arial" w:cs="Arial"/>
          <w:sz w:val="28"/>
          <w:szCs w:val="28"/>
        </w:rPr>
      </w:pPr>
      <w:r>
        <w:rPr>
          <w:rFonts w:hint="default" w:ascii="Arial" w:hAnsi="Arial" w:cs="Arial"/>
          <w:sz w:val="28"/>
          <w:szCs w:val="28"/>
        </w:rPr>
        <w:t>Research Design and Methodology</w:t>
      </w:r>
    </w:p>
    <w:p w14:paraId="64B23B73">
      <w:pPr>
        <w:pStyle w:val="7"/>
        <w:widowControl/>
        <w:rPr>
          <w:rStyle w:val="10"/>
          <w:rFonts w:ascii="Arial" w:hAnsi="Arial" w:cs="Arial"/>
        </w:rPr>
      </w:pPr>
      <w:r>
        <w:rPr>
          <w:rStyle w:val="10"/>
          <w:rFonts w:ascii="Arial" w:hAnsi="Arial" w:cs="Arial"/>
        </w:rPr>
        <w:t>4.</w:t>
      </w:r>
      <w:r>
        <w:rPr>
          <w:rStyle w:val="10"/>
          <w:rFonts w:hint="eastAsia" w:ascii="Arial" w:hAnsi="Arial" w:cs="Arial"/>
        </w:rPr>
        <w:t>1</w:t>
      </w:r>
      <w:r>
        <w:rPr>
          <w:rStyle w:val="10"/>
          <w:rFonts w:ascii="Arial" w:hAnsi="Arial" w:cs="Arial"/>
        </w:rPr>
        <w:t xml:space="preserve"> </w:t>
      </w:r>
      <w:r>
        <w:rPr>
          <w:rStyle w:val="10"/>
          <w:rFonts w:hint="eastAsia" w:ascii="Arial" w:hAnsi="Arial" w:cs="Arial"/>
        </w:rPr>
        <w:t>Field Visit</w:t>
      </w:r>
    </w:p>
    <w:p w14:paraId="394A7BDD">
      <w:pPr>
        <w:widowControl/>
        <w:spacing w:before="100" w:beforeAutospacing="1" w:after="100" w:afterAutospacing="1"/>
        <w:jc w:val="left"/>
        <w:rPr>
          <w:rFonts w:ascii="Arial" w:hAnsi="Arial" w:cs="Arial"/>
          <w:kern w:val="0"/>
          <w:szCs w:val="21"/>
          <w:lang w:bidi="ar"/>
        </w:rPr>
      </w:pPr>
      <w:r>
        <w:rPr>
          <w:rFonts w:ascii="Arial" w:hAnsi="Arial" w:cs="Arial"/>
          <w:kern w:val="0"/>
          <w:szCs w:val="21"/>
          <w:lang w:bidi="ar"/>
        </w:rPr>
        <w:t xml:space="preserve">To complement the theoretical modelling framework and verify the practical relevance of the research problem, a field visit </w:t>
      </w:r>
      <w:r>
        <w:rPr>
          <w:rFonts w:hint="eastAsia" w:ascii="Arial" w:hAnsi="Arial" w:cs="Arial"/>
          <w:kern w:val="0"/>
          <w:szCs w:val="21"/>
          <w:lang w:bidi="ar"/>
        </w:rPr>
        <w:t>will be</w:t>
      </w:r>
      <w:r>
        <w:rPr>
          <w:rFonts w:ascii="Arial" w:hAnsi="Arial" w:cs="Arial"/>
          <w:kern w:val="0"/>
          <w:szCs w:val="21"/>
          <w:lang w:bidi="ar"/>
        </w:rPr>
        <w:t xml:space="preserve"> conducted at selected MRT stations during peak commuting periods. The purpose of the field visit is to observe real passenger-flow patterns, identify potential congestion points, and compare these observations with the congestion mechanisms suggested by previous research.</w:t>
      </w:r>
    </w:p>
    <w:p w14:paraId="789A2AD2">
      <w:pPr>
        <w:widowControl/>
        <w:spacing w:before="100" w:beforeAutospacing="1" w:after="100" w:afterAutospacing="1"/>
        <w:jc w:val="left"/>
        <w:rPr>
          <w:rStyle w:val="10"/>
          <w:rFonts w:ascii="Arial" w:hAnsi="Arial" w:cs="Arial"/>
          <w:sz w:val="24"/>
        </w:rPr>
      </w:pPr>
      <w:r>
        <w:rPr>
          <w:rFonts w:ascii="Arial" w:hAnsi="Arial" w:cs="Arial"/>
          <w:kern w:val="0"/>
          <w:szCs w:val="21"/>
          <w:lang w:bidi="ar"/>
        </w:rPr>
        <w:t>Observations could be carried out at Raffles Place MRT stations during both morning and evening peak hours. This station is selected because passenger-load data indicates that it consistently experience some of the highest ridership levels in the MRT network (Tan, 2025). Besides, with its central location next to CBD area and essential function as the joint point of East West Line and North South Line, Raffles Place stands out as a ideal target for congestion optimization.</w:t>
      </w:r>
    </w:p>
    <w:p w14:paraId="15B1CF60">
      <w:pPr>
        <w:pStyle w:val="4"/>
        <w:widowControl/>
        <w:rPr>
          <w:rFonts w:hint="default" w:ascii="Arial" w:hAnsi="Arial" w:cs="Arial"/>
          <w:sz w:val="24"/>
          <w:szCs w:val="24"/>
        </w:rPr>
      </w:pPr>
      <w:r>
        <w:rPr>
          <w:rStyle w:val="10"/>
          <w:rFonts w:hint="default" w:ascii="Arial" w:hAnsi="Arial" w:cs="Arial"/>
          <w:b/>
          <w:sz w:val="24"/>
          <w:szCs w:val="24"/>
        </w:rPr>
        <w:t>4.</w:t>
      </w:r>
      <w:r>
        <w:rPr>
          <w:rStyle w:val="10"/>
          <w:rFonts w:ascii="Arial" w:hAnsi="Arial" w:cs="Arial"/>
          <w:b/>
          <w:sz w:val="24"/>
          <w:szCs w:val="24"/>
        </w:rPr>
        <w:t>2</w:t>
      </w:r>
      <w:r>
        <w:rPr>
          <w:rStyle w:val="10"/>
          <w:rFonts w:hint="default" w:ascii="Arial" w:hAnsi="Arial" w:cs="Arial"/>
          <w:b/>
          <w:sz w:val="24"/>
          <w:szCs w:val="24"/>
        </w:rPr>
        <w:t xml:space="preserve"> Data Sources</w:t>
      </w:r>
    </w:p>
    <w:p w14:paraId="092989D2">
      <w:pPr>
        <w:rPr>
          <w:rFonts w:ascii="Arial" w:hAnsi="Arial" w:cs="Arial"/>
        </w:rPr>
      </w:pPr>
      <w:r>
        <w:rPr>
          <w:rFonts w:ascii="Arial" w:hAnsi="Arial" w:cs="Arial"/>
        </w:rPr>
        <w:t>1. Station-level passenger-load data (AM and PM peaks) which could be retrieved from official API offered by LTM Datamall or published materials;</w:t>
      </w:r>
    </w:p>
    <w:p w14:paraId="521EF307">
      <w:pPr>
        <w:rPr>
          <w:rFonts w:ascii="Arial" w:hAnsi="Arial" w:cs="Arial"/>
        </w:rPr>
      </w:pPr>
      <w:r>
        <w:rPr>
          <w:rFonts w:ascii="Arial" w:hAnsi="Arial" w:cs="Arial"/>
        </w:rPr>
        <w:t>2. Station layout characteristics (platforms, corridors, escalators);</w:t>
      </w:r>
    </w:p>
    <w:p w14:paraId="0FE0441F">
      <w:pPr>
        <w:rPr>
          <w:rFonts w:ascii="Arial" w:hAnsi="Arial" w:cs="Arial"/>
        </w:rPr>
      </w:pPr>
      <w:r>
        <w:rPr>
          <w:rFonts w:ascii="Arial" w:hAnsi="Arial" w:cs="Arial"/>
        </w:rPr>
        <w:t>3. Model parameters adopted directly from cited literature.</w:t>
      </w:r>
    </w:p>
    <w:p w14:paraId="183730C0">
      <w:pPr>
        <w:pStyle w:val="4"/>
        <w:widowControl/>
        <w:rPr>
          <w:rFonts w:hint="default" w:ascii="Arial" w:hAnsi="Arial" w:cs="Arial"/>
          <w:sz w:val="24"/>
          <w:szCs w:val="24"/>
        </w:rPr>
      </w:pPr>
      <w:r>
        <w:rPr>
          <w:rStyle w:val="10"/>
          <w:rFonts w:hint="default" w:ascii="Arial" w:hAnsi="Arial" w:cs="Arial"/>
          <w:b/>
          <w:sz w:val="24"/>
          <w:szCs w:val="24"/>
        </w:rPr>
        <w:t>4.</w:t>
      </w:r>
      <w:r>
        <w:rPr>
          <w:rStyle w:val="10"/>
          <w:rFonts w:ascii="Arial" w:hAnsi="Arial" w:cs="Arial"/>
          <w:b/>
          <w:sz w:val="24"/>
          <w:szCs w:val="24"/>
        </w:rPr>
        <w:t>3</w:t>
      </w:r>
      <w:r>
        <w:rPr>
          <w:rStyle w:val="10"/>
          <w:rFonts w:hint="default" w:ascii="Arial" w:hAnsi="Arial" w:cs="Arial"/>
          <w:b/>
          <w:sz w:val="24"/>
          <w:szCs w:val="24"/>
        </w:rPr>
        <w:t xml:space="preserve"> Modelling Framework</w:t>
      </w:r>
    </w:p>
    <w:p w14:paraId="06998822">
      <w:pPr>
        <w:pStyle w:val="7"/>
        <w:widowControl/>
        <w:rPr>
          <w:rFonts w:ascii="Arial" w:hAnsi="Arial" w:cs="Arial"/>
          <w:sz w:val="21"/>
          <w:szCs w:val="21"/>
        </w:rPr>
      </w:pPr>
      <w:r>
        <w:rPr>
          <w:rFonts w:ascii="Arial" w:hAnsi="Arial" w:cs="Arial"/>
          <w:sz w:val="21"/>
          <w:szCs w:val="21"/>
        </w:rPr>
        <w:t>Bottlenecks are modeled using queuing theory, with expected queue length and waiting time calculated following Xu et al. (2014). For the real situation in an MRT station, the Bottleneck-points could be the ticket check entrance and crowded escalators or elevators during peak hours. Overall pedestrian movement is analyzed using crowd dynamics conservation principles (Albi et al., 2020). Congestion severity in testing model could be quantified using performance indicators such as the time consumption of total travel time estimated as:</w:t>
      </w:r>
    </w:p>
    <w:p w14:paraId="090C50F0">
      <w:pPr>
        <w:pStyle w:val="7"/>
        <w:widowControl/>
        <w:rPr>
          <w:rFonts w:hAnsi="Cambria Math"/>
          <w:sz w:val="21"/>
        </w:rPr>
      </w:pPr>
      <m:oMathPara>
        <m:oMath>
          <m:sSub>
            <m:sSubPr>
              <m:ctrlPr>
                <w:rPr>
                  <w:rFonts w:ascii="Cambria Math" w:hAnsi="Cambria Math"/>
                  <w:sz w:val="21"/>
                </w:rPr>
              </m:ctrlPr>
            </m:sSubPr>
            <m:e>
              <m:r>
                <m:rPr/>
                <w:rPr>
                  <w:rFonts w:ascii="Cambria Math" w:hAnsi="Cambria Math"/>
                  <w:sz w:val="21"/>
                </w:rPr>
                <m:t>t</m:t>
              </m:r>
              <m:ctrlPr>
                <w:rPr>
                  <w:rFonts w:ascii="Cambria Math" w:hAnsi="Cambria Math"/>
                  <w:sz w:val="21"/>
                </w:rPr>
              </m:ctrlPr>
            </m:e>
            <m:sub>
              <m:r>
                <m:rPr/>
                <w:rPr>
                  <w:rFonts w:ascii="Cambria Math" w:hAnsi="Cambria Math"/>
                  <w:sz w:val="21"/>
                </w:rPr>
                <m:t>i</m:t>
              </m:r>
              <m:ctrlPr>
                <w:rPr>
                  <w:rFonts w:ascii="Cambria Math" w:hAnsi="Cambria Math"/>
                  <w:sz w:val="21"/>
                </w:rPr>
              </m:ctrlPr>
            </m:sub>
          </m:sSub>
          <m:r>
            <m:rPr/>
            <w:rPr>
              <w:rFonts w:ascii="Cambria Math" w:hAnsi="Cambria Math"/>
              <w:sz w:val="21"/>
            </w:rPr>
            <m:t>=</m:t>
          </m:r>
          <m:f>
            <m:fPr>
              <m:ctrlPr>
                <w:rPr>
                  <w:rFonts w:ascii="Cambria Math" w:hAnsi="Cambria Math"/>
                  <w:i/>
                  <w:sz w:val="21"/>
                </w:rPr>
              </m:ctrlPr>
            </m:fPr>
            <m:num>
              <m:sSubSup>
                <m:sSubSupPr>
                  <m:ctrlPr>
                    <w:rPr>
                      <w:rFonts w:ascii="Cambria Math" w:hAnsi="Cambria Math"/>
                      <w:sz w:val="21"/>
                    </w:rPr>
                  </m:ctrlPr>
                </m:sSubSupPr>
                <m:e>
                  <m:r>
                    <m:rPr/>
                    <w:rPr>
                      <w:rFonts w:ascii="Cambria Math" w:hAnsi="Cambria Math"/>
                      <w:sz w:val="21"/>
                    </w:rPr>
                    <m:t>d</m:t>
                  </m:r>
                  <m:ctrlPr>
                    <w:rPr>
                      <w:rFonts w:ascii="Cambria Math" w:hAnsi="Cambria Math"/>
                      <w:sz w:val="21"/>
                    </w:rPr>
                  </m:ctrlPr>
                </m:e>
                <m:sub>
                  <m:r>
                    <m:rPr/>
                    <w:rPr>
                      <w:rFonts w:ascii="Cambria Math" w:hAnsi="Cambria Math"/>
                      <w:sz w:val="21"/>
                    </w:rPr>
                    <m:t>i</m:t>
                  </m:r>
                  <m:ctrlPr>
                    <w:rPr>
                      <w:rFonts w:ascii="Cambria Math" w:hAnsi="Cambria Math"/>
                      <w:sz w:val="21"/>
                    </w:rPr>
                  </m:ctrlPr>
                </m:sub>
                <m:sup>
                  <m:r>
                    <m:rPr/>
                    <w:rPr>
                      <w:rFonts w:ascii="Cambria Math" w:hAnsi="Cambria Math"/>
                      <w:sz w:val="21"/>
                    </w:rPr>
                    <m:t>ep</m:t>
                  </m:r>
                  <m:ctrlPr>
                    <w:rPr>
                      <w:rFonts w:ascii="Cambria Math" w:hAnsi="Cambria Math"/>
                      <w:sz w:val="21"/>
                    </w:rPr>
                  </m:ctrlPr>
                </m:sup>
              </m:sSubSup>
              <m:ctrlPr>
                <w:rPr>
                  <w:rFonts w:ascii="Cambria Math" w:hAnsi="Cambria Math"/>
                  <w:sz w:val="21"/>
                </w:rPr>
              </m:ctrlPr>
            </m:num>
            <m:den>
              <m:sSub>
                <m:sSubPr>
                  <m:ctrlPr>
                    <w:rPr>
                      <w:rFonts w:ascii="Cambria Math" w:hAnsi="Cambria Math"/>
                      <w:sz w:val="21"/>
                    </w:rPr>
                  </m:ctrlPr>
                </m:sSubPr>
                <m:e>
                  <m:r>
                    <m:rPr/>
                    <w:rPr>
                      <w:rFonts w:ascii="Cambria Math" w:hAnsi="Cambria Math"/>
                      <w:sz w:val="21"/>
                    </w:rPr>
                    <m:t>v</m:t>
                  </m:r>
                  <m:ctrlPr>
                    <w:rPr>
                      <w:rFonts w:ascii="Cambria Math" w:hAnsi="Cambria Math"/>
                      <w:sz w:val="21"/>
                    </w:rPr>
                  </m:ctrlPr>
                </m:e>
                <m:sub>
                  <m:r>
                    <m:rPr/>
                    <w:rPr>
                      <w:rFonts w:ascii="Cambria Math" w:hAnsi="Cambria Math"/>
                      <w:sz w:val="21"/>
                    </w:rPr>
                    <m:t>i</m:t>
                  </m:r>
                  <m:ctrlPr>
                    <w:rPr>
                      <w:rFonts w:ascii="Cambria Math" w:hAnsi="Cambria Math"/>
                      <w:sz w:val="21"/>
                    </w:rPr>
                  </m:ctrlPr>
                </m:sub>
              </m:sSub>
              <m:ctrlPr>
                <w:rPr>
                  <w:rFonts w:ascii="Cambria Math" w:hAnsi="Cambria Math"/>
                  <w:sz w:val="21"/>
                </w:rPr>
              </m:ctrlPr>
            </m:den>
          </m:f>
          <m:r>
            <m:rPr/>
            <w:rPr>
              <w:rFonts w:ascii="Cambria Math" w:hAnsi="Cambria Math"/>
              <w:sz w:val="21"/>
            </w:rPr>
            <m:t>+</m:t>
          </m:r>
          <m:f>
            <m:fPr>
              <m:ctrlPr>
                <w:rPr>
                  <w:rFonts w:ascii="Cambria Math" w:hAnsi="Cambria Math"/>
                  <w:i/>
                  <w:sz w:val="21"/>
                </w:rPr>
              </m:ctrlPr>
            </m:fPr>
            <m:num>
              <m:sSubSup>
                <m:sSubSupPr>
                  <m:ctrlPr>
                    <w:rPr>
                      <w:rFonts w:ascii="Cambria Math" w:hAnsi="Cambria Math"/>
                      <w:sz w:val="21"/>
                    </w:rPr>
                  </m:ctrlPr>
                </m:sSubSupPr>
                <m:e>
                  <m:r>
                    <m:rPr/>
                    <w:rPr>
                      <w:rFonts w:ascii="Cambria Math" w:hAnsi="Cambria Math"/>
                      <w:sz w:val="21"/>
                    </w:rPr>
                    <m:t>h</m:t>
                  </m:r>
                  <m:ctrlPr>
                    <w:rPr>
                      <w:rFonts w:ascii="Cambria Math" w:hAnsi="Cambria Math"/>
                      <w:sz w:val="21"/>
                    </w:rPr>
                  </m:ctrlPr>
                </m:e>
                <m:sub>
                  <m:r>
                    <m:rPr/>
                    <w:rPr>
                      <w:rFonts w:ascii="Cambria Math" w:hAnsi="Cambria Math"/>
                      <w:sz w:val="21"/>
                    </w:rPr>
                    <m:t>i</m:t>
                  </m:r>
                  <m:ctrlPr>
                    <w:rPr>
                      <w:rFonts w:ascii="Cambria Math" w:hAnsi="Cambria Math"/>
                      <w:sz w:val="21"/>
                    </w:rPr>
                  </m:ctrlPr>
                </m:sub>
                <m:sup>
                  <m:r>
                    <m:rPr/>
                    <w:rPr>
                      <w:rFonts w:ascii="Cambria Math" w:hAnsi="Cambria Math"/>
                      <w:sz w:val="21"/>
                    </w:rPr>
                    <m:t>ep</m:t>
                  </m:r>
                  <m:ctrlPr>
                    <w:rPr>
                      <w:rFonts w:ascii="Cambria Math" w:hAnsi="Cambria Math"/>
                      <w:sz w:val="21"/>
                    </w:rPr>
                  </m:ctrlPr>
                </m:sup>
              </m:sSubSup>
              <m:ctrlPr>
                <w:rPr>
                  <w:rFonts w:ascii="Cambria Math" w:hAnsi="Cambria Math"/>
                  <w:sz w:val="21"/>
                </w:rPr>
              </m:ctrlPr>
            </m:num>
            <m:den>
              <m:sSub>
                <m:sSubPr>
                  <m:ctrlPr>
                    <w:rPr>
                      <w:rFonts w:ascii="Cambria Math" w:hAnsi="Cambria Math"/>
                      <w:sz w:val="21"/>
                    </w:rPr>
                  </m:ctrlPr>
                </m:sSubPr>
                <m:e>
                  <m:r>
                    <m:rPr/>
                    <w:rPr>
                      <w:rFonts w:ascii="Cambria Math" w:hAnsi="Cambria Math"/>
                      <w:sz w:val="21"/>
                    </w:rPr>
                    <m:t>v</m:t>
                  </m:r>
                  <m:ctrlPr>
                    <w:rPr>
                      <w:rFonts w:ascii="Cambria Math" w:hAnsi="Cambria Math"/>
                      <w:sz w:val="21"/>
                    </w:rPr>
                  </m:ctrlPr>
                </m:e>
                <m:sub>
                  <m:r>
                    <m:rPr/>
                    <w:rPr>
                      <w:rFonts w:ascii="Cambria Math" w:hAnsi="Cambria Math"/>
                      <w:sz w:val="21"/>
                    </w:rPr>
                    <m:t>i</m:t>
                  </m:r>
                  <m:ctrlPr>
                    <w:rPr>
                      <w:rFonts w:ascii="Cambria Math" w:hAnsi="Cambria Math"/>
                      <w:sz w:val="21"/>
                    </w:rPr>
                  </m:ctrlPr>
                </m:sub>
              </m:sSub>
              <m:r>
                <m:rPr/>
                <w:rPr>
                  <w:rFonts w:ascii="Cambria Math" w:hAnsi="Cambria Math"/>
                  <w:sz w:val="21"/>
                </w:rPr>
                <m:t>⋅</m:t>
              </m:r>
              <m:func>
                <m:funcPr>
                  <m:ctrlPr>
                    <w:rPr>
                      <w:rFonts w:ascii="Cambria Math" w:hAnsi="Cambria Math"/>
                      <w:sz w:val="21"/>
                    </w:rPr>
                  </m:ctrlPr>
                </m:funcPr>
                <m:fName>
                  <m:r>
                    <m:rPr>
                      <m:sty m:val="p"/>
                    </m:rPr>
                    <w:rPr>
                      <w:rFonts w:ascii="Cambria Math" w:hAnsi="Cambria Math"/>
                      <w:sz w:val="21"/>
                    </w:rPr>
                    <m:t>sin</m:t>
                  </m:r>
                  <m:ctrlPr>
                    <w:rPr>
                      <w:rFonts w:ascii="Cambria Math" w:hAnsi="Cambria Math"/>
                      <w:sz w:val="21"/>
                    </w:rPr>
                  </m:ctrlPr>
                </m:fName>
                <m:e>
                  <m:r>
                    <m:rPr/>
                    <w:rPr>
                      <w:rFonts w:ascii="Cambria Math" w:hAnsi="Cambria Math"/>
                      <w:sz w:val="21"/>
                    </w:rPr>
                    <m:t>α</m:t>
                  </m:r>
                  <m:ctrlPr>
                    <w:rPr>
                      <w:rFonts w:ascii="Cambria Math" w:hAnsi="Cambria Math"/>
                      <w:sz w:val="21"/>
                    </w:rPr>
                  </m:ctrlPr>
                </m:e>
              </m:func>
              <m:ctrlPr>
                <w:rPr>
                  <w:rFonts w:ascii="Cambria Math" w:hAnsi="Cambria Math"/>
                  <w:sz w:val="21"/>
                </w:rPr>
              </m:ctrlPr>
            </m:den>
          </m:f>
          <m:r>
            <m:rPr/>
            <w:rPr>
              <w:rFonts w:ascii="Cambria Math" w:hAnsi="Cambria Math"/>
              <w:sz w:val="21"/>
            </w:rPr>
            <m:t>+</m:t>
          </m:r>
          <m:nary>
            <m:naryPr>
              <m:chr m:val="∑"/>
              <m:limLoc m:val="undOvr"/>
              <m:ctrlPr>
                <w:rPr>
                  <w:rFonts w:ascii="Cambria Math" w:hAnsi="Cambria Math"/>
                  <w:i/>
                  <w:sz w:val="21"/>
                </w:rPr>
              </m:ctrlPr>
            </m:naryPr>
            <m:sub>
              <m:r>
                <m:rPr/>
                <w:rPr>
                  <w:rFonts w:ascii="Cambria Math" w:hAnsi="Cambria Math"/>
                  <w:sz w:val="21"/>
                </w:rPr>
                <m:t>j=1</m:t>
              </m:r>
              <m:ctrlPr>
                <w:rPr>
                  <w:rFonts w:ascii="Cambria Math" w:hAnsi="Cambria Math"/>
                  <w:sz w:val="21"/>
                </w:rPr>
              </m:ctrlPr>
            </m:sub>
            <m:sup>
              <m:r>
                <m:rPr/>
                <w:rPr>
                  <w:rFonts w:ascii="Cambria Math" w:hAnsi="Cambria Math"/>
                  <w:sz w:val="21"/>
                </w:rPr>
                <m:t>k</m:t>
              </m:r>
              <m:ctrlPr>
                <w:rPr>
                  <w:rFonts w:ascii="Cambria Math" w:hAnsi="Cambria Math"/>
                  <w:sz w:val="21"/>
                </w:rPr>
              </m:ctrlPr>
            </m:sup>
            <m:e>
              <m:sSubSup>
                <m:sSubSupPr>
                  <m:ctrlPr>
                    <w:rPr>
                      <w:rFonts w:ascii="Cambria Math" w:hAnsi="Cambria Math"/>
                      <w:sz w:val="21"/>
                    </w:rPr>
                  </m:ctrlPr>
                </m:sSubSupPr>
                <m:e>
                  <m:r>
                    <m:rPr/>
                    <w:rPr>
                      <w:rFonts w:ascii="Cambria Math" w:hAnsi="Cambria Math"/>
                      <w:sz w:val="21"/>
                    </w:rPr>
                    <m:t>t</m:t>
                  </m:r>
                  <m:ctrlPr>
                    <w:rPr>
                      <w:rFonts w:ascii="Cambria Math" w:hAnsi="Cambria Math"/>
                      <w:sz w:val="21"/>
                    </w:rPr>
                  </m:ctrlPr>
                </m:e>
                <m:sub>
                  <m:r>
                    <m:rPr/>
                    <w:rPr>
                      <w:rFonts w:ascii="Cambria Math" w:hAnsi="Cambria Math"/>
                      <w:sz w:val="21"/>
                    </w:rPr>
                    <m:t>i,j</m:t>
                  </m:r>
                  <m:ctrlPr>
                    <w:rPr>
                      <w:rFonts w:ascii="Cambria Math" w:hAnsi="Cambria Math"/>
                      <w:sz w:val="21"/>
                    </w:rPr>
                  </m:ctrlPr>
                </m:sub>
                <m:sup>
                  <m:r>
                    <m:rPr/>
                    <w:rPr>
                      <w:rFonts w:ascii="Cambria Math" w:hAnsi="Cambria Math"/>
                      <w:sz w:val="21"/>
                    </w:rPr>
                    <m:t>q</m:t>
                  </m:r>
                  <m:ctrlPr>
                    <w:rPr>
                      <w:rFonts w:ascii="Cambria Math" w:hAnsi="Cambria Math"/>
                      <w:sz w:val="21"/>
                    </w:rPr>
                  </m:ctrlPr>
                </m:sup>
              </m:sSubSup>
              <m:ctrlPr>
                <w:rPr>
                  <w:rFonts w:ascii="Cambria Math" w:hAnsi="Cambria Math"/>
                  <w:sz w:val="21"/>
                </w:rPr>
              </m:ctrlPr>
            </m:e>
          </m:nary>
          <m:r>
            <m:rPr/>
            <w:rPr>
              <w:rFonts w:ascii="Cambria Math" w:hAnsi="Cambria Math"/>
              <w:sz w:val="21"/>
            </w:rPr>
            <m:t>+</m:t>
          </m:r>
          <m:nary>
            <m:naryPr>
              <m:chr m:val="∑"/>
              <m:limLoc m:val="undOvr"/>
              <m:ctrlPr>
                <w:rPr>
                  <w:rFonts w:ascii="Cambria Math" w:hAnsi="Cambria Math"/>
                  <w:i/>
                  <w:sz w:val="21"/>
                </w:rPr>
              </m:ctrlPr>
            </m:naryPr>
            <m:sub>
              <m:r>
                <m:rPr/>
                <w:rPr>
                  <w:rFonts w:ascii="Cambria Math" w:hAnsi="Cambria Math"/>
                  <w:sz w:val="21"/>
                </w:rPr>
                <m:t>j=1</m:t>
              </m:r>
              <m:ctrlPr>
                <w:rPr>
                  <w:rFonts w:ascii="Cambria Math" w:hAnsi="Cambria Math"/>
                  <w:sz w:val="21"/>
                </w:rPr>
              </m:ctrlPr>
            </m:sub>
            <m:sup>
              <m:r>
                <m:rPr/>
                <w:rPr>
                  <w:rFonts w:ascii="Cambria Math" w:hAnsi="Cambria Math"/>
                  <w:sz w:val="21"/>
                </w:rPr>
                <m:t>k</m:t>
              </m:r>
              <m:ctrlPr>
                <w:rPr>
                  <w:rFonts w:ascii="Cambria Math" w:hAnsi="Cambria Math"/>
                  <w:sz w:val="21"/>
                </w:rPr>
              </m:ctrlPr>
            </m:sup>
            <m:e>
              <m:sSubSup>
                <m:sSubSupPr>
                  <m:ctrlPr>
                    <w:rPr>
                      <w:rFonts w:ascii="Cambria Math" w:hAnsi="Cambria Math"/>
                      <w:sz w:val="21"/>
                    </w:rPr>
                  </m:ctrlPr>
                </m:sSubSupPr>
                <m:e>
                  <m:r>
                    <m:rPr/>
                    <w:rPr>
                      <w:rFonts w:ascii="Cambria Math" w:hAnsi="Cambria Math"/>
                      <w:sz w:val="21"/>
                    </w:rPr>
                    <m:t>t</m:t>
                  </m:r>
                  <m:ctrlPr>
                    <w:rPr>
                      <w:rFonts w:ascii="Cambria Math" w:hAnsi="Cambria Math"/>
                      <w:sz w:val="21"/>
                    </w:rPr>
                  </m:ctrlPr>
                </m:e>
                <m:sub>
                  <m:r>
                    <m:rPr/>
                    <w:rPr>
                      <w:rFonts w:ascii="Cambria Math" w:hAnsi="Cambria Math"/>
                      <w:sz w:val="21"/>
                    </w:rPr>
                    <m:t>i,j</m:t>
                  </m:r>
                  <m:ctrlPr>
                    <w:rPr>
                      <w:rFonts w:ascii="Cambria Math" w:hAnsi="Cambria Math"/>
                      <w:sz w:val="21"/>
                    </w:rPr>
                  </m:ctrlPr>
                </m:sub>
                <m:sup>
                  <m:r>
                    <m:rPr/>
                    <w:rPr>
                      <w:rFonts w:ascii="Cambria Math" w:hAnsi="Cambria Math"/>
                      <w:sz w:val="21"/>
                    </w:rPr>
                    <m:t>s</m:t>
                  </m:r>
                  <m:ctrlPr>
                    <w:rPr>
                      <w:rFonts w:ascii="Cambria Math" w:hAnsi="Cambria Math"/>
                      <w:sz w:val="21"/>
                    </w:rPr>
                  </m:ctrlPr>
                </m:sup>
              </m:sSubSup>
              <m:ctrlPr>
                <w:rPr>
                  <w:rFonts w:ascii="Cambria Math" w:hAnsi="Cambria Math"/>
                  <w:sz w:val="21"/>
                </w:rPr>
              </m:ctrlPr>
            </m:e>
          </m:nary>
        </m:oMath>
      </m:oMathPara>
    </w:p>
    <w:p w14:paraId="4105FA29">
      <w:pPr>
        <w:rPr>
          <w:rFonts w:ascii="Arial" w:hAnsi="Arial" w:cs="Arial"/>
        </w:rPr>
      </w:pPr>
      <w:r>
        <w:rPr>
          <w:rFonts w:ascii="Arial" w:hAnsi="Arial" w:cs="Arial"/>
        </w:rPr>
        <w:t>where</w:t>
      </w:r>
      <w:r>
        <w:t xml:space="preserve"> </w:t>
      </w:r>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i</m:t>
            </m:r>
            <m:ctrlPr>
              <w:rPr>
                <w:rFonts w:ascii="Cambria Math" w:hAnsi="Cambria Math"/>
              </w:rPr>
            </m:ctrlPr>
          </m:sub>
        </m:sSub>
      </m:oMath>
      <w:r>
        <w:t xml:space="preserve"> </w:t>
      </w:r>
      <w:r>
        <w:rPr>
          <w:rFonts w:ascii="Arial" w:hAnsi="Arial" w:cs="Arial"/>
        </w:rPr>
        <w:t>is the total journey time for a passenger marked as</w:t>
      </w:r>
      <w:r>
        <w:t xml:space="preserve"> </w:t>
      </w:r>
      <m:oMath>
        <m:r>
          <m:rPr>
            <m:sty m:val="p"/>
          </m:rPr>
          <w:rPr>
            <w:rFonts w:ascii="Times New Roman" w:hAnsi="Times New Roman"/>
          </w:rPr>
          <m:t>i</m:t>
        </m:r>
      </m:oMath>
      <w:r>
        <w:rPr>
          <w:rFonts w:ascii="Arial" w:hAnsi="Arial" w:cs="Arial"/>
        </w:rPr>
        <w:t>,</w:t>
      </w:r>
      <w:r>
        <w:t xml:space="preserve"> </w:t>
      </w:r>
      <m:oMath>
        <m:sSubSup>
          <m:sSubSupPr>
            <m:ctrlPr>
              <w:rPr>
                <w:rFonts w:ascii="Cambria Math" w:hAnsi="Cambria Math"/>
              </w:rPr>
            </m:ctrlPr>
          </m:sSubSupPr>
          <m:e>
            <m:r>
              <m:rPr>
                <m:sty m:val="p"/>
              </m:rPr>
              <w:rPr>
                <w:rFonts w:ascii="Times New Roman" w:hAnsi="Times New Roman"/>
              </w:rPr>
              <m:t>t</m:t>
            </m:r>
            <m:ctrlPr>
              <w:rPr>
                <w:rFonts w:ascii="Cambria Math" w:hAnsi="Cambria Math"/>
              </w:rPr>
            </m:ctrlPr>
          </m:e>
          <m:sub>
            <m:r>
              <m:rPr>
                <m:sty m:val="p"/>
              </m:rPr>
              <w:rPr>
                <w:rFonts w:ascii="Times New Roman" w:hAnsi="Times New Roman"/>
              </w:rPr>
              <m:t>i,j</m:t>
            </m:r>
            <m:ctrlPr>
              <w:rPr>
                <w:rFonts w:ascii="Cambria Math" w:hAnsi="Cambria Math"/>
              </w:rPr>
            </m:ctrlPr>
          </m:sub>
          <m:sup>
            <m:r>
              <m:rPr>
                <m:sty m:val="p"/>
              </m:rPr>
              <w:rPr>
                <w:rFonts w:ascii="Times New Roman" w:hAnsi="Times New Roman"/>
              </w:rPr>
              <m:t>q</m:t>
            </m:r>
            <m:ctrlPr>
              <w:rPr>
                <w:rFonts w:ascii="Cambria Math" w:hAnsi="Cambria Math"/>
              </w:rPr>
            </m:ctrlPr>
          </m:sup>
        </m:sSubSup>
      </m:oMath>
      <w:r>
        <w:rPr>
          <w:rFonts w:ascii="Arial" w:hAnsi="Arial" w:cs="Arial"/>
        </w:rPr>
        <w:t xml:space="preserve"> and </w:t>
      </w:r>
      <m:oMath>
        <m:sSubSup>
          <m:sSubSupPr>
            <m:ctrlPr>
              <w:rPr>
                <w:rFonts w:ascii="Cambria Math" w:hAnsi="Cambria Math"/>
              </w:rPr>
            </m:ctrlPr>
          </m:sSubSupPr>
          <m:e>
            <m:r>
              <m:rPr>
                <m:sty m:val="p"/>
              </m:rPr>
              <w:rPr>
                <w:rFonts w:ascii="Times New Roman" w:hAnsi="Times New Roman"/>
              </w:rPr>
              <m:t>t</m:t>
            </m:r>
            <m:ctrlPr>
              <w:rPr>
                <w:rFonts w:ascii="Cambria Math" w:hAnsi="Cambria Math"/>
              </w:rPr>
            </m:ctrlPr>
          </m:e>
          <m:sub>
            <m:r>
              <m:rPr>
                <m:sty m:val="p"/>
              </m:rPr>
              <w:rPr>
                <w:rFonts w:ascii="Times New Roman" w:hAnsi="Times New Roman"/>
              </w:rPr>
              <m:t>i,j</m:t>
            </m:r>
            <m:ctrlPr>
              <w:rPr>
                <w:rFonts w:ascii="Cambria Math" w:hAnsi="Cambria Math"/>
              </w:rPr>
            </m:ctrlPr>
          </m:sub>
          <m:sup>
            <m:r>
              <m:rPr>
                <m:sty m:val="p"/>
              </m:rPr>
              <w:rPr>
                <w:rFonts w:ascii="Times New Roman" w:hAnsi="Times New Roman"/>
              </w:rPr>
              <m:t>s</m:t>
            </m:r>
            <m:ctrlPr>
              <w:rPr>
                <w:rFonts w:ascii="Cambria Math" w:hAnsi="Cambria Math"/>
              </w:rPr>
            </m:ctrlPr>
          </m:sup>
        </m:sSubSup>
      </m:oMath>
      <w:r>
        <w:t xml:space="preserve"> </w:t>
      </w:r>
      <w:r>
        <w:rPr>
          <w:rFonts w:ascii="Arial" w:hAnsi="Arial" w:cs="Arial"/>
        </w:rPr>
        <w:t>show the queuing time and service time at service facility</w:t>
      </w:r>
      <w:r>
        <w:t xml:space="preserve"> </w:t>
      </w:r>
      <m:oMath>
        <m:r>
          <m:rPr>
            <m:sty m:val="p"/>
          </m:rPr>
          <w:rPr>
            <w:rFonts w:ascii="Times New Roman" w:hAnsi="Times New Roman"/>
          </w:rPr>
          <m:t xml:space="preserve">j </m:t>
        </m:r>
      </m:oMath>
      <w:r>
        <w:rPr>
          <w:rFonts w:ascii="Arial" w:hAnsi="Arial" w:cs="Arial"/>
        </w:rPr>
        <w:t>respectively. The first two terms in the right side of the equation are given as the walking and vertical travel times (Zhang et al., 2024).</w:t>
      </w:r>
    </w:p>
    <w:p w14:paraId="7FBCD4BA">
      <w:pPr>
        <w:rPr>
          <w:rFonts w:ascii="Arial" w:hAnsi="Arial" w:cs="Arial"/>
        </w:rPr>
      </w:pPr>
    </w:p>
    <w:p w14:paraId="2D9AA0A1">
      <w:pPr>
        <w:rPr>
          <w:rFonts w:ascii="Arial" w:hAnsi="Arial" w:cs="Arial"/>
        </w:rPr>
      </w:pPr>
      <w:r>
        <w:rPr>
          <w:rFonts w:ascii="Arial" w:hAnsi="Arial" w:cs="Arial"/>
        </w:rPr>
        <w:t>In addition, the congestion severity in other crucial part of the station could be measured using the crowding model as applied by Zhang et al. (2024) based on real operational variables:</w:t>
      </w:r>
    </w:p>
    <w:p w14:paraId="48C7DD10">
      <w:pPr>
        <w:rPr>
          <w:rFonts w:ascii="Arial" w:hAnsi="Arial" w:cs="Arial"/>
        </w:rPr>
      </w:pPr>
      <m:oMathPara>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i+1</m:t>
              </m:r>
              <m:ctrlPr>
                <w:rPr>
                  <w:rFonts w:ascii="Cambria Math" w:hAnsi="Cambria Math"/>
                </w:rPr>
              </m:ctrlPr>
            </m:sub>
          </m:sSub>
          <m:r>
            <m:rPr/>
            <w:rPr>
              <w:rFonts w:ascii="Cambria Math" w:hAnsi="Cambria Math"/>
            </w:rPr>
            <m:t>=</m:t>
          </m:r>
          <m:f>
            <m:fPr>
              <m:ctrlPr>
                <w:rPr>
                  <w:rFonts w:ascii="Cambria Math" w:hAnsi="Cambria Math"/>
                  <w:i/>
                </w:rPr>
              </m:ctrlPr>
            </m:fPr>
            <m:num>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i,i+1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tr</m:t>
                  </m:r>
                  <m:ctrlPr>
                    <w:rPr>
                      <w:rFonts w:ascii="Cambria Math" w:hAnsi="Cambria Math"/>
                    </w:rPr>
                  </m:ctrlPr>
                </m:sub>
              </m:sSub>
              <m:r>
                <m:rPr/>
                <w:rPr>
                  <w:rFonts w:ascii="Cambria Math" w:hAnsi="Cambria Math"/>
                </w:rPr>
                <m:t>)+2</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al</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e</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e</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e</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−4</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den>
          </m:f>
          <m:r>
            <m:rPr/>
            <w:rPr>
              <w:rFonts w:ascii="Cambria Math" w:hAnsi="Cambria Math"/>
            </w:rPr>
            <m:t>⋅γ</m:t>
          </m:r>
        </m:oMath>
      </m:oMathPara>
    </w:p>
    <w:p w14:paraId="3216AEC0">
      <w:pPr>
        <w:pStyle w:val="4"/>
        <w:widowControl/>
        <w:rPr>
          <w:rFonts w:hint="default" w:ascii="Arial" w:hAnsi="Arial" w:cs="Arial"/>
          <w:b w:val="0"/>
          <w:bCs w:val="0"/>
          <w:sz w:val="21"/>
        </w:rPr>
      </w:pPr>
      <w:r>
        <w:rPr>
          <w:rStyle w:val="10"/>
          <w:rFonts w:hint="default" w:ascii="Arial" w:hAnsi="Arial" w:cs="Arial"/>
          <w:b w:val="0"/>
          <w:bCs w:val="0"/>
          <w:sz w:val="21"/>
          <w:szCs w:val="21"/>
        </w:rPr>
        <w:t xml:space="preserve">where </w:t>
      </w:r>
      <m:oMath>
        <m:sSub>
          <m:sSubPr>
            <m:ctrlPr>
              <w:rPr>
                <w:rFonts w:hint="default" w:ascii="Cambria Math" w:hAnsi="Cambria Math"/>
                <w:sz w:val="21"/>
              </w:rPr>
            </m:ctrlPr>
          </m:sSubPr>
          <m:e>
            <m:r>
              <m:rPr>
                <m:sty m:val="bi"/>
              </m:rPr>
              <w:rPr>
                <w:rFonts w:hint="default" w:ascii="Cambria Math" w:hAnsi="Cambria Math"/>
                <w:sz w:val="21"/>
              </w:rPr>
              <m:t>d</m:t>
            </m:r>
            <m:ctrlPr>
              <w:rPr>
                <w:rFonts w:ascii="Cambria Math" w:hAnsi="Cambria Math"/>
                <w:sz w:val="21"/>
              </w:rPr>
            </m:ctrlPr>
          </m:e>
          <m:sub>
            <m:r>
              <m:rPr>
                <m:sty m:val="bi"/>
              </m:rPr>
              <w:rPr>
                <w:rFonts w:hint="default" w:ascii="Cambria Math" w:hAnsi="Cambria Math"/>
                <w:sz w:val="21"/>
              </w:rPr>
              <m:t>i+1</m:t>
            </m:r>
            <m:ctrlPr>
              <w:rPr>
                <w:rFonts w:ascii="Cambria Math" w:hAnsi="Cambria Math"/>
                <w:sz w:val="21"/>
              </w:rPr>
            </m:ctrlPr>
          </m:sub>
        </m:sSub>
      </m:oMath>
      <w:r>
        <w:rPr>
          <w:rFonts w:hint="default" w:hAnsi="Cambria Math"/>
          <w:sz w:val="21"/>
        </w:rPr>
        <w:t xml:space="preserve"> </w:t>
      </w:r>
      <w:r>
        <w:rPr>
          <w:rFonts w:hint="default" w:ascii="Arial" w:hAnsi="Arial" w:cs="Arial"/>
          <w:b w:val="0"/>
          <w:bCs w:val="0"/>
          <w:sz w:val="21"/>
        </w:rPr>
        <w:t>measures the maximum platform density (</w:t>
      </w:r>
      <m:oMath>
        <m:r>
          <m:rPr>
            <m:sty m:val="bi"/>
          </m:rPr>
          <w:rPr>
            <w:rFonts w:hint="default" w:ascii="Cambria Math" w:hAnsi="Cambria Math"/>
            <w:sz w:val="21"/>
          </w:rPr>
          <m:t>pax</m:t>
        </m:r>
      </m:oMath>
      <w:r>
        <w:rPr>
          <w:rFonts w:hint="default" w:ascii="Arial" w:hAnsi="Arial" w:cs="Arial"/>
          <w:b w:val="0"/>
          <w:bCs w:val="0"/>
          <w:sz w:val="21"/>
        </w:rPr>
        <w:t>/</w:t>
      </w:r>
      <m:oMath>
        <m:sSup>
          <m:sSupPr>
            <m:ctrlPr>
              <w:rPr>
                <w:rFonts w:hint="default" w:ascii="Cambria Math" w:hAnsi="Cambria Math"/>
                <w:sz w:val="21"/>
              </w:rPr>
            </m:ctrlPr>
          </m:sSupPr>
          <m:e>
            <m:r>
              <m:rPr>
                <m:sty m:val="bi"/>
              </m:rPr>
              <w:rPr>
                <w:rFonts w:hint="default" w:ascii="Cambria Math" w:hAnsi="Cambria Math"/>
                <w:sz w:val="21"/>
              </w:rPr>
              <m:t>m</m:t>
            </m:r>
            <m:ctrlPr>
              <w:rPr>
                <w:rFonts w:ascii="Cambria Math" w:hAnsi="Cambria Math"/>
                <w:sz w:val="21"/>
              </w:rPr>
            </m:ctrlPr>
          </m:e>
          <m:sup>
            <m:r>
              <m:rPr>
                <m:sty m:val="bi"/>
              </m:rPr>
              <w:rPr>
                <w:rFonts w:hint="default" w:ascii="Cambria Math" w:hAnsi="Cambria Math"/>
                <w:sz w:val="21"/>
              </w:rPr>
              <m:t>2</m:t>
            </m:r>
            <m:ctrlPr>
              <w:rPr>
                <w:rFonts w:ascii="Cambria Math" w:hAnsi="Cambria Math"/>
                <w:sz w:val="21"/>
              </w:rPr>
            </m:ctrlPr>
          </m:sup>
        </m:sSup>
      </m:oMath>
      <w:r>
        <w:rPr>
          <w:rFonts w:hint="default" w:ascii="Arial" w:hAnsi="Arial" w:cs="Arial"/>
          <w:b w:val="0"/>
          <w:bCs w:val="0"/>
          <w:sz w:val="21"/>
        </w:rPr>
        <w:t>),</w:t>
      </w:r>
      <w:r>
        <w:rPr>
          <w:rFonts w:hint="default" w:hAnsi="Cambria Math"/>
          <w:sz w:val="21"/>
        </w:rPr>
        <w:t xml:space="preserve"> </w:t>
      </w:r>
      <m:oMath>
        <m:sSub>
          <m:sSubPr>
            <m:ctrlPr>
              <w:rPr>
                <w:rFonts w:hint="default" w:ascii="Cambria Math" w:hAnsi="Cambria Math"/>
                <w:sz w:val="21"/>
              </w:rPr>
            </m:ctrlPr>
          </m:sSubPr>
          <m:e>
            <m:r>
              <m:rPr>
                <m:sty m:val="bi"/>
              </m:rPr>
              <w:rPr>
                <w:rFonts w:hint="default" w:ascii="Cambria Math" w:hAnsi="Cambria Math"/>
                <w:sz w:val="21"/>
              </w:rPr>
              <m:t>q</m:t>
            </m:r>
            <m:ctrlPr>
              <w:rPr>
                <w:rFonts w:ascii="Cambria Math" w:hAnsi="Cambria Math"/>
                <w:sz w:val="21"/>
              </w:rPr>
            </m:ctrlPr>
          </m:e>
          <m:sub>
            <m:r>
              <m:rPr>
                <m:sty m:val="bi"/>
              </m:rPr>
              <w:rPr>
                <w:rFonts w:hint="default" w:ascii="Cambria Math" w:hAnsi="Cambria Math"/>
                <w:sz w:val="21"/>
              </w:rPr>
              <m:t>i</m:t>
            </m:r>
            <m:ctrlPr>
              <w:rPr>
                <w:rFonts w:ascii="Cambria Math" w:hAnsi="Cambria Math"/>
                <w:sz w:val="21"/>
              </w:rPr>
            </m:ctrlPr>
          </m:sub>
        </m:sSub>
      </m:oMath>
      <w:r>
        <w:rPr>
          <w:rFonts w:hint="default" w:hAnsi="Cambria Math"/>
          <w:sz w:val="21"/>
        </w:rPr>
        <w:t xml:space="preserve"> </w:t>
      </w:r>
      <w:r>
        <w:rPr>
          <w:rFonts w:hint="default" w:ascii="Arial" w:hAnsi="Arial" w:cs="Arial"/>
          <w:b w:val="0"/>
          <w:bCs w:val="0"/>
          <w:sz w:val="21"/>
        </w:rPr>
        <w:t>stands for the number detained passengers,</w:t>
      </w:r>
      <w:r>
        <w:rPr>
          <w:rFonts w:hint="default" w:hAnsi="Cambria Math"/>
          <w:sz w:val="21"/>
        </w:rPr>
        <w:t xml:space="preserve"> </w:t>
      </w:r>
      <m:oMath>
        <m:sSub>
          <m:sSubPr>
            <m:ctrlPr>
              <w:rPr>
                <w:rFonts w:hint="default" w:ascii="Cambria Math" w:hAnsi="Cambria Math"/>
                <w:sz w:val="21"/>
              </w:rPr>
            </m:ctrlPr>
          </m:sSubPr>
          <m:e>
            <m:r>
              <m:rPr>
                <m:sty m:val="bi"/>
              </m:rPr>
              <w:rPr>
                <w:rFonts w:hint="default" w:ascii="Cambria Math" w:hAnsi="Cambria Math"/>
                <w:sz w:val="21"/>
              </w:rPr>
              <m:t>I</m:t>
            </m:r>
            <m:ctrlPr>
              <w:rPr>
                <w:rFonts w:ascii="Cambria Math" w:hAnsi="Cambria Math"/>
                <w:sz w:val="21"/>
              </w:rPr>
            </m:ctrlPr>
          </m:e>
          <m:sub>
            <m:r>
              <m:rPr>
                <m:sty m:val="bi"/>
              </m:rPr>
              <w:rPr>
                <w:rFonts w:hint="default" w:ascii="Cambria Math" w:hAnsi="Cambria Math"/>
                <w:sz w:val="21"/>
              </w:rPr>
              <m:t>i,i+1</m:t>
            </m:r>
            <m:ctrlPr>
              <w:rPr>
                <w:rFonts w:ascii="Cambria Math" w:hAnsi="Cambria Math"/>
                <w:sz w:val="21"/>
              </w:rPr>
            </m:ctrlPr>
          </m:sub>
        </m:sSub>
      </m:oMath>
      <w:r>
        <w:rPr>
          <w:rFonts w:hint="default" w:hAnsi="Cambria Math"/>
          <w:sz w:val="21"/>
        </w:rPr>
        <w:t xml:space="preserve"> </w:t>
      </w:r>
      <w:r>
        <w:rPr>
          <w:rFonts w:hint="default" w:ascii="Arial" w:hAnsi="Arial" w:cs="Arial"/>
          <w:b w:val="0"/>
          <w:bCs w:val="0"/>
          <w:sz w:val="21"/>
        </w:rPr>
        <w:t>represents the train headway in minute,</w:t>
      </w:r>
      <w:r>
        <w:rPr>
          <w:rFonts w:hint="default" w:hAnsi="Cambria Math"/>
          <w:sz w:val="21"/>
        </w:rPr>
        <w:t xml:space="preserve"> </w:t>
      </w:r>
      <m:oMath>
        <m:sSub>
          <m:sSubPr>
            <m:ctrlPr>
              <w:rPr>
                <w:rFonts w:hint="default" w:ascii="Cambria Math" w:hAnsi="Cambria Math"/>
                <w:sz w:val="21"/>
              </w:rPr>
            </m:ctrlPr>
          </m:sSubPr>
          <m:e>
            <m:r>
              <m:rPr>
                <m:sty m:val="bi"/>
              </m:rPr>
              <w:rPr>
                <w:rFonts w:hint="default" w:ascii="Cambria Math" w:hAnsi="Cambria Math"/>
                <w:sz w:val="21"/>
              </w:rPr>
              <m:t>α</m:t>
            </m:r>
            <m:ctrlPr>
              <w:rPr>
                <w:rFonts w:ascii="Cambria Math" w:hAnsi="Cambria Math"/>
                <w:sz w:val="21"/>
              </w:rPr>
            </m:ctrlPr>
          </m:e>
          <m:sub>
            <m:r>
              <m:rPr>
                <m:sty m:val="bi"/>
              </m:rPr>
              <w:rPr>
                <w:rFonts w:hint="default" w:ascii="Cambria Math" w:hAnsi="Cambria Math"/>
                <w:sz w:val="21"/>
              </w:rPr>
              <m:t>in</m:t>
            </m:r>
            <m:ctrlPr>
              <w:rPr>
                <w:rFonts w:ascii="Cambria Math" w:hAnsi="Cambria Math"/>
                <w:sz w:val="21"/>
              </w:rPr>
            </m:ctrlPr>
          </m:sub>
        </m:sSub>
      </m:oMath>
      <w:r>
        <w:rPr>
          <w:rFonts w:hint="default" w:ascii="Arial" w:hAnsi="Arial" w:cs="Arial"/>
          <w:b w:val="0"/>
          <w:bCs w:val="0"/>
          <w:sz w:val="21"/>
        </w:rPr>
        <w:t xml:space="preserve"> and </w:t>
      </w:r>
      <m:oMath>
        <m:sSub>
          <m:sSubPr>
            <m:ctrlPr>
              <w:rPr>
                <w:rFonts w:hint="default" w:ascii="Cambria Math" w:hAnsi="Cambria Math"/>
                <w:sz w:val="21"/>
              </w:rPr>
            </m:ctrlPr>
          </m:sSubPr>
          <m:e>
            <m:r>
              <m:rPr>
                <m:sty m:val="bi"/>
              </m:rPr>
              <w:rPr>
                <w:rFonts w:hint="default" w:ascii="Cambria Math" w:hAnsi="Cambria Math"/>
                <w:sz w:val="21"/>
              </w:rPr>
              <m:t>α</m:t>
            </m:r>
            <m:ctrlPr>
              <w:rPr>
                <w:rFonts w:ascii="Cambria Math" w:hAnsi="Cambria Math"/>
                <w:sz w:val="21"/>
              </w:rPr>
            </m:ctrlPr>
          </m:e>
          <m:sub>
            <m:r>
              <m:rPr>
                <m:sty m:val="bi"/>
              </m:rPr>
              <w:rPr>
                <w:rFonts w:hint="default" w:ascii="Cambria Math" w:hAnsi="Cambria Math"/>
                <w:sz w:val="21"/>
              </w:rPr>
              <m:t>tr</m:t>
            </m:r>
            <m:ctrlPr>
              <w:rPr>
                <w:rFonts w:ascii="Cambria Math" w:hAnsi="Cambria Math"/>
                <w:sz w:val="21"/>
              </w:rPr>
            </m:ctrlPr>
          </m:sub>
        </m:sSub>
      </m:oMath>
      <w:r>
        <w:rPr>
          <w:rFonts w:hint="default" w:ascii="Arial" w:hAnsi="Arial" w:cs="Arial"/>
          <w:b w:val="0"/>
          <w:bCs w:val="0"/>
          <w:sz w:val="21"/>
        </w:rPr>
        <w:t xml:space="preserve"> show the entering and transfer-in rates, and at end</w:t>
      </w:r>
      <w:r>
        <w:rPr>
          <w:rFonts w:hint="default" w:hAnsi="Cambria Math"/>
          <w:sz w:val="21"/>
        </w:rPr>
        <w:t xml:space="preserve"> </w:t>
      </w:r>
      <m:oMath>
        <m:r>
          <m:rPr>
            <m:sty m:val="bi"/>
          </m:rPr>
          <w:rPr>
            <w:rFonts w:hint="default" w:ascii="Cambria Math" w:hAnsi="Cambria Math"/>
            <w:sz w:val="21"/>
          </w:rPr>
          <m:t>γ</m:t>
        </m:r>
      </m:oMath>
      <w:r>
        <w:rPr>
          <w:rFonts w:hint="default" w:hAnsi="Cambria Math"/>
          <w:sz w:val="21"/>
        </w:rPr>
        <w:t xml:space="preserve"> </w:t>
      </w:r>
      <w:r>
        <w:rPr>
          <w:rFonts w:hint="default" w:ascii="Arial" w:hAnsi="Arial" w:cs="Arial"/>
          <w:b w:val="0"/>
          <w:bCs w:val="0"/>
          <w:sz w:val="21"/>
        </w:rPr>
        <w:t>represents the spatial density disequilibrium factor. Besides all these participants, other variables in the equation are actually physical layout adjustments accessible from published constructional maps about our studying stations.</w:t>
      </w:r>
    </w:p>
    <w:p w14:paraId="6C4985B5">
      <w:pPr>
        <w:jc w:val="left"/>
      </w:pPr>
      <w:r>
        <w:rPr>
          <w:rFonts w:ascii="Arial" w:hAnsi="Arial" w:cs="Arial"/>
        </w:rPr>
        <w:t>The space model of an MRT station could be simplified into 2 dimensional grid map</w:t>
      </w:r>
      <w:r>
        <w:rPr>
          <w:rFonts w:hint="eastAsia" w:ascii="Arial" w:hAnsi="Arial" w:cs="Arial"/>
        </w:rPr>
        <w:t xml:space="preserve"> including multiple layers of a station.To assess the effectiveness of congestion-management measures, Zhang (2024) compares these indicators across different scenarios, such as baseline operations versus adjusted flow-control strategies. Improvements are demonstrated when optimized scenarios produce lower peak passenger density, shorter queues, and reduced total passenger time consumption compared with the baseline.</w:t>
      </w:r>
    </w:p>
    <w:p w14:paraId="0659EF1C">
      <w:pPr>
        <w:pStyle w:val="4"/>
        <w:widowControl/>
        <w:rPr>
          <w:rFonts w:hint="default" w:ascii="Arial" w:hAnsi="Arial" w:cs="Arial"/>
        </w:rPr>
      </w:pPr>
      <w:r>
        <w:rPr>
          <w:rStyle w:val="10"/>
          <w:rFonts w:hint="default" w:ascii="Arial" w:hAnsi="Arial" w:cs="Arial"/>
          <w:b/>
          <w:sz w:val="24"/>
          <w:szCs w:val="24"/>
        </w:rPr>
        <w:t>4.</w:t>
      </w:r>
      <w:r>
        <w:rPr>
          <w:rStyle w:val="10"/>
          <w:rFonts w:ascii="Arial" w:hAnsi="Arial" w:cs="Arial"/>
          <w:b/>
          <w:sz w:val="24"/>
          <w:szCs w:val="24"/>
        </w:rPr>
        <w:t>4</w:t>
      </w:r>
      <w:r>
        <w:rPr>
          <w:rStyle w:val="10"/>
          <w:rFonts w:hint="default" w:ascii="Arial" w:hAnsi="Arial" w:cs="Arial"/>
          <w:b/>
          <w:sz w:val="24"/>
          <w:szCs w:val="24"/>
        </w:rPr>
        <w:t xml:space="preserve"> Sample Operational Strategies</w:t>
      </w:r>
    </w:p>
    <w:p w14:paraId="0734AB28">
      <w:pPr>
        <w:rPr>
          <w:rFonts w:ascii="Arial" w:hAnsi="Arial" w:cs="Arial"/>
        </w:rPr>
      </w:pPr>
      <w:r>
        <w:rPr>
          <w:rFonts w:ascii="Arial" w:hAnsi="Arial" w:cs="Arial"/>
        </w:rPr>
        <w:t>Two operational strategies are evaluated:</w:t>
      </w:r>
    </w:p>
    <w:p w14:paraId="7C68B03E">
      <w:pPr>
        <w:numPr>
          <w:ilvl w:val="0"/>
          <w:numId w:val="1"/>
        </w:numPr>
        <w:rPr>
          <w:rFonts w:ascii="Arial" w:hAnsi="Arial" w:cs="Arial"/>
        </w:rPr>
      </w:pPr>
      <w:r>
        <w:rPr>
          <w:rFonts w:ascii="Arial" w:hAnsi="Arial" w:cs="Arial"/>
        </w:rPr>
        <w:t>Time-based escalator direction control, which reallocates service capacity to match dominant passenger flow;</w:t>
      </w:r>
    </w:p>
    <w:p w14:paraId="17E54986">
      <w:pPr>
        <w:numPr>
          <w:ilvl w:val="0"/>
          <w:numId w:val="1"/>
        </w:numPr>
        <w:rPr>
          <w:rFonts w:ascii="Arial" w:hAnsi="Arial" w:cs="Arial"/>
        </w:rPr>
      </w:pPr>
      <w:r>
        <w:rPr>
          <w:rFonts w:ascii="Arial" w:hAnsi="Arial" w:cs="Arial"/>
        </w:rPr>
        <w:t>Crowd separation using physical barriers, which reduces flow conflicts in high-density corridors.</w:t>
      </w:r>
    </w:p>
    <w:p w14:paraId="4131B536">
      <w:pPr>
        <w:rPr>
          <w:rFonts w:ascii="Arial" w:hAnsi="Arial" w:cs="Arial"/>
        </w:rPr>
      </w:pPr>
      <w:r>
        <w:rPr>
          <w:rFonts w:ascii="Arial" w:hAnsi="Arial" w:cs="Arial"/>
        </w:rPr>
        <w:t>Baseline and optimized scenarios are compared using mathematical performance indicators.</w:t>
      </w:r>
    </w:p>
    <w:p w14:paraId="4CE8D827">
      <w:pPr>
        <w:pStyle w:val="2"/>
        <w:rPr>
          <w:rFonts w:hint="default" w:ascii="Arial" w:hAnsi="Arial" w:cs="Arial"/>
          <w:sz w:val="24"/>
          <w:szCs w:val="24"/>
        </w:rPr>
      </w:pPr>
      <w:r>
        <w:rPr>
          <w:rFonts w:hint="default" w:ascii="Arial" w:hAnsi="Arial" w:cs="Arial"/>
          <w:sz w:val="24"/>
          <w:szCs w:val="24"/>
        </w:rPr>
        <w:t>4.</w:t>
      </w:r>
      <w:r>
        <w:rPr>
          <w:rFonts w:ascii="Arial" w:hAnsi="Arial" w:cs="Arial"/>
          <w:sz w:val="24"/>
          <w:szCs w:val="24"/>
        </w:rPr>
        <w:t>5</w:t>
      </w:r>
      <w:r>
        <w:rPr>
          <w:rFonts w:hint="default" w:ascii="Arial" w:hAnsi="Arial" w:cs="Arial"/>
          <w:sz w:val="24"/>
          <w:szCs w:val="24"/>
        </w:rPr>
        <w:t xml:space="preserve"> The Execution of Experiment</w:t>
      </w:r>
    </w:p>
    <w:p w14:paraId="4219EA3F">
      <w:pPr>
        <w:rPr>
          <w:rFonts w:ascii="Arial" w:hAnsi="Arial" w:cs="Arial"/>
        </w:rPr>
      </w:pPr>
      <w:r>
        <w:rPr>
          <w:rFonts w:ascii="Arial" w:hAnsi="Arial" w:cs="Arial"/>
        </w:rPr>
        <w:t xml:space="preserve">To refine the proposed operational strategies, this study integrates high-fidelity 3D architectural modeling with multi-agent algorithmic simulations. Utilizing Rhino 7, multi-layered spatial digital twins of Jurong East, Raffles Place, and Tanjong Pagar are reconstructed based on physical layout characteristics. These models are processed via AnyLogic 8.9, where crowd dynamics conservation principles are applied to simulate real-time passenger trajectories. This "visual observation" methodology facilitates the identification of localized structural bottlenecks that purely analytical models may overlook. By iteratively testing interventions—such as time-based escalator direction control—within the simulated environment, the impact on total travel time </w:t>
      </w:r>
      <m:oMath>
        <m:sSub>
          <m:sSubPr>
            <m:ctrlPr>
              <w:rPr>
                <w:rFonts w:ascii="Cambria Math" w:hAnsi="Cambria Math"/>
              </w:rPr>
            </m:ctrlPr>
          </m:sSubPr>
          <m:e>
            <m:r>
              <m:rPr/>
              <w:rPr>
                <w:rFonts w:ascii="Cambria Math"/>
              </w:rPr>
              <m:t>t</m:t>
            </m:r>
            <m:ctrlPr>
              <w:rPr>
                <w:rFonts w:ascii="Cambria Math" w:hAnsi="Cambria Math"/>
              </w:rPr>
            </m:ctrlPr>
          </m:e>
          <m:sub>
            <m:r>
              <m:rPr/>
              <w:rPr>
                <w:rFonts w:ascii="Cambria Math"/>
              </w:rPr>
              <m:t>i</m:t>
            </m:r>
            <m:ctrlPr>
              <w:rPr>
                <w:rFonts w:ascii="Cambria Math" w:hAnsi="Cambria Math"/>
              </w:rPr>
            </m:ctrlPr>
          </m:sub>
        </m:sSub>
      </m:oMath>
      <w:r>
        <w:rPr>
          <w:rFonts w:ascii="Arial" w:hAnsi="Arial" w:cs="Arial"/>
        </w:rPr>
        <w:t xml:space="preserve"> </w:t>
      </w:r>
      <w:r>
        <w:rPr>
          <w:rFonts w:hint="eastAsia" w:ascii="Arial" w:hAnsi="Arial" w:cs="Arial"/>
        </w:rPr>
        <w:t xml:space="preserve">(mentioned in 4.3) </w:t>
      </w:r>
      <w:r>
        <w:rPr>
          <w:rFonts w:ascii="Arial" w:hAnsi="Arial" w:cs="Arial"/>
        </w:rPr>
        <w:t xml:space="preserve">and maximum platform density </w:t>
      </w:r>
      <m:oMath>
        <m:sSub>
          <m:sSubPr>
            <m:ctrlPr>
              <w:rPr>
                <w:rFonts w:ascii="Cambria Math" w:hAnsi="Cambria Math"/>
              </w:rPr>
            </m:ctrlPr>
          </m:sSubPr>
          <m:e>
            <m:r>
              <m:rPr/>
              <w:rPr>
                <w:rFonts w:ascii="Cambria Math"/>
              </w:rPr>
              <m:t>d</m:t>
            </m:r>
            <m:ctrlPr>
              <w:rPr>
                <w:rFonts w:ascii="Cambria Math" w:hAnsi="Cambria Math"/>
              </w:rPr>
            </m:ctrlPr>
          </m:e>
          <m:sub>
            <m:r>
              <m:rPr/>
              <w:rPr>
                <w:rFonts w:ascii="Cambria Math"/>
              </w:rPr>
              <m:t>i+1</m:t>
            </m:r>
            <m:ctrlPr>
              <w:rPr>
                <w:rFonts w:ascii="Cambria Math" w:hAnsi="Cambria Math"/>
              </w:rPr>
            </m:ctrlPr>
          </m:sub>
        </m:sSub>
      </m:oMath>
      <w:r>
        <w:rPr>
          <w:rFonts w:ascii="Arial" w:hAnsi="Arial" w:cs="Arial"/>
        </w:rPr>
        <w:t xml:space="preserve"> </w:t>
      </w:r>
      <w:r>
        <w:rPr>
          <w:rFonts w:hint="eastAsia" w:ascii="Arial" w:hAnsi="Arial" w:cs="Arial"/>
        </w:rPr>
        <w:t xml:space="preserve">(mentioned in 4.3) </w:t>
      </w:r>
      <w:r>
        <w:rPr>
          <w:rFonts w:ascii="Arial" w:hAnsi="Arial" w:cs="Arial"/>
        </w:rPr>
        <w:t>is visually verified and optimized.</w:t>
      </w:r>
    </w:p>
    <w:p w14:paraId="51FBF7A4">
      <w:pPr>
        <w:pStyle w:val="7"/>
        <w:widowControl/>
        <w:spacing w:before="0" w:after="0"/>
        <w:textAlignment w:val="baseline"/>
        <w:rPr>
          <w:b/>
          <w:bCs/>
        </w:rPr>
      </w:pPr>
      <w:r>
        <w:rPr>
          <w:rFonts w:ascii="Arial" w:hAnsi="Arial" w:eastAsia="Segoe UI" w:cs="Arial"/>
          <w:b/>
          <w:bCs/>
          <w:sz w:val="28"/>
          <w:szCs w:val="28"/>
          <w:shd w:val="clear" w:color="auto" w:fill="FFFFFF"/>
        </w:rPr>
        <w:t>Preliminary Suppositions  </w:t>
      </w:r>
    </w:p>
    <w:p w14:paraId="3A3E0F28">
      <w:pPr>
        <w:pStyle w:val="7"/>
        <w:widowControl/>
        <w:spacing w:before="0" w:after="0"/>
        <w:textAlignment w:val="baseline"/>
      </w:pPr>
      <w:r>
        <w:rPr>
          <w:rFonts w:ascii="Arial" w:hAnsi="Arial" w:eastAsia="Segoe UI" w:cs="Arial"/>
          <w:sz w:val="21"/>
          <w:szCs w:val="21"/>
          <w:shd w:val="clear" w:color="auto" w:fill="FFFFFF"/>
        </w:rPr>
        <w:t>It is expected that time-based escalator direction control will reduce queue length and waiting time at bottlenecks by increasing effective service capacity in the dominant flow direction. Similarly, pedestrian flow separation is expected to lower local passenger density and improve corridor throughput. </w:t>
      </w:r>
    </w:p>
    <w:p w14:paraId="09E6B722">
      <w:pPr>
        <w:pStyle w:val="7"/>
        <w:widowControl/>
        <w:spacing w:before="0" w:after="0"/>
        <w:textAlignment w:val="baseline"/>
      </w:pPr>
      <w:r>
        <w:rPr>
          <w:rFonts w:ascii="Arial" w:hAnsi="Arial" w:eastAsia="Segoe UI" w:cs="Arial"/>
          <w:b/>
          <w:bCs/>
          <w:sz w:val="28"/>
          <w:szCs w:val="28"/>
          <w:shd w:val="clear" w:color="auto" w:fill="FFFFFF"/>
        </w:rPr>
        <w:t>Implications and Limitations</w:t>
      </w:r>
      <w:r>
        <w:rPr>
          <w:rFonts w:ascii="Arial" w:hAnsi="Arial" w:eastAsia="Segoe UI" w:cs="Arial"/>
          <w:sz w:val="28"/>
          <w:szCs w:val="28"/>
          <w:shd w:val="clear" w:color="auto" w:fill="FFFFFF"/>
        </w:rPr>
        <w:t> </w:t>
      </w:r>
    </w:p>
    <w:p w14:paraId="449AD502">
      <w:pPr>
        <w:pStyle w:val="7"/>
        <w:widowControl/>
        <w:spacing w:before="0" w:after="0"/>
        <w:textAlignment w:val="baseline"/>
      </w:pPr>
      <w:r>
        <w:rPr>
          <w:rFonts w:ascii="Arial" w:hAnsi="Arial" w:eastAsia="Segoe UI" w:cs="Arial"/>
          <w:sz w:val="21"/>
          <w:szCs w:val="21"/>
          <w:shd w:val="clear" w:color="auto" w:fill="FFFFFF"/>
        </w:rPr>
        <w:t>If validated, these results would suggest that significant congestion reduction can be achieved through operational optimization, without requiring major structural redesign of MRT stations. </w:t>
      </w:r>
    </w:p>
    <w:p w14:paraId="2BF3EB8F">
      <w:pPr>
        <w:pStyle w:val="7"/>
        <w:widowControl/>
        <w:spacing w:before="0" w:after="0"/>
        <w:textAlignment w:val="baseline"/>
      </w:pPr>
      <w:r>
        <w:rPr>
          <w:rFonts w:ascii="Arial" w:hAnsi="Arial" w:eastAsia="Segoe UI" w:cs="Arial"/>
          <w:sz w:val="21"/>
          <w:szCs w:val="21"/>
          <w:shd w:val="clear" w:color="auto" w:fill="FFFFFF"/>
        </w:rPr>
        <w:t>This study, however, has several potential limitations. The most significant is that the mathematical model may not fully reflect real-world conditions, as certain factors may be overlooked or oversimplified. Another limitation is that the proposed optimization method is specifically designed for a single MRT station and may not be directly applicable on a larger scale. Nevertheless, the methodological framework underlying the optimization approach can be extended to other stations, thereby benefiting the overall MRT system. </w:t>
      </w:r>
    </w:p>
    <w:p w14:paraId="007621E3">
      <w:pPr>
        <w:pStyle w:val="3"/>
        <w:widowControl/>
        <w:rPr>
          <w:rFonts w:hint="default" w:ascii="Arial" w:hAnsi="Arial" w:cs="Arial"/>
          <w:sz w:val="28"/>
          <w:szCs w:val="28"/>
        </w:rPr>
      </w:pPr>
      <w:r>
        <w:rPr>
          <w:rStyle w:val="10"/>
          <w:rFonts w:hint="default" w:ascii="Arial" w:hAnsi="Arial" w:cs="Arial"/>
          <w:b/>
          <w:sz w:val="28"/>
          <w:szCs w:val="28"/>
        </w:rPr>
        <w:t>Conclusion</w:t>
      </w:r>
    </w:p>
    <w:p w14:paraId="33F03855">
      <w:pPr>
        <w:rPr>
          <w:rFonts w:ascii="Arial" w:hAnsi="Arial" w:cs="Arial"/>
        </w:rPr>
      </w:pPr>
      <w:r>
        <w:rPr>
          <w:rFonts w:ascii="Arial" w:hAnsi="Arial" w:cs="Arial"/>
        </w:rPr>
        <w:t>This proposal outlines a mathematically grounded approach to MRT congestion mitigation that integrates empirical passenger-load data, established passenger-flow models, and operational strategies. By focusing on Singapore’s busiest MRT stations and evaluating interventions using quantitative indicators, the study aims to bridge the gap between theoretical congestion analysis and practical station operations.</w:t>
      </w:r>
    </w:p>
    <w:p w14:paraId="1184EC34">
      <w:pPr>
        <w:pStyle w:val="3"/>
        <w:widowControl/>
        <w:rPr>
          <w:rStyle w:val="10"/>
          <w:rFonts w:hint="default" w:ascii="Arial" w:hAnsi="Arial" w:cs="Arial"/>
          <w:b/>
          <w:sz w:val="28"/>
          <w:szCs w:val="28"/>
        </w:rPr>
      </w:pPr>
    </w:p>
    <w:p w14:paraId="5C0FE753">
      <w:pPr>
        <w:pStyle w:val="3"/>
        <w:widowControl/>
        <w:rPr>
          <w:rStyle w:val="10"/>
          <w:rFonts w:hint="default" w:ascii="Arial" w:hAnsi="Arial" w:cs="Arial"/>
          <w:b/>
          <w:sz w:val="28"/>
          <w:szCs w:val="28"/>
        </w:rPr>
      </w:pPr>
    </w:p>
    <w:p w14:paraId="00FE3D91">
      <w:pPr>
        <w:pStyle w:val="3"/>
        <w:widowControl/>
        <w:rPr>
          <w:rStyle w:val="10"/>
          <w:rFonts w:hint="default" w:ascii="Arial" w:hAnsi="Arial" w:cs="Arial"/>
          <w:b/>
          <w:sz w:val="28"/>
          <w:szCs w:val="28"/>
        </w:rPr>
      </w:pPr>
    </w:p>
    <w:p w14:paraId="44720891">
      <w:pPr>
        <w:pStyle w:val="3"/>
        <w:widowControl/>
        <w:rPr>
          <w:rStyle w:val="10"/>
          <w:rFonts w:hint="default" w:ascii="Arial" w:hAnsi="Arial" w:cs="Arial"/>
          <w:b/>
          <w:sz w:val="28"/>
          <w:szCs w:val="28"/>
        </w:rPr>
      </w:pPr>
    </w:p>
    <w:p w14:paraId="7F71961A">
      <w:pPr>
        <w:pStyle w:val="3"/>
        <w:widowControl/>
        <w:rPr>
          <w:rStyle w:val="10"/>
          <w:rFonts w:hint="default" w:ascii="Arial" w:hAnsi="Arial" w:cs="Arial"/>
          <w:b/>
          <w:sz w:val="28"/>
          <w:szCs w:val="28"/>
        </w:rPr>
      </w:pPr>
    </w:p>
    <w:p w14:paraId="60149030">
      <w:pPr>
        <w:pStyle w:val="3"/>
        <w:widowControl/>
        <w:rPr>
          <w:rFonts w:hint="default" w:ascii="Arial" w:hAnsi="Arial" w:cs="Arial"/>
          <w:sz w:val="28"/>
          <w:szCs w:val="28"/>
        </w:rPr>
      </w:pPr>
      <w:r>
        <w:rPr>
          <w:rStyle w:val="10"/>
          <w:rFonts w:hint="default" w:ascii="Arial" w:hAnsi="Arial" w:cs="Arial"/>
          <w:b/>
          <w:sz w:val="28"/>
          <w:szCs w:val="28"/>
        </w:rPr>
        <w:t>References</w:t>
      </w:r>
    </w:p>
    <w:p w14:paraId="283D8DFA">
      <w:pPr>
        <w:rPr>
          <w:rFonts w:ascii="Arial" w:hAnsi="Arial" w:cs="Arial"/>
        </w:rPr>
      </w:pPr>
      <w:r>
        <w:rPr>
          <w:rFonts w:ascii="Arial" w:hAnsi="Arial" w:cs="Arial"/>
        </w:rPr>
        <w:t xml:space="preserve">Albi, G., Cristiani, E., Pareschi, L., &amp; Peri, D. (2020). Mathematical models and methods for crowd dynamics control. In L. Gibelli (Ed.), Crowd dynamics: Theory, models and applications (pp. 159–197). Springer. </w:t>
      </w:r>
    </w:p>
    <w:p w14:paraId="703C488F">
      <w:pPr>
        <w:rPr>
          <w:rFonts w:ascii="Arial" w:hAnsi="Arial" w:cs="Arial"/>
        </w:rPr>
      </w:pPr>
      <w:r>
        <w:fldChar w:fldCharType="begin"/>
      </w:r>
      <w:r>
        <w:instrText xml:space="preserve"> HYPERLINK "https://doi.org/10.1007/978-3-030-50450-2_8" \t "_new" </w:instrText>
      </w:r>
      <w:r>
        <w:fldChar w:fldCharType="separate"/>
      </w:r>
      <w:r>
        <w:rPr>
          <w:rFonts w:ascii="Arial" w:hAnsi="Arial" w:cs="Arial"/>
        </w:rPr>
        <w:t>https://doi.org/10.1007/978-3-030-50450-2_8</w:t>
      </w:r>
      <w:r>
        <w:rPr>
          <w:rFonts w:ascii="Arial" w:hAnsi="Arial" w:cs="Arial"/>
        </w:rPr>
        <w:fldChar w:fldCharType="end"/>
      </w:r>
    </w:p>
    <w:p w14:paraId="5EC07511">
      <w:pPr>
        <w:rPr>
          <w:rFonts w:ascii="Arial" w:hAnsi="Arial" w:cs="Arial"/>
        </w:rPr>
      </w:pPr>
    </w:p>
    <w:p w14:paraId="227FF810">
      <w:pPr>
        <w:rPr>
          <w:rFonts w:ascii="Arial" w:hAnsi="Arial" w:cs="Arial"/>
        </w:rPr>
      </w:pPr>
      <w:r>
        <w:rPr>
          <w:rFonts w:ascii="Arial" w:hAnsi="Arial" w:cs="Arial"/>
        </w:rPr>
        <w:t>Bahamid, A., &amp; Mohd Ibrahim, A. (2022). A review on crowd analysis of evacuation and abnormality detection based on machine learning systems. Neural Computing and Applications, 34(24), 21641–21655.</w:t>
      </w:r>
    </w:p>
    <w:p w14:paraId="249B8D35">
      <w:pPr>
        <w:rPr>
          <w:rFonts w:ascii="Arial" w:hAnsi="Arial" w:cs="Arial"/>
        </w:rPr>
      </w:pPr>
      <w:r>
        <w:fldChar w:fldCharType="begin"/>
      </w:r>
      <w:r>
        <w:instrText xml:space="preserve"> HYPERLINK "https://doi.org/10.1007/s00521-022-07758-5" \t "_new" </w:instrText>
      </w:r>
      <w:r>
        <w:fldChar w:fldCharType="separate"/>
      </w:r>
      <w:r>
        <w:rPr>
          <w:rFonts w:ascii="Arial" w:hAnsi="Arial" w:cs="Arial"/>
        </w:rPr>
        <w:t>https://doi.org/10.1007/s00521-022-07758-5</w:t>
      </w:r>
      <w:r>
        <w:rPr>
          <w:rFonts w:ascii="Arial" w:hAnsi="Arial" w:cs="Arial"/>
        </w:rPr>
        <w:fldChar w:fldCharType="end"/>
      </w:r>
    </w:p>
    <w:p w14:paraId="216C7F1C">
      <w:pPr>
        <w:rPr>
          <w:rFonts w:ascii="Arial" w:hAnsi="Arial" w:cs="Arial"/>
        </w:rPr>
      </w:pPr>
    </w:p>
    <w:p w14:paraId="006B7F15">
      <w:pPr>
        <w:rPr>
          <w:rFonts w:ascii="Arial" w:hAnsi="Arial" w:cs="Arial"/>
        </w:rPr>
      </w:pPr>
      <w:r>
        <w:rPr>
          <w:rFonts w:hint="eastAsia" w:ascii="Arial" w:hAnsi="Arial" w:cs="Arial"/>
        </w:rPr>
        <w:t>Hillier, F.S., &amp; Lieberman, G. J. (2021). Introduction to Operations Research. McGraw-Hill Education.</w:t>
      </w:r>
    </w:p>
    <w:p w14:paraId="341C4F22">
      <w:pPr>
        <w:rPr>
          <w:rFonts w:ascii="Arial" w:hAnsi="Arial" w:cs="Arial"/>
        </w:rPr>
      </w:pPr>
    </w:p>
    <w:p w14:paraId="6CD50088">
      <w:pPr>
        <w:rPr>
          <w:rFonts w:ascii="Arial" w:hAnsi="Arial" w:cs="Arial"/>
        </w:rPr>
      </w:pPr>
      <w:r>
        <w:rPr>
          <w:rFonts w:ascii="Arial" w:hAnsi="Arial" w:cs="Arial"/>
        </w:rPr>
        <w:t>Tan,YJ. (2025). Deep dive of Singapore’s rail network passenger loads. Medium.</w:t>
      </w:r>
    </w:p>
    <w:p w14:paraId="24BEAC7E">
      <w:pPr>
        <w:rPr>
          <w:rFonts w:ascii="Arial" w:hAnsi="Arial" w:cs="Arial"/>
        </w:rPr>
      </w:pPr>
      <w:r>
        <w:fldChar w:fldCharType="begin"/>
      </w:r>
      <w:r>
        <w:instrText xml:space="preserve"> HYPERLINK "https://medium.com/@simpletan/deep-dive-of-singapores-rail-network-passenger-loads-e331d3b9626b" \t "_new" </w:instrText>
      </w:r>
      <w:r>
        <w:fldChar w:fldCharType="separate"/>
      </w:r>
      <w:r>
        <w:rPr>
          <w:rFonts w:ascii="Arial" w:hAnsi="Arial" w:cs="Arial"/>
        </w:rPr>
        <w:t>https://medium.com/@simpletan/deep-dive-of-singapores-rail-network-passenger-loads-e331d3b9626b</w:t>
      </w:r>
      <w:r>
        <w:rPr>
          <w:rFonts w:ascii="Arial" w:hAnsi="Arial" w:cs="Arial"/>
        </w:rPr>
        <w:fldChar w:fldCharType="end"/>
      </w:r>
    </w:p>
    <w:p w14:paraId="63D59B35">
      <w:pPr>
        <w:rPr>
          <w:rFonts w:ascii="Arial" w:hAnsi="Arial" w:cs="Arial"/>
        </w:rPr>
      </w:pPr>
    </w:p>
    <w:p w14:paraId="08FAE12C">
      <w:pPr>
        <w:rPr>
          <w:rFonts w:ascii="Arial" w:hAnsi="Arial" w:cs="Arial"/>
        </w:rPr>
      </w:pPr>
      <w:r>
        <w:rPr>
          <w:rFonts w:ascii="Arial" w:hAnsi="Arial" w:cs="Arial"/>
        </w:rPr>
        <w:t>The Online Citizen. (2025, July 29). Commuters report heavy crowding at Circle Line MRT stations on 29 July morning.</w:t>
      </w:r>
    </w:p>
    <w:p w14:paraId="61D314FA">
      <w:pPr>
        <w:rPr>
          <w:rFonts w:ascii="Arial" w:hAnsi="Arial" w:cs="Arial"/>
        </w:rPr>
      </w:pPr>
      <w:r>
        <w:fldChar w:fldCharType="begin"/>
      </w:r>
      <w:r>
        <w:instrText xml:space="preserve"> HYPERLINK "https://www.theonlinecitizen.com/2025/07/29/commuters-report-heavy-crowding-at-circle-line-mrt-stations-on-29-july-morning/" \t "_new" </w:instrText>
      </w:r>
      <w:r>
        <w:fldChar w:fldCharType="separate"/>
      </w:r>
      <w:r>
        <w:rPr>
          <w:rFonts w:ascii="Arial" w:hAnsi="Arial" w:cs="Arial"/>
        </w:rPr>
        <w:t>https://www.theonlinecitizen.com/2025/07/29/commuters-report-heavy-crowding-at-circle-line-mrt-stations-on-29-july-morning/</w:t>
      </w:r>
      <w:r>
        <w:rPr>
          <w:rFonts w:ascii="Arial" w:hAnsi="Arial" w:cs="Arial"/>
        </w:rPr>
        <w:fldChar w:fldCharType="end"/>
      </w:r>
    </w:p>
    <w:p w14:paraId="096E76F5">
      <w:pPr>
        <w:rPr>
          <w:rFonts w:ascii="Arial" w:hAnsi="Arial" w:cs="Arial"/>
        </w:rPr>
      </w:pPr>
    </w:p>
    <w:p w14:paraId="742F0999">
      <w:pPr>
        <w:rPr>
          <w:rFonts w:ascii="Arial" w:hAnsi="Arial" w:cs="Arial"/>
        </w:rPr>
      </w:pPr>
      <w:r>
        <w:rPr>
          <w:rFonts w:ascii="Arial" w:hAnsi="Arial" w:cs="Arial"/>
        </w:rPr>
        <w:t>World Transit Research. (n.d.). Research project 5465.</w:t>
      </w:r>
    </w:p>
    <w:p w14:paraId="7D27C87E">
      <w:pPr>
        <w:rPr>
          <w:rFonts w:ascii="Arial" w:hAnsi="Arial" w:cs="Arial"/>
        </w:rPr>
      </w:pPr>
      <w:r>
        <w:fldChar w:fldCharType="begin"/>
      </w:r>
      <w:r>
        <w:instrText xml:space="preserve"> HYPERLINK "https://www.worldtransitresearch.info/research/5465/" \t "_new" </w:instrText>
      </w:r>
      <w:r>
        <w:fldChar w:fldCharType="separate"/>
      </w:r>
      <w:r>
        <w:rPr>
          <w:rFonts w:ascii="Arial" w:hAnsi="Arial" w:cs="Arial"/>
        </w:rPr>
        <w:t>https://www.worldtransitresearch.info/research/5465/</w:t>
      </w:r>
      <w:r>
        <w:rPr>
          <w:rFonts w:ascii="Arial" w:hAnsi="Arial" w:cs="Arial"/>
        </w:rPr>
        <w:fldChar w:fldCharType="end"/>
      </w:r>
    </w:p>
    <w:p w14:paraId="21D5F2DA">
      <w:pPr>
        <w:rPr>
          <w:rFonts w:ascii="Arial" w:hAnsi="Arial" w:cs="Arial"/>
        </w:rPr>
      </w:pPr>
    </w:p>
    <w:p w14:paraId="64A7EAE5">
      <w:pPr>
        <w:rPr>
          <w:rFonts w:ascii="Arial" w:hAnsi="Arial" w:cs="Arial"/>
        </w:rPr>
      </w:pPr>
      <w:r>
        <w:rPr>
          <w:rFonts w:ascii="Arial" w:hAnsi="Arial" w:cs="Arial"/>
        </w:rPr>
        <w:t>Xu, X.-Y., Liu, J., Li, H.-Y., &amp; Hu, J.-Q. (2014). Analysis of subway station capacity with the use of queueing theory. Transportation Research Part C: Emerging Technologies, 38, 28–43.</w:t>
      </w:r>
    </w:p>
    <w:p w14:paraId="24724D63">
      <w:pPr>
        <w:rPr>
          <w:rFonts w:ascii="Arial" w:hAnsi="Arial" w:cs="Arial"/>
        </w:rPr>
      </w:pPr>
      <w:r>
        <w:fldChar w:fldCharType="begin"/>
      </w:r>
      <w:r>
        <w:instrText xml:space="preserve"> HYPERLINK "https://doi.org/10.1016/j.trc.2013.10.010" \t "_new" </w:instrText>
      </w:r>
      <w:r>
        <w:fldChar w:fldCharType="separate"/>
      </w:r>
      <w:r>
        <w:rPr>
          <w:rFonts w:ascii="Arial" w:hAnsi="Arial" w:cs="Arial"/>
        </w:rPr>
        <w:t>https://doi.org/10.1016/j.trc.2013.10.010</w:t>
      </w:r>
      <w:r>
        <w:rPr>
          <w:rFonts w:ascii="Arial" w:hAnsi="Arial" w:cs="Arial"/>
        </w:rPr>
        <w:fldChar w:fldCharType="end"/>
      </w:r>
    </w:p>
    <w:p w14:paraId="47C3E8E2">
      <w:pPr>
        <w:rPr>
          <w:rFonts w:ascii="Arial" w:hAnsi="Arial" w:cs="Arial"/>
        </w:rPr>
      </w:pPr>
    </w:p>
    <w:p w14:paraId="4A824EF4">
      <w:pPr>
        <w:rPr>
          <w:rFonts w:ascii="Arial" w:hAnsi="Arial" w:cs="Arial"/>
        </w:rPr>
      </w:pPr>
      <w:r>
        <w:rPr>
          <w:rFonts w:ascii="Arial" w:hAnsi="Arial" w:cs="Arial"/>
        </w:rPr>
        <w:t>Zhang, J., Ai, Q., Ye, Y., &amp; Deng, S. (2024). Dynamic flow analysis and crowd management for transfer stations: A case study of Suzhou Metro. Public Transport, 16(2), 619–653.</w:t>
      </w:r>
    </w:p>
    <w:p w14:paraId="5E430666">
      <w:pPr>
        <w:rPr>
          <w:rFonts w:ascii="Arial" w:hAnsi="Arial" w:cs="Arial"/>
        </w:rPr>
      </w:pPr>
      <w:r>
        <w:rPr>
          <w:rFonts w:ascii="Arial" w:hAnsi="Arial" w:cs="Arial"/>
        </w:rPr>
        <w:t>https://doi.org/10.1007/s12469-024-00357-8</w:t>
      </w:r>
    </w:p>
    <w:p w14:paraId="54ACAA1B">
      <w:pPr>
        <w:rPr>
          <w:rFonts w:ascii="Arial" w:hAnsi="Arial" w:cs="Arial"/>
        </w:rPr>
      </w:pPr>
    </w:p>
    <w:p w14:paraId="1EA24E5B">
      <w:pPr>
        <w:rPr>
          <w:rFonts w:ascii="Arial" w:hAnsi="Arial" w:cs="Arial"/>
        </w:rPr>
      </w:pPr>
      <w:r>
        <w:rPr>
          <w:rFonts w:ascii="Arial" w:hAnsi="Arial" w:cs="Arial"/>
        </w:rPr>
        <w:t>Zitouni, M. S., Bhaskar, H., Dias, J., &amp; Al-Mualla, M. (2016). Advances and trends in visual crowd analysis: A systematic survey and evaluation of crowd modelling techniques. Neurocomputing, 186, 139–159.</w:t>
      </w:r>
    </w:p>
    <w:p w14:paraId="2652C793">
      <w:pPr>
        <w:rPr>
          <w:rFonts w:ascii="Arial" w:hAnsi="Arial" w:cs="Arial"/>
        </w:rPr>
      </w:pPr>
      <w:r>
        <w:fldChar w:fldCharType="begin"/>
      </w:r>
      <w:r>
        <w:instrText xml:space="preserve"> HYPERLINK "https://doi.org/10.1016/j.neucom.2015.12.070" \t "_new" </w:instrText>
      </w:r>
      <w:r>
        <w:fldChar w:fldCharType="separate"/>
      </w:r>
      <w:r>
        <w:rPr>
          <w:rFonts w:ascii="Arial" w:hAnsi="Arial" w:cs="Arial"/>
        </w:rPr>
        <w:t>https://doi.org/10.1016/j.neucom.2015.12.070</w:t>
      </w:r>
      <w:r>
        <w:rPr>
          <w:rFonts w:ascii="Arial" w:hAnsi="Arial" w:cs="Arial"/>
        </w:rPr>
        <w:fldChar w:fldCharType="end"/>
      </w:r>
    </w:p>
    <w:p w14:paraId="76895C1F">
      <w:pPr>
        <w:rPr>
          <w:rFonts w:ascii="Arial" w:hAnsi="Arial" w:cs="Arial"/>
        </w:rPr>
      </w:pPr>
    </w:p>
    <w:p w14:paraId="59E27751">
      <w:pPr>
        <w:rPr>
          <w:rFonts w:ascii="Arial" w:hAnsi="Arial" w:cs="Arial"/>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BD60B">
    <w:pPr>
      <w:pStyle w:val="5"/>
      <w:rPr>
        <w:rFonts w:hint="eastAsia"/>
      </w:rPr>
    </w:pP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C2BBD">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5E0A6">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031EB">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AADB8">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6D5A7">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688F78"/>
    <w:multiLevelType w:val="singleLevel"/>
    <w:tmpl w:val="51688F7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881"/>
    <w:rsid w:val="00340675"/>
    <w:rsid w:val="004860BD"/>
    <w:rsid w:val="00721037"/>
    <w:rsid w:val="008A396A"/>
    <w:rsid w:val="008F1881"/>
    <w:rsid w:val="013B4ECC"/>
    <w:rsid w:val="020A7242"/>
    <w:rsid w:val="02113575"/>
    <w:rsid w:val="023A3276"/>
    <w:rsid w:val="02805EA8"/>
    <w:rsid w:val="036C3D0A"/>
    <w:rsid w:val="03B51C5B"/>
    <w:rsid w:val="03B80DD4"/>
    <w:rsid w:val="03DA7F8A"/>
    <w:rsid w:val="03F01582"/>
    <w:rsid w:val="055B3DBE"/>
    <w:rsid w:val="0587039E"/>
    <w:rsid w:val="05F84E52"/>
    <w:rsid w:val="061B229C"/>
    <w:rsid w:val="06844DBE"/>
    <w:rsid w:val="06E615AA"/>
    <w:rsid w:val="07CD605A"/>
    <w:rsid w:val="083F6C90"/>
    <w:rsid w:val="09265392"/>
    <w:rsid w:val="094D1ECA"/>
    <w:rsid w:val="097143DB"/>
    <w:rsid w:val="0A871AD6"/>
    <w:rsid w:val="0B2C47E2"/>
    <w:rsid w:val="0B3550F2"/>
    <w:rsid w:val="0B82196E"/>
    <w:rsid w:val="0B9B2499"/>
    <w:rsid w:val="0BD53976"/>
    <w:rsid w:val="0BDC6D23"/>
    <w:rsid w:val="0D173089"/>
    <w:rsid w:val="0E741495"/>
    <w:rsid w:val="0E9371BA"/>
    <w:rsid w:val="0ED971F4"/>
    <w:rsid w:val="0EEE63DA"/>
    <w:rsid w:val="0F962E46"/>
    <w:rsid w:val="10134FF0"/>
    <w:rsid w:val="10682277"/>
    <w:rsid w:val="106D2E1A"/>
    <w:rsid w:val="10E97584"/>
    <w:rsid w:val="123140B5"/>
    <w:rsid w:val="12422ABA"/>
    <w:rsid w:val="12850115"/>
    <w:rsid w:val="12AA5F2D"/>
    <w:rsid w:val="14013504"/>
    <w:rsid w:val="1428034A"/>
    <w:rsid w:val="15405BBF"/>
    <w:rsid w:val="155C679B"/>
    <w:rsid w:val="15686D2B"/>
    <w:rsid w:val="15B50D11"/>
    <w:rsid w:val="15DA0777"/>
    <w:rsid w:val="16031CFE"/>
    <w:rsid w:val="16B447CE"/>
    <w:rsid w:val="17B865FB"/>
    <w:rsid w:val="17D11374"/>
    <w:rsid w:val="198D747A"/>
    <w:rsid w:val="1A143DDC"/>
    <w:rsid w:val="1A46606A"/>
    <w:rsid w:val="1A543A76"/>
    <w:rsid w:val="1A995D7D"/>
    <w:rsid w:val="1ADA74A4"/>
    <w:rsid w:val="1BA66853"/>
    <w:rsid w:val="1BA80D15"/>
    <w:rsid w:val="1BC670A8"/>
    <w:rsid w:val="1C416B8A"/>
    <w:rsid w:val="1C6A484E"/>
    <w:rsid w:val="1D991160"/>
    <w:rsid w:val="1DD1717A"/>
    <w:rsid w:val="1E2956FD"/>
    <w:rsid w:val="20337402"/>
    <w:rsid w:val="218D1619"/>
    <w:rsid w:val="21DF40A1"/>
    <w:rsid w:val="22C12363"/>
    <w:rsid w:val="230F4B13"/>
    <w:rsid w:val="23586D4C"/>
    <w:rsid w:val="2381459D"/>
    <w:rsid w:val="245C67FB"/>
    <w:rsid w:val="248148B1"/>
    <w:rsid w:val="25067C8B"/>
    <w:rsid w:val="250826D0"/>
    <w:rsid w:val="256120F6"/>
    <w:rsid w:val="268F1252"/>
    <w:rsid w:val="26E776E2"/>
    <w:rsid w:val="26F81708"/>
    <w:rsid w:val="26F83C3A"/>
    <w:rsid w:val="28E01B97"/>
    <w:rsid w:val="28EA3927"/>
    <w:rsid w:val="2A4711CD"/>
    <w:rsid w:val="2A601415"/>
    <w:rsid w:val="2A8637D8"/>
    <w:rsid w:val="2AB84B24"/>
    <w:rsid w:val="2BFA7F82"/>
    <w:rsid w:val="2D161300"/>
    <w:rsid w:val="2EAD1A62"/>
    <w:rsid w:val="2EDE0530"/>
    <w:rsid w:val="2EFC0D28"/>
    <w:rsid w:val="2F45269A"/>
    <w:rsid w:val="2F78636C"/>
    <w:rsid w:val="2FCF31D1"/>
    <w:rsid w:val="30C82816"/>
    <w:rsid w:val="30CE471F"/>
    <w:rsid w:val="31947FB6"/>
    <w:rsid w:val="31A1476F"/>
    <w:rsid w:val="32484888"/>
    <w:rsid w:val="32FD564D"/>
    <w:rsid w:val="331E4C76"/>
    <w:rsid w:val="34490C65"/>
    <w:rsid w:val="3543266F"/>
    <w:rsid w:val="36DF0AD6"/>
    <w:rsid w:val="36FA64BE"/>
    <w:rsid w:val="373E240F"/>
    <w:rsid w:val="37B81B43"/>
    <w:rsid w:val="37F457DC"/>
    <w:rsid w:val="38B41477"/>
    <w:rsid w:val="39CA4E68"/>
    <w:rsid w:val="3A707AF1"/>
    <w:rsid w:val="3B1D493A"/>
    <w:rsid w:val="3B5C6A72"/>
    <w:rsid w:val="3BFC653B"/>
    <w:rsid w:val="3D300251"/>
    <w:rsid w:val="3E234245"/>
    <w:rsid w:val="3F484A5E"/>
    <w:rsid w:val="3F954B5E"/>
    <w:rsid w:val="40CA7AEE"/>
    <w:rsid w:val="40D61148"/>
    <w:rsid w:val="41C660F7"/>
    <w:rsid w:val="42095678"/>
    <w:rsid w:val="421233DB"/>
    <w:rsid w:val="4330314B"/>
    <w:rsid w:val="4344095B"/>
    <w:rsid w:val="438D6D50"/>
    <w:rsid w:val="43FB3B18"/>
    <w:rsid w:val="44131E7D"/>
    <w:rsid w:val="4488337C"/>
    <w:rsid w:val="45D21176"/>
    <w:rsid w:val="462C7957"/>
    <w:rsid w:val="464F70CC"/>
    <w:rsid w:val="471A45C8"/>
    <w:rsid w:val="47D32A4A"/>
    <w:rsid w:val="47ED2304"/>
    <w:rsid w:val="48296208"/>
    <w:rsid w:val="485D4FC6"/>
    <w:rsid w:val="4A0C3D14"/>
    <w:rsid w:val="4A5F1294"/>
    <w:rsid w:val="4B11551A"/>
    <w:rsid w:val="4BAD664B"/>
    <w:rsid w:val="4C1D6C6B"/>
    <w:rsid w:val="4C8D6025"/>
    <w:rsid w:val="4C9170DB"/>
    <w:rsid w:val="4DC36632"/>
    <w:rsid w:val="4DCE1EB5"/>
    <w:rsid w:val="4E395BC1"/>
    <w:rsid w:val="4EAC202E"/>
    <w:rsid w:val="4F2A057A"/>
    <w:rsid w:val="4F52716F"/>
    <w:rsid w:val="4F653250"/>
    <w:rsid w:val="4FE60A65"/>
    <w:rsid w:val="50581F73"/>
    <w:rsid w:val="507941C5"/>
    <w:rsid w:val="51860E47"/>
    <w:rsid w:val="51944027"/>
    <w:rsid w:val="51C01DAA"/>
    <w:rsid w:val="520C4428"/>
    <w:rsid w:val="52D44B00"/>
    <w:rsid w:val="53527C1E"/>
    <w:rsid w:val="539A61B8"/>
    <w:rsid w:val="540754E7"/>
    <w:rsid w:val="54B716A8"/>
    <w:rsid w:val="54C07EA1"/>
    <w:rsid w:val="557E4224"/>
    <w:rsid w:val="55F1630D"/>
    <w:rsid w:val="562315C7"/>
    <w:rsid w:val="56B307DD"/>
    <w:rsid w:val="56B754F8"/>
    <w:rsid w:val="56DC5010"/>
    <w:rsid w:val="574E25E7"/>
    <w:rsid w:val="58860060"/>
    <w:rsid w:val="592C2729"/>
    <w:rsid w:val="59E6467C"/>
    <w:rsid w:val="59F477A1"/>
    <w:rsid w:val="5A380F1D"/>
    <w:rsid w:val="5AA751C2"/>
    <w:rsid w:val="5AD74B78"/>
    <w:rsid w:val="5AFD5A55"/>
    <w:rsid w:val="5B024938"/>
    <w:rsid w:val="5B2641C1"/>
    <w:rsid w:val="5BD448EE"/>
    <w:rsid w:val="5DDB4B89"/>
    <w:rsid w:val="5E2D4198"/>
    <w:rsid w:val="5F143EC1"/>
    <w:rsid w:val="5FC44532"/>
    <w:rsid w:val="60B37BB5"/>
    <w:rsid w:val="60F4061E"/>
    <w:rsid w:val="61063DBC"/>
    <w:rsid w:val="61751E71"/>
    <w:rsid w:val="626C2DFB"/>
    <w:rsid w:val="634C7403"/>
    <w:rsid w:val="635835FF"/>
    <w:rsid w:val="642E473C"/>
    <w:rsid w:val="64D36AEA"/>
    <w:rsid w:val="65CD5BB9"/>
    <w:rsid w:val="660A5728"/>
    <w:rsid w:val="67EB2D8A"/>
    <w:rsid w:val="680C0DF1"/>
    <w:rsid w:val="68286B39"/>
    <w:rsid w:val="68AD5B4D"/>
    <w:rsid w:val="68D8310B"/>
    <w:rsid w:val="69031659"/>
    <w:rsid w:val="698D7F38"/>
    <w:rsid w:val="6A5B0CED"/>
    <w:rsid w:val="6B4D7F19"/>
    <w:rsid w:val="6C246144"/>
    <w:rsid w:val="6C2859E2"/>
    <w:rsid w:val="6DB35E33"/>
    <w:rsid w:val="6DE446DA"/>
    <w:rsid w:val="6EA503BA"/>
    <w:rsid w:val="6EEE3847"/>
    <w:rsid w:val="6F137639"/>
    <w:rsid w:val="6F2701E9"/>
    <w:rsid w:val="6F7B7C73"/>
    <w:rsid w:val="6F966D02"/>
    <w:rsid w:val="71E644EB"/>
    <w:rsid w:val="71F260FE"/>
    <w:rsid w:val="726739D4"/>
    <w:rsid w:val="730D208F"/>
    <w:rsid w:val="73EB3CBA"/>
    <w:rsid w:val="751B4EE4"/>
    <w:rsid w:val="756C6735"/>
    <w:rsid w:val="75E93780"/>
    <w:rsid w:val="762C6036"/>
    <w:rsid w:val="7669005D"/>
    <w:rsid w:val="76D840EC"/>
    <w:rsid w:val="771741F2"/>
    <w:rsid w:val="785C5783"/>
    <w:rsid w:val="78C31CAF"/>
    <w:rsid w:val="78CA6FB4"/>
    <w:rsid w:val="78EC1A74"/>
    <w:rsid w:val="797E7AAF"/>
    <w:rsid w:val="7A3F4A1F"/>
    <w:rsid w:val="7B1E74DC"/>
    <w:rsid w:val="7DAA3881"/>
    <w:rsid w:val="7DBB1CE2"/>
    <w:rsid w:val="7E4A569C"/>
    <w:rsid w:val="7EC91B47"/>
    <w:rsid w:val="7ED55EFE"/>
    <w:rsid w:val="7EE65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b/>
      <w:bCs/>
      <w:kern w:val="44"/>
      <w:sz w:val="48"/>
      <w:szCs w:val="48"/>
    </w:rPr>
  </w:style>
  <w:style w:type="paragraph" w:styleId="3">
    <w:name w:val="heading 2"/>
    <w:basedOn w:val="1"/>
    <w:next w:val="1"/>
    <w:unhideWhenUsed/>
    <w:qFormat/>
    <w:uiPriority w:val="0"/>
    <w:pPr>
      <w:spacing w:before="100" w:beforeAutospacing="1" w:after="100" w:afterAutospacing="1"/>
      <w:jc w:val="left"/>
      <w:outlineLvl w:val="1"/>
    </w:pPr>
    <w:rPr>
      <w:rFonts w:hint="eastAsia" w:ascii="宋体" w:hAnsi="宋体"/>
      <w:b/>
      <w:bCs/>
      <w:kern w:val="0"/>
      <w:sz w:val="36"/>
      <w:szCs w:val="36"/>
    </w:rPr>
  </w:style>
  <w:style w:type="paragraph" w:styleId="4">
    <w:name w:val="heading 3"/>
    <w:basedOn w:val="1"/>
    <w:next w:val="1"/>
    <w:unhideWhenUsed/>
    <w:qFormat/>
    <w:uiPriority w:val="0"/>
    <w:pPr>
      <w:spacing w:before="100" w:beforeAutospacing="1" w:after="100" w:afterAutospacing="1"/>
      <w:jc w:val="left"/>
      <w:outlineLvl w:val="2"/>
    </w:pPr>
    <w:rPr>
      <w:rFonts w:hint="eastAsia" w:ascii="宋体" w:hAnsi="宋体"/>
      <w:b/>
      <w:bCs/>
      <w:kern w:val="0"/>
      <w:sz w:val="27"/>
      <w:szCs w:val="27"/>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4"/>
    <w:qFormat/>
    <w:uiPriority w:val="0"/>
    <w:pPr>
      <w:tabs>
        <w:tab w:val="center" w:pos="4153"/>
        <w:tab w:val="right" w:pos="8306"/>
      </w:tabs>
      <w:snapToGrid w:val="0"/>
      <w:jc w:val="left"/>
    </w:pPr>
    <w:rPr>
      <w:sz w:val="18"/>
      <w:szCs w:val="18"/>
    </w:rPr>
  </w:style>
  <w:style w:type="paragraph" w:styleId="6">
    <w:name w:val="header"/>
    <w:basedOn w:val="1"/>
    <w:link w:val="13"/>
    <w:qFormat/>
    <w:uiPriority w:val="0"/>
    <w:pPr>
      <w:tabs>
        <w:tab w:val="center" w:pos="4153"/>
        <w:tab w:val="right" w:pos="8306"/>
      </w:tabs>
      <w:snapToGrid w:val="0"/>
      <w:jc w:val="center"/>
    </w:pPr>
    <w:rPr>
      <w:sz w:val="18"/>
      <w:szCs w:val="18"/>
    </w:rPr>
  </w:style>
  <w:style w:type="paragraph" w:styleId="7">
    <w:name w:val="Normal (Web)"/>
    <w:basedOn w:val="1"/>
    <w:qFormat/>
    <w:uiPriority w:val="0"/>
    <w:pPr>
      <w:spacing w:before="100" w:beforeAutospacing="1" w:after="100" w:afterAutospacing="1"/>
      <w:jc w:val="left"/>
    </w:pPr>
    <w:rPr>
      <w:kern w:val="0"/>
      <w:sz w:val="24"/>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qFormat/>
    <w:uiPriority w:val="0"/>
    <w:rPr>
      <w:color w:val="0000FF"/>
      <w:u w:val="single"/>
    </w:rPr>
  </w:style>
  <w:style w:type="character" w:customStyle="1" w:styleId="13">
    <w:name w:val="页眉 字符"/>
    <w:basedOn w:val="9"/>
    <w:link w:val="6"/>
    <w:qFormat/>
    <w:uiPriority w:val="0"/>
    <w:rPr>
      <w:rFonts w:ascii="Calibri" w:hAnsi="Calibri"/>
      <w:kern w:val="2"/>
      <w:sz w:val="18"/>
      <w:szCs w:val="18"/>
    </w:rPr>
  </w:style>
  <w:style w:type="character" w:customStyle="1" w:styleId="14">
    <w:name w:val="页脚 字符"/>
    <w:basedOn w:val="9"/>
    <w:link w:val="5"/>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1964</Words>
  <Characters>12286</Characters>
  <Lines>247</Lines>
  <Paragraphs>105</Paragraphs>
  <TotalTime>43</TotalTime>
  <ScaleCrop>false</ScaleCrop>
  <LinksUpToDate>false</LinksUpToDate>
  <CharactersWithSpaces>14154</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2026-01-15T14:14:00Z</dcterms:created>
  <dc:creator>Francis</dc:creator>
  <cp:lastModifiedBy>微风鉴赏家</cp:lastModifiedBy>
  <dcterms:modified xsi:type="dcterms:W3CDTF">2026-03-29T13:50:16Z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2052-12.1.0.25835</vt:lpwstr>
  </property>
  <property fmtid="{D5CDD505-2E9C-101B-9397-08002B2CF9AE}" pid="3" name="KSOTemplateDocerSaveRecord">
    <vt:lpwstr>eyJoZGlkIjoiZWNiOThjNGYwMjk4ZmEyODg3MzI3OTJlYjI0Njg5NzYiLCJ1c2VySWQiOiIxNjQ2NjExMTg5In0=</vt:lpwstr>
  </property>
  <property fmtid="{D5CDD505-2E9C-101B-9397-08002B2CF9AE}" pid="4" name="ICV">
    <vt:lpwstr>DF285819769242D29452F5FF27AA0AD2_13</vt:lpwstr>
  </property>
</Properties>
</file>