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A68"/>
          <w:sz w:val="60"/>
        </w:rPr>
        <w:t>PLAN DE AFACERI</w:t>
      </w:r>
    </w:p>
    <w:p>
      <w:pPr>
        <w:jc w:val="center"/>
      </w:pPr>
      <w:r>
        <w:rPr>
          <w:b/>
          <w:sz w:val="36"/>
        </w:rPr>
        <w:t>PARTEA A II-A — DESCRIEREA PROIECTULUI</w:t>
      </w:r>
    </w:p>
    <w:p/>
    <w:p>
      <w:pPr>
        <w:jc w:val="center"/>
      </w:pPr>
      <w:r>
        <w:rPr>
          <w:i/>
          <w:sz w:val="28"/>
        </w:rPr>
        <w:t>„MyMedicalApp — Platformă SaaS de interpretare inteligentă a analizelor medicale de laborator, bazată pe Inteligență Artificială și codificare LOINC”</w:t>
      </w:r>
    </w:p>
    <w:p/>
    <w:p/>
    <w:p/>
    <w:p>
      <w:pPr>
        <w:jc w:val="center"/>
      </w:pPr>
      <w:r>
        <w:rPr>
          <w:b/>
          <w:sz w:val="28"/>
        </w:rPr>
        <w:t>Solicitant: S.C. FIXMEDICAL S.R.L.</w:t>
      </w:r>
    </w:p>
    <w:p>
      <w:pPr>
        <w:jc w:val="center"/>
      </w:pPr>
      <w:r>
        <w:rPr>
          <w:sz w:val="24"/>
        </w:rPr>
        <w:t>Program Operațional Creștere Inteligentă, Digitalizare și Instrumente Financiare (POCIDIF) 2021–2027</w:t>
      </w:r>
    </w:p>
    <w:p>
      <w:pPr>
        <w:jc w:val="center"/>
      </w:pPr>
      <w:r>
        <w:rPr>
          <w:i/>
          <w:sz w:val="22"/>
        </w:rPr>
        <w:t>Document elaborat conform structurii din ANEXA 4 — Model Plan de Afaceri</w:t>
      </w:r>
    </w:p>
    <w:p/>
    <w:p>
      <w:pPr>
        <w:jc w:val="center"/>
      </w:pPr>
      <w:r>
        <w:rPr>
          <w:sz w:val="22"/>
        </w:rPr>
        <w:t>Anul redactării: 2026 · Perioada de implementare: 18 luni · Buget total al proiectului: 800.000 EUR (finanțare nerambursabilă + contribuție proprie)</w:t>
      </w:r>
    </w:p>
    <w:p>
      <w:r>
        <w:br w:type="page"/>
      </w:r>
    </w:p>
    <w:p>
      <w:pPr>
        <w:pStyle w:val="Heading1"/>
      </w:pPr>
      <w:r>
        <w:rPr>
          <w:color w:val="1F3A68"/>
        </w:rPr>
        <w:t>PARTEA A II-A — DESCRIEREA PROIECTULUI</w:t>
      </w:r>
    </w:p>
    <w:p>
      <w:pPr>
        <w:spacing w:after="120"/>
        <w:jc w:val="both"/>
      </w:pPr>
      <w:r>
        <w:rPr>
          <w:b w:val="0"/>
          <w:i w:val="0"/>
          <w:sz w:val="22"/>
        </w:rPr>
        <w:t>Prezenta secțiune descrie în detaliu proiectul de investiții propus de S.C. FIXMEDICAL S.R.L.: proiectarea, dezvoltarea de la zero și lansarea comercială a platformei software MyMedicalApp — o soluție SaaS (Software-as-a-Service) inovatoare care transformă buletinele de analize medicale de laborator (documente PDF nestructurate, emise în formate eterogene de sute de laboratoare diferite) în date medicale structurate, codificate internațional (LOINC) și interpretate în limbaj accesibil pacientului, în limba sa maternă, prin tehnologii de Inteligență Artificială generativă.</w:t>
      </w:r>
    </w:p>
    <w:p>
      <w:pPr>
        <w:spacing w:after="120"/>
        <w:jc w:val="both"/>
      </w:pPr>
      <w:r>
        <w:rPr>
          <w:b w:val="0"/>
          <w:i w:val="0"/>
          <w:sz w:val="22"/>
        </w:rPr>
        <w:t>Proiectul este conceput integral ca o inițiativă nouă (greenfield): toate componentele software, infrastructura, procesele operaționale și canalele comerciale vor fi proiectate, construite, testate și lansate în cadrul perioadei de implementare de 18 luni, pornind de la stadiul de concept tehnologic validat teoretic (TRL 2–3) și ajungând la produs comercial operațional pe piață (TRL 8–9).</w:t>
      </w:r>
    </w:p>
    <w:p>
      <w:pPr>
        <w:spacing w:after="120"/>
        <w:jc w:val="both"/>
      </w:pPr>
      <w:r>
        <w:rPr>
          <w:b/>
          <w:i w:val="0"/>
          <w:sz w:val="22"/>
        </w:rPr>
        <w:t>Structura prezentei părți urmează întocmai cerințele Anexei 4:</w:t>
      </w:r>
    </w:p>
    <w:p>
      <w:pPr>
        <w:pStyle w:val="ListBullet"/>
        <w:spacing w:after="40"/>
        <w:jc w:val="both"/>
      </w:pPr>
      <w:r>
        <w:rPr>
          <w:sz w:val="22"/>
        </w:rPr>
        <w:t>C.1. Obiectivele proiectului — necesitatea și oportunitatea investiției, obiectivul general, obiectivele specifice (SMART), rezultatele așteptate și alinierea strategică;</w:t>
      </w:r>
    </w:p>
    <w:p>
      <w:pPr>
        <w:pStyle w:val="ListBullet"/>
        <w:spacing w:after="40"/>
        <w:jc w:val="both"/>
      </w:pPr>
      <w:r>
        <w:rPr>
          <w:sz w:val="22"/>
        </w:rPr>
        <w:t>C.2. Caracterul inovativ al aplicației — stadiul actual al tehnologiei, elementele de noutate, componenta de Inteligență Artificială și poziționarea față de soluțiile existente;</w:t>
      </w:r>
    </w:p>
    <w:p>
      <w:pPr>
        <w:pStyle w:val="ListBullet"/>
        <w:spacing w:after="40"/>
        <w:jc w:val="both"/>
      </w:pPr>
      <w:r>
        <w:rPr>
          <w:sz w:val="22"/>
        </w:rPr>
        <w:t>C.3. Product-Market Fit — piața țintă, problema abordată, validarea cererii și propunerea de valoare;</w:t>
      </w:r>
    </w:p>
    <w:p>
      <w:pPr>
        <w:pStyle w:val="ListBullet"/>
        <w:spacing w:after="40"/>
        <w:jc w:val="both"/>
      </w:pPr>
      <w:r>
        <w:rPr>
          <w:sz w:val="22"/>
        </w:rPr>
        <w:t>C.4. Descrierea tehnică a proiectului — arhitectura sistemului și enumerarea completă a etapelor și fazelor de dezvoltare, de la landing page, înregistrare și autentificare până la motorul AI, microserviciul de codificare LOINC, modulul B2B și lansarea comercială;</w:t>
      </w:r>
    </w:p>
    <w:p>
      <w:pPr>
        <w:pStyle w:val="ListBullet"/>
        <w:spacing w:after="40"/>
        <w:jc w:val="both"/>
      </w:pPr>
      <w:r>
        <w:rPr>
          <w:sz w:val="22"/>
        </w:rPr>
        <w:t>C.5. Personal și instruire — echipa de proiect, roluri, plan de formare profesională;</w:t>
      </w:r>
    </w:p>
    <w:p>
      <w:pPr>
        <w:pStyle w:val="ListBullet"/>
        <w:spacing w:after="40"/>
        <w:jc w:val="both"/>
      </w:pPr>
      <w:r>
        <w:rPr>
          <w:sz w:val="22"/>
        </w:rPr>
        <w:t>C.6. Graficul estimat al proiectului — calendar, diagramă Gantt, milestone-uri și dependințe critice;</w:t>
      </w:r>
    </w:p>
    <w:p>
      <w:pPr>
        <w:pStyle w:val="ListBullet"/>
        <w:spacing w:after="40"/>
        <w:jc w:val="both"/>
      </w:pPr>
      <w:r>
        <w:rPr>
          <w:sz w:val="22"/>
        </w:rPr>
        <w:t>C.7. Strategia de marketing și de comercializare;</w:t>
      </w:r>
    </w:p>
    <w:p>
      <w:pPr>
        <w:pStyle w:val="ListBullet"/>
        <w:spacing w:after="40"/>
        <w:jc w:val="both"/>
      </w:pPr>
      <w:r>
        <w:rPr>
          <w:sz w:val="22"/>
        </w:rPr>
        <w:t>C.8. Impactul proiectului — rezultate cantitative, calitative, sustenabilitate și contribuție strategică;</w:t>
      </w:r>
    </w:p>
    <w:p>
      <w:pPr>
        <w:pStyle w:val="ListBullet"/>
        <w:spacing w:after="40"/>
        <w:jc w:val="both"/>
      </w:pPr>
      <w:r>
        <w:rPr>
          <w:sz w:val="22"/>
        </w:rPr>
        <w:t>C.9. Evaluarea și atenuarea riscurilor.</w:t>
      </w:r>
    </w:p>
    <w:p>
      <w:pPr>
        <w:spacing w:after="120"/>
        <w:jc w:val="both"/>
      </w:pPr>
      <w:r>
        <w:rPr>
          <w:b/>
          <w:i w:val="0"/>
          <w:sz w:val="22"/>
        </w:rPr>
        <w:t>Date de identificare sintetice ale proiectului:</w:t>
      </w:r>
    </w:p>
    <w:tbl>
      <w:tblPr>
        <w:tblStyle w:val="LightGrid-Accent1"/>
        <w:tblW w:type="auto" w:w="0"/>
        <w:tblLook w:firstColumn="1" w:firstRow="1" w:lastColumn="0" w:lastRow="0" w:noHBand="0" w:noVBand="1" w:val="04A0"/>
      </w:tblPr>
      <w:tblGrid>
        <w:gridCol w:w="4873"/>
        <w:gridCol w:w="4873"/>
      </w:tblGrid>
      <w:tr>
        <w:tc>
          <w:tcPr>
            <w:tcW w:type="dxa" w:w="3118"/>
            <w:shd w:val="clear" w:color="auto" w:fill="1F3A68"/>
          </w:tcPr>
          <w:p>
            <w:r>
              <w:rPr>
                <w:color w:val="FFFFFF"/>
              </w:rPr>
            </w:r>
            <w:r>
              <w:rPr>
                <w:b/>
                <w:color w:val="FFFFFF"/>
                <w:sz w:val="20"/>
              </w:rPr>
              <w:t>Element</w:t>
            </w:r>
          </w:p>
        </w:tc>
        <w:tc>
          <w:tcPr>
            <w:tcW w:type="dxa" w:w="6066"/>
            <w:shd w:val="clear" w:color="auto" w:fill="1F3A68"/>
          </w:tcPr>
          <w:p>
            <w:r>
              <w:rPr>
                <w:color w:val="FFFFFF"/>
              </w:rPr>
            </w:r>
            <w:r>
              <w:rPr>
                <w:b/>
                <w:color w:val="FFFFFF"/>
                <w:sz w:val="20"/>
              </w:rPr>
              <w:t>Valoare</w:t>
            </w:r>
          </w:p>
        </w:tc>
      </w:tr>
      <w:tr>
        <w:tc>
          <w:tcPr>
            <w:tcW w:type="dxa" w:w="3118"/>
          </w:tcPr>
          <w:p>
            <w:r/>
            <w:r>
              <w:rPr>
                <w:sz w:val="20"/>
              </w:rPr>
              <w:t>Denumirea proiectului</w:t>
            </w:r>
          </w:p>
        </w:tc>
        <w:tc>
          <w:tcPr>
            <w:tcW w:type="dxa" w:w="6066"/>
          </w:tcPr>
          <w:p>
            <w:r/>
            <w:r>
              <w:rPr>
                <w:sz w:val="20"/>
              </w:rPr>
              <w:t>MyMedicalApp — Platformă SaaS de interpretare inteligentă a analizelor medicale</w:t>
            </w:r>
          </w:p>
        </w:tc>
      </w:tr>
      <w:tr>
        <w:tc>
          <w:tcPr>
            <w:tcW w:type="dxa" w:w="3118"/>
          </w:tcPr>
          <w:p>
            <w:r/>
            <w:r>
              <w:rPr>
                <w:sz w:val="20"/>
              </w:rPr>
              <w:t>Solicitant</w:t>
            </w:r>
          </w:p>
        </w:tc>
        <w:tc>
          <w:tcPr>
            <w:tcW w:type="dxa" w:w="6066"/>
          </w:tcPr>
          <w:p>
            <w:r/>
            <w:r>
              <w:rPr>
                <w:sz w:val="20"/>
              </w:rPr>
              <w:t>S.C. FIXMEDICAL S.R.L.</w:t>
            </w:r>
          </w:p>
        </w:tc>
      </w:tr>
      <w:tr>
        <w:tc>
          <w:tcPr>
            <w:tcW w:type="dxa" w:w="3118"/>
          </w:tcPr>
          <w:p>
            <w:r/>
            <w:r>
              <w:rPr>
                <w:sz w:val="20"/>
              </w:rPr>
              <w:t>Program de finanțare</w:t>
            </w:r>
          </w:p>
        </w:tc>
        <w:tc>
          <w:tcPr>
            <w:tcW w:type="dxa" w:w="6066"/>
          </w:tcPr>
          <w:p>
            <w:r/>
            <w:r>
              <w:rPr>
                <w:sz w:val="20"/>
              </w:rPr>
              <w:t>POCIDIF 2021–2027 — digitalizare și creștere inteligentă</w:t>
            </w:r>
          </w:p>
        </w:tc>
      </w:tr>
      <w:tr>
        <w:tc>
          <w:tcPr>
            <w:tcW w:type="dxa" w:w="3118"/>
          </w:tcPr>
          <w:p>
            <w:r/>
            <w:r>
              <w:rPr>
                <w:sz w:val="20"/>
              </w:rPr>
              <w:t>Buget total estimat</w:t>
            </w:r>
          </w:p>
        </w:tc>
        <w:tc>
          <w:tcPr>
            <w:tcW w:type="dxa" w:w="6066"/>
          </w:tcPr>
          <w:p>
            <w:r/>
            <w:r>
              <w:rPr>
                <w:sz w:val="20"/>
              </w:rPr>
              <w:t>800.000 EUR</w:t>
            </w:r>
          </w:p>
        </w:tc>
      </w:tr>
      <w:tr>
        <w:tc>
          <w:tcPr>
            <w:tcW w:type="dxa" w:w="3118"/>
          </w:tcPr>
          <w:p>
            <w:r/>
            <w:r>
              <w:rPr>
                <w:sz w:val="20"/>
              </w:rPr>
              <w:t>Perioada de implementare</w:t>
            </w:r>
          </w:p>
        </w:tc>
        <w:tc>
          <w:tcPr>
            <w:tcW w:type="dxa" w:w="6066"/>
          </w:tcPr>
          <w:p>
            <w:r/>
            <w:r>
              <w:rPr>
                <w:sz w:val="20"/>
              </w:rPr>
              <w:t>18 luni</w:t>
            </w:r>
          </w:p>
        </w:tc>
      </w:tr>
      <w:tr>
        <w:tc>
          <w:tcPr>
            <w:tcW w:type="dxa" w:w="3118"/>
          </w:tcPr>
          <w:p>
            <w:r/>
            <w:r>
              <w:rPr>
                <w:sz w:val="20"/>
              </w:rPr>
              <w:t>Domeniu</w:t>
            </w:r>
          </w:p>
        </w:tc>
        <w:tc>
          <w:tcPr>
            <w:tcW w:type="dxa" w:w="6066"/>
          </w:tcPr>
          <w:p>
            <w:r/>
            <w:r>
              <w:rPr>
                <w:sz w:val="20"/>
              </w:rPr>
              <w:t>e-Health / HealthTech — software medical (SaaS)</w:t>
            </w:r>
          </w:p>
        </w:tc>
      </w:tr>
      <w:tr>
        <w:tc>
          <w:tcPr>
            <w:tcW w:type="dxa" w:w="3118"/>
          </w:tcPr>
          <w:p>
            <w:r/>
            <w:r>
              <w:rPr>
                <w:sz w:val="20"/>
              </w:rPr>
              <w:t>Nivel de maturitate tehnologică</w:t>
            </w:r>
          </w:p>
        </w:tc>
        <w:tc>
          <w:tcPr>
            <w:tcW w:type="dxa" w:w="6066"/>
          </w:tcPr>
          <w:p>
            <w:r/>
            <w:r>
              <w:rPr>
                <w:sz w:val="20"/>
              </w:rPr>
              <w:t>TRL 2–3 la debut → TRL 8–9 la finalizare</w:t>
            </w:r>
          </w:p>
        </w:tc>
      </w:tr>
      <w:tr>
        <w:tc>
          <w:tcPr>
            <w:tcW w:type="dxa" w:w="3118"/>
          </w:tcPr>
          <w:p>
            <w:r/>
            <w:r>
              <w:rPr>
                <w:sz w:val="20"/>
              </w:rPr>
              <w:t>Modele de venit</w:t>
            </w:r>
          </w:p>
        </w:tc>
        <w:tc>
          <w:tcPr>
            <w:tcW w:type="dxa" w:w="6066"/>
          </w:tcPr>
          <w:p>
            <w:r/>
            <w:r>
              <w:rPr>
                <w:sz w:val="20"/>
              </w:rPr>
              <w:t>B2C freemium/premium · B2B SaaS pe abonament · B2B enterprise on-premise</w:t>
            </w:r>
          </w:p>
        </w:tc>
      </w:tr>
      <w:tr>
        <w:tc>
          <w:tcPr>
            <w:tcW w:type="dxa" w:w="3118"/>
          </w:tcPr>
          <w:p>
            <w:r/>
            <w:r>
              <w:rPr>
                <w:sz w:val="20"/>
              </w:rPr>
              <w:t>Piețe țintă</w:t>
            </w:r>
          </w:p>
        </w:tc>
        <w:tc>
          <w:tcPr>
            <w:tcW w:type="dxa" w:w="6066"/>
          </w:tcPr>
          <w:p>
            <w:r/>
            <w:r>
              <w:rPr>
                <w:sz w:val="20"/>
              </w:rPr>
              <w:t>România (lansare), Uniunea Europeană (extindere), acoperire lingvistică 7 limbi la lansare, 30 de limbi la finalul proiectului</w:t>
            </w:r>
          </w:p>
        </w:tc>
      </w:tr>
    </w:tbl>
    <w:p>
      <w:r>
        <w:br w:type="page"/>
      </w:r>
    </w:p>
    <w:p>
      <w:pPr>
        <w:pStyle w:val="Heading1"/>
      </w:pPr>
      <w:r>
        <w:rPr>
          <w:color w:val="1F3A68"/>
        </w:rPr>
        <w:t>C.1. Obiectivele proiectului</w:t>
      </w:r>
    </w:p>
    <w:p>
      <w:pPr>
        <w:pStyle w:val="Heading2"/>
      </w:pPr>
      <w:r>
        <w:rPr>
          <w:color w:val="1F3A68"/>
        </w:rPr>
        <w:t>C.1.1. Necesitatea și oportunitatea investiției propuse</w:t>
      </w:r>
    </w:p>
    <w:p>
      <w:pPr>
        <w:spacing w:after="120"/>
        <w:jc w:val="both"/>
      </w:pPr>
      <w:r>
        <w:rPr>
          <w:b w:val="0"/>
          <w:i w:val="0"/>
          <w:sz w:val="22"/>
        </w:rPr>
        <w:t>În fiecare an, în România se efectuează peste 100 de milioane de analize medicale de laborator, iar la nivelul Uniunii Europene volumul depășește 10 miliarde de determinări anual. Rezultatul acestor investigații ajunge la pacient, în imensa majoritate a cazurilor, sub forma unui document PDF tehnic, generat de sisteme informatice de laborator (LIS) diferite, cu structuri, denumiri, unități de măsură și intervale de referință neomogene. Pacientul primește astfel un document pe care, de cele mai multe ori, nu îl înțelege.</w:t>
      </w:r>
    </w:p>
    <w:p>
      <w:pPr>
        <w:spacing w:after="120"/>
        <w:jc w:val="both"/>
      </w:pPr>
      <w:r>
        <w:rPr>
          <w:b w:val="0"/>
          <w:i w:val="0"/>
          <w:sz w:val="22"/>
        </w:rPr>
        <w:t>Studiile europene de alfabetizare în sănătate (European Health Literacy Survey) arată că aproximativ 47% din populația adultă a UE are un nivel limitat sau problematic de înțelegere a informațiilor medicale, iar în România procentul depășește 55%. Sondajele naționale indică faptul că peste 60% dintre adulți au efectuat cel puțin o analiză medicală în ultimele 12 luni, iar 41% dintre aceștia declară că nu au înțeles integral semnificația rezultatelor primite. Consecințele directe sunt:</w:t>
      </w:r>
    </w:p>
    <w:p>
      <w:pPr>
        <w:pStyle w:val="ListBullet"/>
        <w:spacing w:after="40"/>
        <w:jc w:val="both"/>
      </w:pPr>
      <w:r>
        <w:rPr>
          <w:sz w:val="22"/>
        </w:rPr>
        <w:t>amânarea prezentării la medic în cazul unor valori patologice nesesizate de pacient (diagnostic întârziat);</w:t>
      </w:r>
    </w:p>
    <w:p>
      <w:pPr>
        <w:pStyle w:val="ListBullet"/>
        <w:spacing w:after="40"/>
        <w:jc w:val="both"/>
      </w:pPr>
      <w:r>
        <w:rPr>
          <w:sz w:val="22"/>
        </w:rPr>
        <w:t>anxietate nejustificată și consum suplimentar de servicii medicale în cazul unor variații minore, fiziologice, ale valorilor;</w:t>
      </w:r>
    </w:p>
    <w:p>
      <w:pPr>
        <w:pStyle w:val="ListBullet"/>
        <w:spacing w:after="40"/>
        <w:jc w:val="both"/>
      </w:pPr>
      <w:r>
        <w:rPr>
          <w:sz w:val="22"/>
        </w:rPr>
        <w:t>imposibilitatea urmăririi evoluției în timp a parametrilor proprii, din cauza formatelor incompatibile între laboratoare;</w:t>
      </w:r>
    </w:p>
    <w:p>
      <w:pPr>
        <w:pStyle w:val="ListBullet"/>
        <w:spacing w:after="40"/>
        <w:jc w:val="both"/>
      </w:pPr>
      <w:r>
        <w:rPr>
          <w:sz w:val="22"/>
        </w:rPr>
        <w:t>pierderea de informație clinică la transferul pacientului între furnizori de servicii medicale, în absența unei codificări standardizate a rezultatelor (LOINC).</w:t>
      </w:r>
    </w:p>
    <w:p>
      <w:pPr>
        <w:spacing w:after="120"/>
        <w:jc w:val="both"/>
      </w:pPr>
      <w:r>
        <w:rPr>
          <w:b w:val="0"/>
          <w:i w:val="0"/>
          <w:sz w:val="22"/>
        </w:rPr>
        <w:t>Pe partea de sistem medical, clinicile și cabinetele medicale se confruntă cu o problemă simetrică: datele de laborator sosesc pe hârtie sau PDF, nu pot fi agregate, comparate sau analizate automat, iar interoperabilitatea cu dosarul electronic de sănătate (DES) și cu standardele europene (HL7 FHIR, European Health Data Space — EHDS) impune codificarea rezultatelor în nomenclatorul internațional LOINC (Logical Observation Identifiers Names and Codes) — operațiune care astăzi se realizează manual, costisitor și cu erori.</w:t>
      </w:r>
    </w:p>
    <w:p>
      <w:pPr>
        <w:spacing w:after="120"/>
        <w:jc w:val="both"/>
      </w:pPr>
      <w:r>
        <w:rPr>
          <w:b w:val="0"/>
          <w:i w:val="0"/>
          <w:sz w:val="22"/>
        </w:rPr>
        <w:t>Oportunitatea investiției rezultă din convergența a patru factori independenți, aflați simultan la maturitate:</w:t>
      </w:r>
    </w:p>
    <w:p>
      <w:pPr>
        <w:pStyle w:val="ListNumber"/>
        <w:spacing w:after="40"/>
        <w:jc w:val="both"/>
      </w:pPr>
      <w:r>
        <w:rPr>
          <w:sz w:val="22"/>
        </w:rPr>
        <w:t>Maturizarea modelelor lingvistice mari (LLM) multimodale, capabile să citească documente PDF eterogene și să extragă date structurate cu acuratețe ridicată — tehnologie indisponibilă comercial înainte de 2023;</w:t>
      </w:r>
    </w:p>
    <w:p>
      <w:pPr>
        <w:pStyle w:val="ListNumber"/>
        <w:spacing w:after="40"/>
        <w:jc w:val="both"/>
      </w:pPr>
      <w:r>
        <w:rPr>
          <w:sz w:val="22"/>
        </w:rPr>
        <w:t>Adoptarea Regulamentului (UE) 2025/327 privind Spațiul European al Datelor de Sănătate (EHDS), care obligă statele membre la standardizarea și portabilitatea datelor medicale — LOINC fiind nomenclatorul de referință pentru observațiile de laborator;</w:t>
      </w:r>
    </w:p>
    <w:p>
      <w:pPr>
        <w:pStyle w:val="ListNumber"/>
        <w:spacing w:after="40"/>
        <w:jc w:val="both"/>
      </w:pPr>
      <w:r>
        <w:rPr>
          <w:sz w:val="22"/>
        </w:rPr>
        <w:t>Creșterea accelerată a pieței globale de interpretare AI a datelor medicale, estimată la o rată anuală compusă (CAGR) de peste 35% pentru segmentul health-AI B2C/B2B;</w:t>
      </w:r>
    </w:p>
    <w:p>
      <w:pPr>
        <w:pStyle w:val="ListNumber"/>
        <w:spacing w:after="40"/>
        <w:jc w:val="both"/>
      </w:pPr>
      <w:r>
        <w:rPr>
          <w:sz w:val="22"/>
        </w:rPr>
        <w:t>Disponibilitatea finanțării nerambursabile POCIDIF pentru produse digitale inovatoare, care reduce riscul investițional al unui proiect greenfield cu grad ridicat de noutate.</w:t>
      </w:r>
    </w:p>
    <w:p>
      <w:pPr>
        <w:spacing w:after="120"/>
        <w:jc w:val="both"/>
      </w:pPr>
      <w:r>
        <w:rPr>
          <w:b/>
          <w:i w:val="0"/>
          <w:sz w:val="22"/>
        </w:rPr>
        <w:t>În absența investiției, problema identificată rămâne nerezolvată: nu există în prezent, pe piața românească și nici pe cea europeană, o soluție integrată care să combine extragerea automată a datelor din PDF-uri de laborator eterogene, codificarea LOINC automată de înaltă precizie și interpretarea narativă multilingvă destinată pacientului. Investiția propusă acoperă exact această lacună.</w:t>
      </w:r>
    </w:p>
    <w:p>
      <w:pPr>
        <w:pStyle w:val="Heading2"/>
      </w:pPr>
      <w:r>
        <w:rPr>
          <w:color w:val="1F3A68"/>
        </w:rPr>
        <w:t>C.1.2. Obiectivul general al proiectului</w:t>
      </w:r>
    </w:p>
    <w:p>
      <w:pPr>
        <w:spacing w:after="120"/>
        <w:jc w:val="both"/>
      </w:pPr>
      <w:r>
        <w:rPr>
          <w:b/>
          <w:i w:val="0"/>
          <w:sz w:val="22"/>
        </w:rPr>
        <w:t>Obiectivul general al proiectului îl constituie proiectarea, dezvoltarea integrală de la zero și lansarea comercială, în 18 luni, a platformei software MyMedicalApp — un produs SaaS inovator, bazat pe Inteligență Artificială, care transformă automat buletinele de analize medicale (PDF nestructurat) în date structurate, codificate LOINC și interpretate în limbaj accesibil, în limba pacientului, deservind simultan piața B2C (pacienți) și piața B2B (clinici, laboratoare, furnizori de servicii medicale), în condiții complete de securitate cibernetică și conformitate GDPR.</w:t>
      </w:r>
    </w:p>
    <w:p>
      <w:pPr>
        <w:spacing w:after="120"/>
        <w:jc w:val="both"/>
      </w:pPr>
      <w:r>
        <w:rPr>
          <w:b w:val="0"/>
          <w:i w:val="0"/>
          <w:sz w:val="22"/>
        </w:rPr>
        <w:t>Atingerea obiectivului general va conduce la creșterea competitivității S.C. FIXMEDICAL S.R.L. prin diversificarea activității către un produs software proprietar scalabil, cu potențial de export pe piața unică europeană, și va contribui la obiectivele POCIDIF de digitalizare inteligentă a economiei românești.</w:t>
      </w:r>
    </w:p>
    <w:p>
      <w:pPr>
        <w:pStyle w:val="Heading2"/>
      </w:pPr>
      <w:r>
        <w:rPr>
          <w:color w:val="1F3A68"/>
        </w:rPr>
        <w:t>C.1.3. Obiectivele specifice ale proiectului (SMART)</w:t>
      </w:r>
    </w:p>
    <w:p>
      <w:pPr>
        <w:spacing w:after="120"/>
        <w:jc w:val="both"/>
      </w:pPr>
      <w:r>
        <w:rPr>
          <w:b w:val="0"/>
          <w:i w:val="0"/>
          <w:sz w:val="22"/>
        </w:rPr>
        <w:t>Obiectivele specifice sunt formulate conform metodologiei SMART (Specific, Măsurabil, Abordabil, Relevant, încadrat în Timp) și acoperă integral ciclul de viață al proiectului greenfield, de la proiectare la comercializare:</w:t>
      </w:r>
    </w:p>
    <w:tbl>
      <w:tblPr>
        <w:tblStyle w:val="LightGrid-Accent1"/>
        <w:tblW w:type="auto" w:w="0"/>
        <w:tblLook w:firstColumn="1" w:firstRow="1" w:lastColumn="0" w:lastRow="0" w:noHBand="0" w:noVBand="1" w:val="04A0"/>
      </w:tblPr>
      <w:tblGrid>
        <w:gridCol w:w="2436"/>
        <w:gridCol w:w="2436"/>
        <w:gridCol w:w="2436"/>
        <w:gridCol w:w="2436"/>
      </w:tblGrid>
      <w:tr>
        <w:tc>
          <w:tcPr>
            <w:tcW w:type="dxa" w:w="624"/>
            <w:shd w:val="clear" w:color="auto" w:fill="1F3A68"/>
          </w:tcPr>
          <w:p>
            <w:r>
              <w:rPr>
                <w:color w:val="FFFFFF"/>
              </w:rPr>
            </w:r>
            <w:r>
              <w:rPr>
                <w:b/>
                <w:color w:val="FFFFFF"/>
                <w:sz w:val="20"/>
              </w:rPr>
              <w:t>ID</w:t>
            </w:r>
          </w:p>
        </w:tc>
        <w:tc>
          <w:tcPr>
            <w:tcW w:type="dxa" w:w="3572"/>
            <w:shd w:val="clear" w:color="auto" w:fill="1F3A68"/>
          </w:tcPr>
          <w:p>
            <w:r>
              <w:rPr>
                <w:color w:val="FFFFFF"/>
              </w:rPr>
            </w:r>
            <w:r>
              <w:rPr>
                <w:b/>
                <w:color w:val="FFFFFF"/>
                <w:sz w:val="20"/>
              </w:rPr>
              <w:t>Obiectiv specific</w:t>
            </w:r>
          </w:p>
        </w:tc>
        <w:tc>
          <w:tcPr>
            <w:tcW w:type="dxa" w:w="3402"/>
            <w:shd w:val="clear" w:color="auto" w:fill="1F3A68"/>
          </w:tcPr>
          <w:p>
            <w:r>
              <w:rPr>
                <w:color w:val="FFFFFF"/>
              </w:rPr>
            </w:r>
            <w:r>
              <w:rPr>
                <w:b/>
                <w:color w:val="FFFFFF"/>
                <w:sz w:val="20"/>
              </w:rPr>
              <w:t>Indicator măsurabil</w:t>
            </w:r>
          </w:p>
        </w:tc>
        <w:tc>
          <w:tcPr>
            <w:tcW w:type="dxa" w:w="1020"/>
            <w:shd w:val="clear" w:color="auto" w:fill="1F3A68"/>
          </w:tcPr>
          <w:p>
            <w:r>
              <w:rPr>
                <w:color w:val="FFFFFF"/>
              </w:rPr>
            </w:r>
            <w:r>
              <w:rPr>
                <w:b/>
                <w:color w:val="FFFFFF"/>
                <w:sz w:val="20"/>
              </w:rPr>
              <w:t>Termen</w:t>
            </w:r>
          </w:p>
        </w:tc>
      </w:tr>
      <w:tr>
        <w:tc>
          <w:tcPr>
            <w:tcW w:type="dxa" w:w="624"/>
          </w:tcPr>
          <w:p>
            <w:r/>
            <w:r>
              <w:rPr>
                <w:sz w:val="20"/>
              </w:rPr>
              <w:t>OS1</w:t>
            </w:r>
          </w:p>
        </w:tc>
        <w:tc>
          <w:tcPr>
            <w:tcW w:type="dxa" w:w="3572"/>
          </w:tcPr>
          <w:p>
            <w:r/>
            <w:r>
              <w:rPr>
                <w:sz w:val="20"/>
              </w:rPr>
              <w:t>Proiectarea completă a arhitecturii software (specificații funcționale, arhitectură pe straturi, model de date, design UX/UI) pentru întreaga platformă</w:t>
            </w:r>
          </w:p>
        </w:tc>
        <w:tc>
          <w:tcPr>
            <w:tcW w:type="dxa" w:w="3402"/>
          </w:tcPr>
          <w:p>
            <w:r/>
            <w:r>
              <w:rPr>
                <w:sz w:val="20"/>
              </w:rPr>
              <w:t>Documentație de arhitectură aprobată; 100% din module specificate; prototip UX validat pe 20 utilizatori</w:t>
            </w:r>
          </w:p>
        </w:tc>
        <w:tc>
          <w:tcPr>
            <w:tcW w:type="dxa" w:w="1020"/>
          </w:tcPr>
          <w:p>
            <w:r/>
            <w:r>
              <w:rPr>
                <w:sz w:val="20"/>
              </w:rPr>
              <w:t>Luna 3</w:t>
            </w:r>
          </w:p>
        </w:tc>
      </w:tr>
      <w:tr>
        <w:tc>
          <w:tcPr>
            <w:tcW w:type="dxa" w:w="624"/>
          </w:tcPr>
          <w:p>
            <w:r/>
            <w:r>
              <w:rPr>
                <w:sz w:val="20"/>
              </w:rPr>
              <w:t>OS2</w:t>
            </w:r>
          </w:p>
        </w:tc>
        <w:tc>
          <w:tcPr>
            <w:tcW w:type="dxa" w:w="3572"/>
          </w:tcPr>
          <w:p>
            <w:r/>
            <w:r>
              <w:rPr>
                <w:sz w:val="20"/>
              </w:rPr>
              <w:t>Construirea infrastructurii cloud și a lanțului DevOps (medii dezvoltare/staging/producție, CI/CD, monitorizare)</w:t>
            </w:r>
          </w:p>
        </w:tc>
        <w:tc>
          <w:tcPr>
            <w:tcW w:type="dxa" w:w="3402"/>
          </w:tcPr>
          <w:p>
            <w:r/>
            <w:r>
              <w:rPr>
                <w:sz w:val="20"/>
              </w:rPr>
              <w:t>3 medii operaționale; pipeline CI/CD funcțional; timp de release &lt; 30 minute</w:t>
            </w:r>
          </w:p>
        </w:tc>
        <w:tc>
          <w:tcPr>
            <w:tcW w:type="dxa" w:w="1020"/>
          </w:tcPr>
          <w:p>
            <w:r/>
            <w:r>
              <w:rPr>
                <w:sz w:val="20"/>
              </w:rPr>
              <w:t>Luna 4</w:t>
            </w:r>
          </w:p>
        </w:tc>
      </w:tr>
      <w:tr>
        <w:tc>
          <w:tcPr>
            <w:tcW w:type="dxa" w:w="624"/>
          </w:tcPr>
          <w:p>
            <w:r/>
            <w:r>
              <w:rPr>
                <w:sz w:val="20"/>
              </w:rPr>
              <w:t>OS3</w:t>
            </w:r>
          </w:p>
        </w:tc>
        <w:tc>
          <w:tcPr>
            <w:tcW w:type="dxa" w:w="3572"/>
          </w:tcPr>
          <w:p>
            <w:r/>
            <w:r>
              <w:rPr>
                <w:sz w:val="20"/>
              </w:rPr>
              <w:t>Dezvoltarea nucleului platformei web: landing page, înregistrare, autentificare, management profiluri, upload PDF, dashboard utilizator</w:t>
            </w:r>
          </w:p>
        </w:tc>
        <w:tc>
          <w:tcPr>
            <w:tcW w:type="dxa" w:w="3402"/>
          </w:tcPr>
          <w:p>
            <w:r/>
            <w:r>
              <w:rPr>
                <w:sz w:val="20"/>
              </w:rPr>
              <w:t>6 module funcționale livrate și testate; acoperire teste automate ≥ 70%</w:t>
            </w:r>
          </w:p>
        </w:tc>
        <w:tc>
          <w:tcPr>
            <w:tcW w:type="dxa" w:w="1020"/>
          </w:tcPr>
          <w:p>
            <w:r/>
            <w:r>
              <w:rPr>
                <w:sz w:val="20"/>
              </w:rPr>
              <w:t>Luna 9</w:t>
            </w:r>
          </w:p>
        </w:tc>
      </w:tr>
      <w:tr>
        <w:tc>
          <w:tcPr>
            <w:tcW w:type="dxa" w:w="624"/>
          </w:tcPr>
          <w:p>
            <w:r/>
            <w:r>
              <w:rPr>
                <w:sz w:val="20"/>
              </w:rPr>
              <w:t>OS4</w:t>
            </w:r>
          </w:p>
        </w:tc>
        <w:tc>
          <w:tcPr>
            <w:tcW w:type="dxa" w:w="3572"/>
          </w:tcPr>
          <w:p>
            <w:r/>
            <w:r>
              <w:rPr>
                <w:sz w:val="20"/>
              </w:rPr>
              <w:t>Dezvoltarea motorului AI de extragere și interpretare (integrare LLM multimodal, validare deterministă, audit de completitudine, interpretare narativă multilingvă)</w:t>
            </w:r>
          </w:p>
        </w:tc>
        <w:tc>
          <w:tcPr>
            <w:tcW w:type="dxa" w:w="3402"/>
          </w:tcPr>
          <w:p>
            <w:r/>
            <w:r>
              <w:rPr>
                <w:sz w:val="20"/>
              </w:rPr>
              <w:t>Completitudine extragere ≥ 95%; interpretare în 7 limbi la MVP</w:t>
            </w:r>
          </w:p>
        </w:tc>
        <w:tc>
          <w:tcPr>
            <w:tcW w:type="dxa" w:w="1020"/>
          </w:tcPr>
          <w:p>
            <w:r/>
            <w:r>
              <w:rPr>
                <w:sz w:val="20"/>
              </w:rPr>
              <w:t>Luna 11</w:t>
            </w:r>
          </w:p>
        </w:tc>
      </w:tr>
      <w:tr>
        <w:tc>
          <w:tcPr>
            <w:tcW w:type="dxa" w:w="624"/>
          </w:tcPr>
          <w:p>
            <w:r/>
            <w:r>
              <w:rPr>
                <w:sz w:val="20"/>
              </w:rPr>
              <w:t>OS5</w:t>
            </w:r>
          </w:p>
        </w:tc>
        <w:tc>
          <w:tcPr>
            <w:tcW w:type="dxa" w:w="3572"/>
          </w:tcPr>
          <w:p>
            <w:r/>
            <w:r>
              <w:rPr>
                <w:sz w:val="20"/>
              </w:rPr>
              <w:t>Dezvoltarea microserviciului de codificare LOINC cu pipeline hibrid (ancore deterministe + potrivire semantică + potrivire fuzzy + strat de reguli)</w:t>
            </w:r>
          </w:p>
        </w:tc>
        <w:tc>
          <w:tcPr>
            <w:tcW w:type="dxa" w:w="3402"/>
          </w:tcPr>
          <w:p>
            <w:r/>
            <w:r>
              <w:rPr>
                <w:sz w:val="20"/>
              </w:rPr>
              <w:t>Precizie codificare ≥ 96% pe eșantion de validare de 10.000 rapoarte reale</w:t>
            </w:r>
          </w:p>
        </w:tc>
        <w:tc>
          <w:tcPr>
            <w:tcW w:type="dxa" w:w="1020"/>
          </w:tcPr>
          <w:p>
            <w:r/>
            <w:r>
              <w:rPr>
                <w:sz w:val="20"/>
              </w:rPr>
              <w:t>Luna 12</w:t>
            </w:r>
          </w:p>
        </w:tc>
      </w:tr>
      <w:tr>
        <w:tc>
          <w:tcPr>
            <w:tcW w:type="dxa" w:w="624"/>
          </w:tcPr>
          <w:p>
            <w:r/>
            <w:r>
              <w:rPr>
                <w:sz w:val="20"/>
              </w:rPr>
              <w:t>OS6</w:t>
            </w:r>
          </w:p>
        </w:tc>
        <w:tc>
          <w:tcPr>
            <w:tcW w:type="dxa" w:w="3572"/>
          </w:tcPr>
          <w:p>
            <w:r/>
            <w:r>
              <w:rPr>
                <w:sz w:val="20"/>
              </w:rPr>
              <w:t>Dezvoltarea modulului B2B (Clinic Access Module) cu procesare batch multi-pacient și export interoperabil HL7 FHIR</w:t>
            </w:r>
          </w:p>
        </w:tc>
        <w:tc>
          <w:tcPr>
            <w:tcW w:type="dxa" w:w="3402"/>
          </w:tcPr>
          <w:p>
            <w:r/>
            <w:r>
              <w:rPr>
                <w:sz w:val="20"/>
              </w:rPr>
              <w:t>Modul B2B operațional; export FHIR Observation validat; 5 clinici pilot active</w:t>
            </w:r>
          </w:p>
        </w:tc>
        <w:tc>
          <w:tcPr>
            <w:tcW w:type="dxa" w:w="1020"/>
          </w:tcPr>
          <w:p>
            <w:r/>
            <w:r>
              <w:rPr>
                <w:sz w:val="20"/>
              </w:rPr>
              <w:t>Luna 15</w:t>
            </w:r>
          </w:p>
        </w:tc>
      </w:tr>
      <w:tr>
        <w:tc>
          <w:tcPr>
            <w:tcW w:type="dxa" w:w="624"/>
          </w:tcPr>
          <w:p>
            <w:r/>
            <w:r>
              <w:rPr>
                <w:sz w:val="20"/>
              </w:rPr>
              <w:t>OS7</w:t>
            </w:r>
          </w:p>
        </w:tc>
        <w:tc>
          <w:tcPr>
            <w:tcW w:type="dxa" w:w="3572"/>
          </w:tcPr>
          <w:p>
            <w:r/>
            <w:r>
              <w:rPr>
                <w:sz w:val="20"/>
              </w:rPr>
              <w:t>Implementarea monetizării (freemium/premium B2C, abonamente B2B, gateway de plăți) și lansarea comercială</w:t>
            </w:r>
          </w:p>
        </w:tc>
        <w:tc>
          <w:tcPr>
            <w:tcW w:type="dxa" w:w="3402"/>
          </w:tcPr>
          <w:p>
            <w:r/>
            <w:r>
              <w:rPr>
                <w:sz w:val="20"/>
              </w:rPr>
              <w:t>≥ 5.000 utilizatori înregistrați; ≥ 10 contracte B2B semnate; venituri recurente lunare (MRR) ≥ 8.000 EUR</w:t>
            </w:r>
          </w:p>
        </w:tc>
        <w:tc>
          <w:tcPr>
            <w:tcW w:type="dxa" w:w="1020"/>
          </w:tcPr>
          <w:p>
            <w:r/>
            <w:r>
              <w:rPr>
                <w:sz w:val="20"/>
              </w:rPr>
              <w:t>Luna 18</w:t>
            </w:r>
          </w:p>
        </w:tc>
      </w:tr>
      <w:tr>
        <w:tc>
          <w:tcPr>
            <w:tcW w:type="dxa" w:w="624"/>
          </w:tcPr>
          <w:p>
            <w:r/>
            <w:r>
              <w:rPr>
                <w:sz w:val="20"/>
              </w:rPr>
              <w:t>OS8</w:t>
            </w:r>
          </w:p>
        </w:tc>
        <w:tc>
          <w:tcPr>
            <w:tcW w:type="dxa" w:w="3572"/>
          </w:tcPr>
          <w:p>
            <w:r/>
            <w:r>
              <w:rPr>
                <w:sz w:val="20"/>
              </w:rPr>
              <w:t>Certificarea securității și conformității (audit GDPR/DPIA, teste de penetrare, politici de securitate ISO 27001)</w:t>
            </w:r>
          </w:p>
        </w:tc>
        <w:tc>
          <w:tcPr>
            <w:tcW w:type="dxa" w:w="3402"/>
          </w:tcPr>
          <w:p>
            <w:r/>
            <w:r>
              <w:rPr>
                <w:sz w:val="20"/>
              </w:rPr>
              <w:t>DPIA finalizată; raport pen-test fără vulnerabilități critice; 0 incidente de securitate</w:t>
            </w:r>
          </w:p>
        </w:tc>
        <w:tc>
          <w:tcPr>
            <w:tcW w:type="dxa" w:w="1020"/>
          </w:tcPr>
          <w:p>
            <w:r/>
            <w:r>
              <w:rPr>
                <w:sz w:val="20"/>
              </w:rPr>
              <w:t>Luna 16</w:t>
            </w:r>
          </w:p>
        </w:tc>
      </w:tr>
      <w:tr>
        <w:tc>
          <w:tcPr>
            <w:tcW w:type="dxa" w:w="624"/>
          </w:tcPr>
          <w:p>
            <w:r/>
            <w:r>
              <w:rPr>
                <w:sz w:val="20"/>
              </w:rPr>
              <w:t>OS9</w:t>
            </w:r>
          </w:p>
        </w:tc>
        <w:tc>
          <w:tcPr>
            <w:tcW w:type="dxa" w:w="3572"/>
          </w:tcPr>
          <w:p>
            <w:r/>
            <w:r>
              <w:rPr>
                <w:sz w:val="20"/>
              </w:rPr>
              <w:t>Extinderea acoperirii lingvistice de la 7 limbi (MVP) la 30 de limbi europene și internaționale</w:t>
            </w:r>
          </w:p>
        </w:tc>
        <w:tc>
          <w:tcPr>
            <w:tcW w:type="dxa" w:w="3402"/>
          </w:tcPr>
          <w:p>
            <w:r/>
            <w:r>
              <w:rPr>
                <w:sz w:val="20"/>
              </w:rPr>
              <w:t>30 limbi active în interfață, interpretare și rapoarte PDF</w:t>
            </w:r>
          </w:p>
        </w:tc>
        <w:tc>
          <w:tcPr>
            <w:tcW w:type="dxa" w:w="1020"/>
          </w:tcPr>
          <w:p>
            <w:r/>
            <w:r>
              <w:rPr>
                <w:sz w:val="20"/>
              </w:rPr>
              <w:t>Luna 18</w:t>
            </w:r>
          </w:p>
        </w:tc>
      </w:tr>
    </w:tbl>
    <w:p>
      <w:pPr>
        <w:pStyle w:val="Heading2"/>
      </w:pPr>
      <w:r>
        <w:rPr>
          <w:color w:val="1F3A68"/>
        </w:rPr>
        <w:t>C.1.4. Rezultatele așteptate și indicatorii de realizare</w:t>
      </w:r>
    </w:p>
    <w:p>
      <w:pPr>
        <w:spacing w:after="120"/>
        <w:jc w:val="both"/>
      </w:pPr>
      <w:r>
        <w:rPr>
          <w:b/>
          <w:i w:val="0"/>
          <w:sz w:val="22"/>
        </w:rPr>
        <w:t>Rezultate directe (output) la finalul implementării:</w:t>
      </w:r>
    </w:p>
    <w:p>
      <w:pPr>
        <w:pStyle w:val="ListBullet"/>
        <w:spacing w:after="40"/>
        <w:jc w:val="both"/>
      </w:pPr>
      <w:r>
        <w:rPr>
          <w:sz w:val="22"/>
        </w:rPr>
        <w:t>1 platformă SaaS nouă, funcțională, lansată comercial (web, responsive, pregătită PWA), dezvoltată integral în cadrul proiectului;</w:t>
      </w:r>
    </w:p>
    <w:p>
      <w:pPr>
        <w:pStyle w:val="ListBullet"/>
        <w:spacing w:after="40"/>
        <w:jc w:val="both"/>
      </w:pPr>
      <w:r>
        <w:rPr>
          <w:sz w:val="22"/>
        </w:rPr>
        <w:t>1 motor AI de extragere și interpretare a analizelor medicale, cu completitudine ≥ 95% și interpretare narativă în 30 de limbi;</w:t>
      </w:r>
    </w:p>
    <w:p>
      <w:pPr>
        <w:pStyle w:val="ListBullet"/>
        <w:spacing w:after="40"/>
        <w:jc w:val="both"/>
      </w:pPr>
      <w:r>
        <w:rPr>
          <w:sz w:val="22"/>
        </w:rPr>
        <w:t>1 microserviciu de codificare LOINC cu pipeline hibrid (determinist + semantic + fuzzy + reguli), precizie ≥ 96%;</w:t>
      </w:r>
    </w:p>
    <w:p>
      <w:pPr>
        <w:pStyle w:val="ListBullet"/>
        <w:spacing w:after="40"/>
        <w:jc w:val="both"/>
      </w:pPr>
      <w:r>
        <w:rPr>
          <w:sz w:val="22"/>
        </w:rPr>
        <w:t>1 modul B2B multi-tenant (Clinic Access Module) cu procesare batch și export HL7 FHIR;</w:t>
      </w:r>
    </w:p>
    <w:p>
      <w:pPr>
        <w:pStyle w:val="ListBullet"/>
        <w:spacing w:after="40"/>
        <w:jc w:val="both"/>
      </w:pPr>
      <w:r>
        <w:rPr>
          <w:sz w:val="22"/>
        </w:rPr>
        <w:t>≥ 5.000 utilizatori B2C înregistrați și ≥ 10 clienți B2B contractați în primele 3 luni de la lansarea comercială;</w:t>
      </w:r>
    </w:p>
    <w:p>
      <w:pPr>
        <w:pStyle w:val="ListBullet"/>
        <w:spacing w:after="40"/>
        <w:jc w:val="both"/>
      </w:pPr>
      <w:r>
        <w:rPr>
          <w:sz w:val="22"/>
        </w:rPr>
        <w:t>10 locuri de muncă înalt calificate create și menținute (dezvoltare software, AI/ML, QA, DevOps, medical, comercial);</w:t>
      </w:r>
    </w:p>
    <w:p>
      <w:pPr>
        <w:pStyle w:val="ListBullet"/>
        <w:spacing w:after="40"/>
        <w:jc w:val="both"/>
      </w:pPr>
      <w:r>
        <w:rPr>
          <w:sz w:val="22"/>
        </w:rPr>
        <w:t>1 set complet de documentație: arhitectură, API, manuale de utilizare, politici GDPR și de securitate.</w:t>
      </w:r>
    </w:p>
    <w:p>
      <w:pPr>
        <w:spacing w:after="120"/>
        <w:jc w:val="both"/>
      </w:pPr>
      <w:r>
        <w:rPr>
          <w:b/>
          <w:i w:val="0"/>
          <w:sz w:val="22"/>
        </w:rPr>
        <w:t>Rezultate pe termen mediu (outcome, 3 ani post-implementare):</w:t>
      </w:r>
    </w:p>
    <w:p>
      <w:pPr>
        <w:pStyle w:val="ListBullet"/>
        <w:spacing w:after="40"/>
        <w:jc w:val="both"/>
      </w:pPr>
      <w:r>
        <w:rPr>
          <w:sz w:val="22"/>
        </w:rPr>
        <w:t>Cifră de afaceri cumulată generată de platformă ≥ 3.500.000 EUR în primii 3 ani post-implementare, cu 1.800.000 EUR în anul 3;</w:t>
      </w:r>
    </w:p>
    <w:p>
      <w:pPr>
        <w:pStyle w:val="ListBullet"/>
        <w:spacing w:after="40"/>
        <w:jc w:val="both"/>
      </w:pPr>
      <w:r>
        <w:rPr>
          <w:sz w:val="22"/>
        </w:rPr>
        <w:t>≥ 150.000 utilizatori B2C activi și ≥ 120 clienți B2B pe piețele România + UE;</w:t>
      </w:r>
    </w:p>
    <w:p>
      <w:pPr>
        <w:pStyle w:val="ListBullet"/>
        <w:spacing w:after="40"/>
        <w:jc w:val="both"/>
      </w:pPr>
      <w:r>
        <w:rPr>
          <w:sz w:val="22"/>
        </w:rPr>
        <w:t>Prezență comercială în minimum 5 state membre UE prin acoperirea lingvistică și conformitatea EHDS;</w:t>
      </w:r>
    </w:p>
    <w:p>
      <w:pPr>
        <w:pStyle w:val="ListBullet"/>
        <w:spacing w:after="40"/>
        <w:jc w:val="both"/>
      </w:pPr>
      <w:r>
        <w:rPr>
          <w:sz w:val="22"/>
        </w:rPr>
        <w:t>Contribuție măsurabilă la interoperabilitatea datelor medicale prin volumul de rezultate codificate LOINC (țintă: 10 milioane de determinări codificate/an în anul 3).</w:t>
      </w:r>
    </w:p>
    <w:p>
      <w:pPr>
        <w:pStyle w:val="Heading2"/>
      </w:pPr>
      <w:r>
        <w:rPr>
          <w:color w:val="1F3A68"/>
        </w:rPr>
        <w:t>C.1.5. Alinierea la obiectivele strategice europene și naționale</w:t>
      </w:r>
    </w:p>
    <w:p>
      <w:pPr>
        <w:spacing w:after="120"/>
        <w:jc w:val="both"/>
      </w:pPr>
      <w:r>
        <w:rPr>
          <w:b w:val="0"/>
          <w:i w:val="0"/>
          <w:sz w:val="22"/>
        </w:rPr>
        <w:t>Proiectul contribuie direct la următoarele cadre strategice:</w:t>
      </w:r>
    </w:p>
    <w:tbl>
      <w:tblPr>
        <w:tblStyle w:val="LightGrid-Accent1"/>
        <w:tblW w:type="auto" w:w="0"/>
        <w:tblLook w:firstColumn="1" w:firstRow="1" w:lastColumn="0" w:lastRow="0" w:noHBand="0" w:noVBand="1" w:val="04A0"/>
      </w:tblPr>
      <w:tblGrid>
        <w:gridCol w:w="4873"/>
        <w:gridCol w:w="4873"/>
      </w:tblGrid>
      <w:tr>
        <w:tc>
          <w:tcPr>
            <w:tcW w:type="dxa" w:w="3118"/>
            <w:shd w:val="clear" w:color="auto" w:fill="1F3A68"/>
          </w:tcPr>
          <w:p>
            <w:r>
              <w:rPr>
                <w:color w:val="FFFFFF"/>
              </w:rPr>
            </w:r>
            <w:r>
              <w:rPr>
                <w:b/>
                <w:color w:val="FFFFFF"/>
                <w:sz w:val="20"/>
              </w:rPr>
              <w:t>Cadru strategic</w:t>
            </w:r>
          </w:p>
        </w:tc>
        <w:tc>
          <w:tcPr>
            <w:tcW w:type="dxa" w:w="6066"/>
            <w:shd w:val="clear" w:color="auto" w:fill="1F3A68"/>
          </w:tcPr>
          <w:p>
            <w:r>
              <w:rPr>
                <w:color w:val="FFFFFF"/>
              </w:rPr>
            </w:r>
            <w:r>
              <w:rPr>
                <w:b/>
                <w:color w:val="FFFFFF"/>
                <w:sz w:val="20"/>
              </w:rPr>
              <w:t>Contribuția proiectului</w:t>
            </w:r>
          </w:p>
        </w:tc>
      </w:tr>
      <w:tr>
        <w:tc>
          <w:tcPr>
            <w:tcW w:type="dxa" w:w="3118"/>
          </w:tcPr>
          <w:p>
            <w:r/>
            <w:r>
              <w:rPr>
                <w:sz w:val="20"/>
              </w:rPr>
              <w:t>POCIDIF 2021–2027</w:t>
            </w:r>
          </w:p>
        </w:tc>
        <w:tc>
          <w:tcPr>
            <w:tcW w:type="dxa" w:w="6066"/>
          </w:tcPr>
          <w:p>
            <w:r/>
            <w:r>
              <w:rPr>
                <w:sz w:val="20"/>
              </w:rPr>
              <w:t>Dezvoltarea unui produs digital inovator bazat pe AI de către o IMM românească; creștere inteligentă prin digitalizare în domeniul sănătății.</w:t>
            </w:r>
          </w:p>
        </w:tc>
      </w:tr>
      <w:tr>
        <w:tc>
          <w:tcPr>
            <w:tcW w:type="dxa" w:w="3118"/>
          </w:tcPr>
          <w:p>
            <w:r/>
            <w:r>
              <w:rPr>
                <w:sz w:val="20"/>
              </w:rPr>
              <w:t>Deceniul Digital al Europei 2030</w:t>
            </w:r>
          </w:p>
        </w:tc>
        <w:tc>
          <w:tcPr>
            <w:tcW w:type="dxa" w:w="6066"/>
          </w:tcPr>
          <w:p>
            <w:r/>
            <w:r>
              <w:rPr>
                <w:sz w:val="20"/>
              </w:rPr>
              <w:t>Contribuie la ținta de 75% adoptare AI în întreprinderi și la digitalizarea serviciilor publice de sănătate.</w:t>
            </w:r>
          </w:p>
        </w:tc>
      </w:tr>
      <w:tr>
        <w:tc>
          <w:tcPr>
            <w:tcW w:type="dxa" w:w="3118"/>
          </w:tcPr>
          <w:p>
            <w:r/>
            <w:r>
              <w:rPr>
                <w:sz w:val="20"/>
              </w:rPr>
              <w:t>Spațiul European al Datelor de Sănătate (EHDS)</w:t>
            </w:r>
          </w:p>
        </w:tc>
        <w:tc>
          <w:tcPr>
            <w:tcW w:type="dxa" w:w="6066"/>
          </w:tcPr>
          <w:p>
            <w:r/>
            <w:r>
              <w:rPr>
                <w:sz w:val="20"/>
              </w:rPr>
              <w:t>Codificarea LOINC și exportul HL7 FHIR pregătesc datele de laborator pentru portabilitate transfrontalieră.</w:t>
            </w:r>
          </w:p>
        </w:tc>
      </w:tr>
      <w:tr>
        <w:tc>
          <w:tcPr>
            <w:tcW w:type="dxa" w:w="3118"/>
          </w:tcPr>
          <w:p>
            <w:r/>
            <w:r>
              <w:rPr>
                <w:sz w:val="20"/>
              </w:rPr>
              <w:t>Strategia Națională de Sănătate 2023–2030</w:t>
            </w:r>
          </w:p>
        </w:tc>
        <w:tc>
          <w:tcPr>
            <w:tcW w:type="dxa" w:w="6066"/>
          </w:tcPr>
          <w:p>
            <w:r/>
            <w:r>
              <w:rPr>
                <w:sz w:val="20"/>
              </w:rPr>
              <w:t>Crește alfabetizarea în sănătate a populației și susține prevenția prin înțelegerea rezultatelor medicale.</w:t>
            </w:r>
          </w:p>
        </w:tc>
      </w:tr>
      <w:tr>
        <w:tc>
          <w:tcPr>
            <w:tcW w:type="dxa" w:w="3118"/>
          </w:tcPr>
          <w:p>
            <w:r/>
            <w:r>
              <w:rPr>
                <w:sz w:val="20"/>
              </w:rPr>
              <w:t>Regulamentul (UE) 2024/1689 privind IA (AI Act)</w:t>
            </w:r>
          </w:p>
        </w:tc>
        <w:tc>
          <w:tcPr>
            <w:tcW w:type="dxa" w:w="6066"/>
          </w:tcPr>
          <w:p>
            <w:r/>
            <w:r>
              <w:rPr>
                <w:sz w:val="20"/>
              </w:rPr>
              <w:t>Platforma este proiectată nativ conform cerințelor de transparență și supraveghere umană pentru sisteme AI în sănătate.</w:t>
            </w:r>
          </w:p>
        </w:tc>
      </w:tr>
      <w:tr>
        <w:tc>
          <w:tcPr>
            <w:tcW w:type="dxa" w:w="3118"/>
          </w:tcPr>
          <w:p>
            <w:r/>
            <w:r>
              <w:rPr>
                <w:sz w:val="20"/>
              </w:rPr>
              <w:t>Strategia Națională de Inteligență Artificială</w:t>
            </w:r>
          </w:p>
        </w:tc>
        <w:tc>
          <w:tcPr>
            <w:tcW w:type="dxa" w:w="6066"/>
          </w:tcPr>
          <w:p>
            <w:r/>
            <w:r>
              <w:rPr>
                <w:sz w:val="20"/>
              </w:rPr>
              <w:t>Produs AI românesc cu potențial de export; dezvoltarea competențelor AI/ML în echipa locală.</w:t>
            </w:r>
          </w:p>
        </w:tc>
      </w:tr>
    </w:tbl>
    <w:p>
      <w:r>
        <w:br w:type="page"/>
      </w:r>
    </w:p>
    <w:p>
      <w:pPr>
        <w:pStyle w:val="Heading1"/>
      </w:pPr>
      <w:r>
        <w:rPr>
          <w:color w:val="1F3A68"/>
        </w:rPr>
        <w:t>C.2. Caracterul inovativ al aplicației</w:t>
      </w:r>
    </w:p>
    <w:p>
      <w:pPr>
        <w:spacing w:after="120"/>
        <w:jc w:val="both"/>
      </w:pPr>
      <w:r>
        <w:rPr>
          <w:b/>
          <w:i w:val="0"/>
          <w:sz w:val="22"/>
        </w:rPr>
        <w:t>Caracterul inovativ al proiectului MyMedicalApp este de tip inovare de produs (produs software nou pe piața românească și europeană) combinată cu inovare de proces (pipeline hibrid AI + algoritmic de codificare medicală, inexistent în soluțiile comerciale actuale). Prezentul capitol detaliază stadiul tehnologiei, elementele concrete de noutate și componenta de Inteligență Artificială.</w:t>
      </w:r>
    </w:p>
    <w:p>
      <w:pPr>
        <w:pStyle w:val="Heading2"/>
      </w:pPr>
      <w:r>
        <w:rPr>
          <w:color w:val="1F3A68"/>
        </w:rPr>
        <w:t>C.2.1. Stadiul actual al tehnologiei (state of the art)</w:t>
      </w:r>
    </w:p>
    <w:p>
      <w:pPr>
        <w:spacing w:after="120"/>
        <w:jc w:val="both"/>
      </w:pPr>
      <w:r>
        <w:rPr>
          <w:b w:val="0"/>
          <w:i w:val="0"/>
          <w:sz w:val="22"/>
        </w:rPr>
        <w:t>Analiza pieței și a literaturii de specialitate relevă trei categorii de soluții existente, fiecare cu limitări structurale:</w:t>
      </w:r>
    </w:p>
    <w:p>
      <w:pPr>
        <w:pStyle w:val="ListNumber"/>
        <w:spacing w:after="40"/>
        <w:jc w:val="both"/>
      </w:pPr>
      <w:r>
        <w:rPr>
          <w:sz w:val="22"/>
        </w:rPr>
        <w:t>Aplicații B2C de „explicare a analizelor” (ex. aplicații mobile internaționale de tip lab-result checker): impun introducerea manuală a valorilor de către utilizator, nu citesc PDF-uri eterogene, nu codifică LOINC, acoperă 1–2 limbi și un număr restrâns de analiți uzuali;</w:t>
      </w:r>
    </w:p>
    <w:p>
      <w:pPr>
        <w:pStyle w:val="ListNumber"/>
        <w:spacing w:after="40"/>
        <w:jc w:val="both"/>
      </w:pPr>
      <w:r>
        <w:rPr>
          <w:sz w:val="22"/>
        </w:rPr>
        <w:t>Platforme enterprise de interoperabilitate (motoare de terminologie medicală, servicii de mapare LOINC pentru spitale): adresează exclusiv segmentul enterprise, cu costuri de licențiere de peste 100.000 EUR/an, implementări de 6–18 luni și fără nicio componentă orientată către pacient;</w:t>
      </w:r>
    </w:p>
    <w:p>
      <w:pPr>
        <w:pStyle w:val="ListNumber"/>
        <w:spacing w:after="40"/>
        <w:jc w:val="both"/>
      </w:pPr>
      <w:r>
        <w:rPr>
          <w:sz w:val="22"/>
        </w:rPr>
        <w:t>Funcționalități generice ale asistenților AI de larg consum: pot rezuma un document medical, dar nu oferă garanții de completitudine, nu efectuează validare deterministă a statusurilor clinice, nu codifică standardizat, nu persistă istoricul medical și nu sunt conforme cu cerințele GDPR/AI Act pentru prelucrarea datelor de sănătate.</w:t>
      </w:r>
    </w:p>
    <w:p>
      <w:pPr>
        <w:spacing w:after="120"/>
        <w:jc w:val="both"/>
      </w:pPr>
      <w:r>
        <w:rPr>
          <w:b w:val="0"/>
          <w:i w:val="0"/>
          <w:sz w:val="22"/>
        </w:rPr>
        <w:t>Concluzia analizei: nu există în prezent, la nivel european, un produs comercial care să integreze într-un singur flux extragerea automată din PDF-uri de laborator eterogene, codificarea LOINC automată de precizie ridicată, validarea clinică deterministă și interpretarea narativă multilingvă adresată pacientului. MyMedicalApp va fi construit exact pe această poziție liberă a pieței.</w:t>
      </w:r>
    </w:p>
    <w:p>
      <w:pPr>
        <w:pStyle w:val="Heading2"/>
      </w:pPr>
      <w:r>
        <w:rPr>
          <w:color w:val="1F3A68"/>
        </w:rPr>
        <w:t>C.2.2. Elementele de noutate ale proiectului</w:t>
      </w:r>
    </w:p>
    <w:p>
      <w:pPr>
        <w:spacing w:after="120"/>
        <w:jc w:val="both"/>
      </w:pPr>
      <w:r>
        <w:rPr>
          <w:b w:val="0"/>
          <w:i w:val="0"/>
          <w:sz w:val="22"/>
        </w:rPr>
        <w:t>Proiectul va dezvolta de la zero următoarele elemente cu caracter inovativ, care împreună formează un produs fără echivalent comercial direct:</w:t>
      </w:r>
    </w:p>
    <w:p>
      <w:pPr>
        <w:spacing w:after="120"/>
        <w:jc w:val="both"/>
      </w:pPr>
      <w:r>
        <w:rPr>
          <w:b/>
          <w:i w:val="0"/>
          <w:sz w:val="22"/>
        </w:rPr>
        <w:t>(1) Pipeline hibrid de codificare LOINC în patru straturi (inovația centrală a proiectului):</w:t>
      </w:r>
    </w:p>
    <w:p>
      <w:pPr>
        <w:spacing w:after="120"/>
        <w:jc w:val="both"/>
      </w:pPr>
      <w:r>
        <w:rPr>
          <w:b w:val="0"/>
          <w:i w:val="0"/>
          <w:sz w:val="22"/>
        </w:rPr>
        <w:t>Codificarea LOINC automată este o problemă dificilă: nomenclatorul conține circa 97.000 de coduri, iar denumirile analizelor din buletinele reale variază enorm (limbă, abrevieri, sinonime, metode de laborator). Proiectul va construi un microserviciu dedicat care combină, printr-un model matematic de ponderare original, patru tehnici complementare:</w:t>
      </w:r>
    </w:p>
    <w:p>
      <w:pPr>
        <w:pStyle w:val="ListNumber"/>
        <w:spacing w:after="40"/>
        <w:jc w:val="both"/>
      </w:pPr>
      <w:r>
        <w:rPr>
          <w:sz w:val="22"/>
        </w:rPr>
        <w:t>Strat determinist de ancore: dicționar curat de termeni canonici mapați direct la coduri LOINC validate medical, cu potrivire exactă după normalizare — garantează corectitudinea pe analiții frecvenți (top 500 acoperă ≈ 95% din volumul real);</w:t>
      </w:r>
    </w:p>
    <w:p>
      <w:pPr>
        <w:pStyle w:val="ListNumber"/>
        <w:spacing w:after="40"/>
        <w:jc w:val="both"/>
      </w:pPr>
      <w:r>
        <w:rPr>
          <w:sz w:val="22"/>
        </w:rPr>
        <w:t>Strat semantic vectorial: fiecare denumire de analiză este transformată într-un vector numeric (embedding de 384 dimensiuni, model SentenceTransformer) și comparată prin similaritate cosinus cu embeddings pre-calculate ale tuturor celor ~97.000 de denumiri LOINC — captează sinonimia și variațiile de exprimare;</w:t>
      </w:r>
    </w:p>
    <w:p>
      <w:pPr>
        <w:pStyle w:val="ListNumber"/>
        <w:spacing w:after="40"/>
        <w:jc w:val="both"/>
      </w:pPr>
      <w:r>
        <w:rPr>
          <w:sz w:val="22"/>
        </w:rPr>
        <w:t>Strat de potrivire fuzzy multi-sursă: distanțe de editare token-based (RapidFuzz) calculate încrucișat între denumirea normalizată, denumirea brută din PDF și câmpurile LOINC — robustețe la greșeli de tipar și abrevieri;</w:t>
      </w:r>
    </w:p>
    <w:p>
      <w:pPr>
        <w:pStyle w:val="ListNumber"/>
        <w:spacing w:after="40"/>
        <w:jc w:val="both"/>
      </w:pPr>
      <w:r>
        <w:rPr>
          <w:sz w:val="22"/>
        </w:rPr>
        <w:t>Strat de reguli contextuale: extragerea specimenului (ser, urină, sânge integral), a metodei de laborator și a unității de măsură din contextul brut al documentului (antetul de panel și linia analitului), cu corecție finală „unit-aware” care alege între variantele masice și molare ale aceluiași analit în funcție de unitatea raportată.</w:t>
      </w:r>
    </w:p>
    <w:p>
      <w:pPr>
        <w:spacing w:after="120"/>
        <w:jc w:val="both"/>
      </w:pPr>
      <w:r>
        <w:rPr>
          <w:b w:val="0"/>
          <w:i/>
          <w:sz w:val="22"/>
        </w:rPr>
        <w:t>Scorul final se calculează printr-o combinație ponderată calibrată experimental (ponderea semantică 0,60 · fuzzy 0,25 · reguli 0,15), cu prag de încredere sub care codul este respins pentru a nu introduce erori. Această arhitectură în straturi, cu context documentar ierarhic transmis din PDF până în algoritmul de decizie, constituie element de noutate față de orice soluție comercială identificată.</w:t>
      </w:r>
    </w:p>
    <w:p>
      <w:pPr>
        <w:spacing w:after="120"/>
        <w:jc w:val="both"/>
      </w:pPr>
      <w:r>
        <w:rPr>
          <w:b/>
          <w:i w:val="0"/>
          <w:sz w:val="22"/>
        </w:rPr>
        <w:t>(2) Extragere ierarhică a contextului documentar din PDF:</w:t>
      </w:r>
    </w:p>
    <w:p>
      <w:pPr>
        <w:spacing w:after="120"/>
        <w:jc w:val="both"/>
      </w:pPr>
      <w:r>
        <w:rPr>
          <w:b w:val="0"/>
          <w:i w:val="0"/>
          <w:sz w:val="22"/>
        </w:rPr>
        <w:t>Motorul AI nu va extrage doar perechi „denumire–valoare”, ci și contextul ierarhic complet al fiecărui analit: antetul de panel sub care apare (ex. „Hemoleucogramă completă | Formulă leucocitară”) și linia brută integrală a analitului. Acest context este propagat în tot lanțul de procesare — de la codificarea LOINC (unde dezambiguizează metoda și specimenul) până la raportul PDF final (unde reconstruiește vizual structura originală a buletinului). Nicio soluție analizată nu conservă și nu exploatează acest context ierarhic.</w:t>
      </w:r>
    </w:p>
    <w:p>
      <w:pPr>
        <w:spacing w:after="120"/>
        <w:jc w:val="both"/>
      </w:pPr>
      <w:r>
        <w:rPr>
          <w:b/>
          <w:i w:val="0"/>
          <w:sz w:val="22"/>
        </w:rPr>
        <w:t>(3) Escaladare adaptivă între modele AI (tier promotion):</w:t>
      </w:r>
    </w:p>
    <w:p>
      <w:pPr>
        <w:spacing w:after="120"/>
        <w:jc w:val="both"/>
      </w:pPr>
      <w:r>
        <w:rPr>
          <w:b w:val="0"/>
          <w:i w:val="0"/>
          <w:sz w:val="22"/>
        </w:rPr>
        <w:t>Sistemul va folosi implicit un model AI rapid și economic, cu escaladare automată către un model superior exclusiv în cazurile în care răspunsul nu trece validările de structură și completitudine. Mecanismul optimizează simultan costul (≈ 90% din volum procesat pe modelul economic) și calitatea (cazurile dificile primesc automat capacitate de calcul superioară) — un compromis inginerește inovator față de abordarea „un singur model” a competitorilor.</w:t>
      </w:r>
    </w:p>
    <w:p>
      <w:pPr>
        <w:spacing w:after="120"/>
        <w:jc w:val="both"/>
      </w:pPr>
      <w:r>
        <w:rPr>
          <w:b/>
          <w:i w:val="0"/>
          <w:sz w:val="22"/>
        </w:rPr>
        <w:t>(4) Validare clinică deterministă post-AI:</w:t>
      </w:r>
    </w:p>
    <w:p>
      <w:pPr>
        <w:spacing w:after="120"/>
        <w:jc w:val="both"/>
      </w:pPr>
      <w:r>
        <w:rPr>
          <w:b w:val="0"/>
          <w:i w:val="0"/>
          <w:sz w:val="22"/>
        </w:rPr>
        <w:t>Toate statusurile clinice (normal / crescut / scăzut / borderline) emise de modelul AI vor fi recalculate determinist de un validator algoritmic propriu, capabil să interpreteze peste 20 de formate de intervale de referință (intervale numerice, praguri, intervale diferențiate pe sex, rezultate calitative). Acest strat de siguranță — AI-ul propune, algoritmul verifică — răspunde direct cerințelor AI Act privind supravegherea sistemelor AI în sănătate și constituie un diferențiator de încredere față de soluțiile pur generative.</w:t>
      </w:r>
    </w:p>
    <w:p>
      <w:pPr>
        <w:spacing w:after="120"/>
        <w:jc w:val="both"/>
      </w:pPr>
      <w:r>
        <w:rPr>
          <w:b/>
          <w:i w:val="0"/>
          <w:sz w:val="22"/>
        </w:rPr>
        <w:t>(5) Auditor de completitudine a extragerii:</w:t>
      </w:r>
    </w:p>
    <w:p>
      <w:pPr>
        <w:spacing w:after="120"/>
        <w:jc w:val="both"/>
      </w:pPr>
      <w:r>
        <w:rPr>
          <w:b w:val="0"/>
          <w:i w:val="0"/>
          <w:sz w:val="22"/>
        </w:rPr>
        <w:t>Un mecanism original de auto-audit va compara numărul de analize declarate de modelul AI ca fiind prezente în document cu numărul efectiv extras, declanșând automat reprocesarea atunci când completitudinea scade sub 95%. Se elimină astfel riscul principal al extragerii generative: omisiunile silențioase.</w:t>
      </w:r>
    </w:p>
    <w:p>
      <w:pPr>
        <w:spacing w:after="120"/>
        <w:jc w:val="both"/>
      </w:pPr>
      <w:r>
        <w:rPr>
          <w:b/>
          <w:i w:val="0"/>
          <w:sz w:val="22"/>
        </w:rPr>
        <w:t>(6) Interpretare narativă multilingvă nativă:</w:t>
      </w:r>
    </w:p>
    <w:p>
      <w:pPr>
        <w:spacing w:after="120"/>
        <w:jc w:val="both"/>
      </w:pPr>
      <w:r>
        <w:rPr>
          <w:b w:val="0"/>
          <w:i w:val="0"/>
          <w:sz w:val="22"/>
        </w:rPr>
        <w:t>Interpretarea rezultatelor va fi generată direct în limba pacientului (7 limbi la lansarea MVP, 30 de limbi la finalul proiectului), cu ton empatic, fără diagnostice, cu delimitări etice stricte și recomandarea consultului medical. Localizarea completă (interfață + interpretare + raport PDF + e-mailuri) la această scară lingvistică nu există în prezent pe piață.</w:t>
      </w:r>
    </w:p>
    <w:p>
      <w:pPr>
        <w:spacing w:after="120"/>
        <w:jc w:val="both"/>
      </w:pPr>
      <w:r>
        <w:rPr>
          <w:b/>
          <w:i w:val="0"/>
          <w:sz w:val="22"/>
        </w:rPr>
        <w:t>(7) Arhitectură duală cloud / on-premise:</w:t>
      </w:r>
    </w:p>
    <w:p>
      <w:pPr>
        <w:spacing w:after="120"/>
        <w:jc w:val="both"/>
      </w:pPr>
      <w:r>
        <w:rPr>
          <w:b w:val="0"/>
          <w:i w:val="0"/>
          <w:sz w:val="22"/>
        </w:rPr>
        <w:t>Platforma va fi proiectată de la început pentru două moduri de livrare: SaaS multi-tenant în cloud (B2C și B2B standard) și instalare on-premise containerizată pentru clienți enterprise cu cerințe stricte de suveranitate a datelor (spitale, rețele de laboratoare). Aceeași bază de cod, două modele de business.</w:t>
      </w:r>
    </w:p>
    <w:p>
      <w:pPr>
        <w:pStyle w:val="Heading2"/>
      </w:pPr>
      <w:r>
        <w:rPr>
          <w:color w:val="1F3A68"/>
        </w:rPr>
        <w:t>C.2.3. Specificarea componentelor de Inteligență Artificială</w:t>
      </w:r>
    </w:p>
    <w:p>
      <w:pPr>
        <w:spacing w:after="120"/>
        <w:jc w:val="both"/>
      </w:pPr>
      <w:r>
        <w:rPr>
          <w:b w:val="0"/>
          <w:i w:val="0"/>
          <w:sz w:val="22"/>
        </w:rPr>
        <w:t>Conform cerințelor ghidului privind evidențierea componentei AI, proiectul integrează următoarele tehnologii de Inteligență Artificială:</w:t>
      </w:r>
    </w:p>
    <w:tbl>
      <w:tblPr>
        <w:tblStyle w:val="LightGrid-Accent1"/>
        <w:tblW w:type="auto" w:w="0"/>
        <w:tblLook w:firstColumn="1" w:firstRow="1" w:lastColumn="0" w:lastRow="0" w:noHBand="0" w:noVBand="1" w:val="04A0"/>
      </w:tblPr>
      <w:tblGrid>
        <w:gridCol w:w="3249"/>
        <w:gridCol w:w="3249"/>
        <w:gridCol w:w="3249"/>
      </w:tblGrid>
      <w:tr>
        <w:tc>
          <w:tcPr>
            <w:tcW w:type="dxa" w:w="2381"/>
            <w:shd w:val="clear" w:color="auto" w:fill="1F3A68"/>
          </w:tcPr>
          <w:p>
            <w:r>
              <w:rPr>
                <w:color w:val="FFFFFF"/>
              </w:rPr>
            </w:r>
            <w:r>
              <w:rPr>
                <w:b/>
                <w:color w:val="FFFFFF"/>
                <w:sz w:val="20"/>
              </w:rPr>
              <w:t>Componentă AI</w:t>
            </w:r>
          </w:p>
        </w:tc>
        <w:tc>
          <w:tcPr>
            <w:tcW w:type="dxa" w:w="3175"/>
            <w:shd w:val="clear" w:color="auto" w:fill="1F3A68"/>
          </w:tcPr>
          <w:p>
            <w:r>
              <w:rPr>
                <w:color w:val="FFFFFF"/>
              </w:rPr>
            </w:r>
            <w:r>
              <w:rPr>
                <w:b/>
                <w:color w:val="FFFFFF"/>
                <w:sz w:val="20"/>
              </w:rPr>
              <w:t>Tehnologie</w:t>
            </w:r>
          </w:p>
        </w:tc>
        <w:tc>
          <w:tcPr>
            <w:tcW w:type="dxa" w:w="3628"/>
            <w:shd w:val="clear" w:color="auto" w:fill="1F3A68"/>
          </w:tcPr>
          <w:p>
            <w:r>
              <w:rPr>
                <w:color w:val="FFFFFF"/>
              </w:rPr>
            </w:r>
            <w:r>
              <w:rPr>
                <w:b/>
                <w:color w:val="FFFFFF"/>
                <w:sz w:val="20"/>
              </w:rPr>
              <w:t>Rol în platformă</w:t>
            </w:r>
          </w:p>
        </w:tc>
      </w:tr>
      <w:tr>
        <w:tc>
          <w:tcPr>
            <w:tcW w:type="dxa" w:w="2381"/>
          </w:tcPr>
          <w:p>
            <w:r/>
            <w:r>
              <w:rPr>
                <w:sz w:val="20"/>
              </w:rPr>
              <w:t>Extragere multimodală din PDF</w:t>
            </w:r>
          </w:p>
        </w:tc>
        <w:tc>
          <w:tcPr>
            <w:tcW w:type="dxa" w:w="3175"/>
          </w:tcPr>
          <w:p>
            <w:r/>
            <w:r>
              <w:rPr>
                <w:sz w:val="20"/>
              </w:rPr>
              <w:t>LLM multimodal (familia Google Gemini), prompt engineering ierarhic pe 4 niveluri</w:t>
            </w:r>
          </w:p>
        </w:tc>
        <w:tc>
          <w:tcPr>
            <w:tcW w:type="dxa" w:w="3628"/>
          </w:tcPr>
          <w:p>
            <w:r/>
            <w:r>
              <w:rPr>
                <w:sz w:val="20"/>
              </w:rPr>
              <w:t>Citește PDF-ul (vizual + text), extrage structurat analiții, valorile, unitățile, intervalele și contextul ierarhic</w:t>
            </w:r>
          </w:p>
        </w:tc>
      </w:tr>
      <w:tr>
        <w:tc>
          <w:tcPr>
            <w:tcW w:type="dxa" w:w="2381"/>
          </w:tcPr>
          <w:p>
            <w:r/>
            <w:r>
              <w:rPr>
                <w:sz w:val="20"/>
              </w:rPr>
              <w:t>Interpretare narativă</w:t>
            </w:r>
          </w:p>
        </w:tc>
        <w:tc>
          <w:tcPr>
            <w:tcW w:type="dxa" w:w="3175"/>
          </w:tcPr>
          <w:p>
            <w:r/>
            <w:r>
              <w:rPr>
                <w:sz w:val="20"/>
              </w:rPr>
              <w:t>LLM generativ cu ghidaj etic strict (fără diagnostice)</w:t>
            </w:r>
          </w:p>
        </w:tc>
        <w:tc>
          <w:tcPr>
            <w:tcW w:type="dxa" w:w="3628"/>
          </w:tcPr>
          <w:p>
            <w:r/>
            <w:r>
              <w:rPr>
                <w:sz w:val="20"/>
              </w:rPr>
              <w:t>Generează explicații în limbaj accesibil, în limba pacientului, per analit și per ansamblu</w:t>
            </w:r>
          </w:p>
        </w:tc>
      </w:tr>
      <w:tr>
        <w:tc>
          <w:tcPr>
            <w:tcW w:type="dxa" w:w="2381"/>
          </w:tcPr>
          <w:p>
            <w:r/>
            <w:r>
              <w:rPr>
                <w:sz w:val="20"/>
              </w:rPr>
              <w:t>Codificare semantică LOINC</w:t>
            </w:r>
          </w:p>
        </w:tc>
        <w:tc>
          <w:tcPr>
            <w:tcW w:type="dxa" w:w="3175"/>
          </w:tcPr>
          <w:p>
            <w:r/>
            <w:r>
              <w:rPr>
                <w:sz w:val="20"/>
              </w:rPr>
              <w:t>SentenceTransformer all-MiniLM-L6-v2, embeddings 384D, similaritate cosinus pe ~97.000 intrări</w:t>
            </w:r>
          </w:p>
        </w:tc>
        <w:tc>
          <w:tcPr>
            <w:tcW w:type="dxa" w:w="3628"/>
          </w:tcPr>
          <w:p>
            <w:r/>
            <w:r>
              <w:rPr>
                <w:sz w:val="20"/>
              </w:rPr>
              <w:t>Găsește candidații LOINC semantici pentru denumiri nevăzute anterior</w:t>
            </w:r>
          </w:p>
        </w:tc>
      </w:tr>
      <w:tr>
        <w:tc>
          <w:tcPr>
            <w:tcW w:type="dxa" w:w="2381"/>
          </w:tcPr>
          <w:p>
            <w:r/>
            <w:r>
              <w:rPr>
                <w:sz w:val="20"/>
              </w:rPr>
              <w:t>Potrivire fuzzy</w:t>
            </w:r>
          </w:p>
        </w:tc>
        <w:tc>
          <w:tcPr>
            <w:tcW w:type="dxa" w:w="3175"/>
          </w:tcPr>
          <w:p>
            <w:r/>
            <w:r>
              <w:rPr>
                <w:sz w:val="20"/>
              </w:rPr>
              <w:t>RapidFuzz token_set_ratio multi-sursă</w:t>
            </w:r>
          </w:p>
        </w:tc>
        <w:tc>
          <w:tcPr>
            <w:tcW w:type="dxa" w:w="3628"/>
          </w:tcPr>
          <w:p>
            <w:r/>
            <w:r>
              <w:rPr>
                <w:sz w:val="20"/>
              </w:rPr>
              <w:t>Robustețe la abrevieri, greșeli de tipar, variații lexicale</w:t>
            </w:r>
          </w:p>
        </w:tc>
      </w:tr>
      <w:tr>
        <w:tc>
          <w:tcPr>
            <w:tcW w:type="dxa" w:w="2381"/>
          </w:tcPr>
          <w:p>
            <w:r/>
            <w:r>
              <w:rPr>
                <w:sz w:val="20"/>
              </w:rPr>
              <w:t>Escaladare adaptivă</w:t>
            </w:r>
          </w:p>
        </w:tc>
        <w:tc>
          <w:tcPr>
            <w:tcW w:type="dxa" w:w="3175"/>
          </w:tcPr>
          <w:p>
            <w:r/>
            <w:r>
              <w:rPr>
                <w:sz w:val="20"/>
              </w:rPr>
              <w:t>Orchestrare algoritmică multi-model (economic → performant)</w:t>
            </w:r>
          </w:p>
        </w:tc>
        <w:tc>
          <w:tcPr>
            <w:tcW w:type="dxa" w:w="3628"/>
          </w:tcPr>
          <w:p>
            <w:r/>
            <w:r>
              <w:rPr>
                <w:sz w:val="20"/>
              </w:rPr>
              <w:t>Optimizare cost/calitate per document</w:t>
            </w:r>
          </w:p>
        </w:tc>
      </w:tr>
      <w:tr>
        <w:tc>
          <w:tcPr>
            <w:tcW w:type="dxa" w:w="2381"/>
          </w:tcPr>
          <w:p>
            <w:r/>
            <w:r>
              <w:rPr>
                <w:sz w:val="20"/>
              </w:rPr>
              <w:t>Validare deterministă</w:t>
            </w:r>
          </w:p>
        </w:tc>
        <w:tc>
          <w:tcPr>
            <w:tcW w:type="dxa" w:w="3175"/>
          </w:tcPr>
          <w:p>
            <w:r/>
            <w:r>
              <w:rPr>
                <w:sz w:val="20"/>
              </w:rPr>
              <w:t>Algoritmi simbolici (non-AI) de parsare a intervalelor</w:t>
            </w:r>
          </w:p>
        </w:tc>
        <w:tc>
          <w:tcPr>
            <w:tcW w:type="dxa" w:w="3628"/>
          </w:tcPr>
          <w:p>
            <w:r/>
            <w:r>
              <w:rPr>
                <w:sz w:val="20"/>
              </w:rPr>
              <w:t>Plasă de siguranță umano-verificabilă peste ieșirile AI (cerință AI Act)</w:t>
            </w:r>
          </w:p>
        </w:tc>
      </w:tr>
    </w:tbl>
    <w:p>
      <w:pPr>
        <w:spacing w:after="120"/>
        <w:jc w:val="both"/>
      </w:pPr>
      <w:r>
        <w:rPr>
          <w:b w:val="0"/>
          <w:i w:val="0"/>
          <w:sz w:val="22"/>
        </w:rPr>
        <w:t>Poziționare față de Regulamentul (UE) 2024/1689 (AI Act): platforma nu emite diagnostice și nu ia decizii medicale autonome; oferă informare și structurare de date, cu recomandarea explicită și sistematică a consultului medical. Prin validarea deterministă, jurnalizarea completă a apelurilor AI și transparența față de utilizator, S.C. FIXMEDICAL S.R.L. se poziționează proactiv în zona de conformitate, anticipând cerințele aplicabile sistemelor AI din domeniul sănătății.</w:t>
      </w:r>
    </w:p>
    <w:p>
      <w:pPr>
        <w:pStyle w:val="Heading2"/>
      </w:pPr>
      <w:r>
        <w:rPr>
          <w:color w:val="1F3A68"/>
        </w:rPr>
        <w:t>C.2.4. Comparație cu soluțiile existente și diferențiere</w:t>
      </w:r>
    </w:p>
    <w:tbl>
      <w:tblPr>
        <w:tblStyle w:val="LightGrid-Accent1"/>
        <w:tblW w:type="auto" w:w="0"/>
        <w:tblLook w:firstColumn="1" w:firstRow="1" w:lastColumn="0" w:lastRow="0" w:noHBand="0" w:noVBand="1" w:val="04A0"/>
      </w:tblPr>
      <w:tblGrid>
        <w:gridCol w:w="2436"/>
        <w:gridCol w:w="2436"/>
        <w:gridCol w:w="2436"/>
        <w:gridCol w:w="2436"/>
      </w:tblGrid>
      <w:tr>
        <w:tc>
          <w:tcPr>
            <w:tcW w:type="dxa" w:w="2494"/>
            <w:shd w:val="clear" w:color="auto" w:fill="1F3A68"/>
          </w:tcPr>
          <w:p>
            <w:r>
              <w:rPr>
                <w:color w:val="FFFFFF"/>
              </w:rPr>
            </w:r>
            <w:r>
              <w:rPr>
                <w:b/>
                <w:color w:val="FFFFFF"/>
                <w:sz w:val="20"/>
              </w:rPr>
              <w:t>Criteriu</w:t>
            </w:r>
          </w:p>
        </w:tc>
        <w:tc>
          <w:tcPr>
            <w:tcW w:type="dxa" w:w="2494"/>
            <w:shd w:val="clear" w:color="auto" w:fill="1F3A68"/>
          </w:tcPr>
          <w:p>
            <w:r>
              <w:rPr>
                <w:color w:val="FFFFFF"/>
              </w:rPr>
            </w:r>
            <w:r>
              <w:rPr>
                <w:b/>
                <w:color w:val="FFFFFF"/>
                <w:sz w:val="20"/>
              </w:rPr>
              <w:t>MyMedicalApp (proiect)</w:t>
            </w:r>
          </w:p>
        </w:tc>
        <w:tc>
          <w:tcPr>
            <w:tcW w:type="dxa" w:w="2098"/>
            <w:shd w:val="clear" w:color="auto" w:fill="1F3A68"/>
          </w:tcPr>
          <w:p>
            <w:r>
              <w:rPr>
                <w:color w:val="FFFFFF"/>
              </w:rPr>
            </w:r>
            <w:r>
              <w:rPr>
                <w:b/>
                <w:color w:val="FFFFFF"/>
                <w:sz w:val="20"/>
              </w:rPr>
              <w:t>Aplicații B2C existente</w:t>
            </w:r>
          </w:p>
        </w:tc>
        <w:tc>
          <w:tcPr>
            <w:tcW w:type="dxa" w:w="2098"/>
            <w:shd w:val="clear" w:color="auto" w:fill="1F3A68"/>
          </w:tcPr>
          <w:p>
            <w:r>
              <w:rPr>
                <w:color w:val="FFFFFF"/>
              </w:rPr>
            </w:r>
            <w:r>
              <w:rPr>
                <w:b/>
                <w:color w:val="FFFFFF"/>
                <w:sz w:val="20"/>
              </w:rPr>
              <w:t>Platforme enterprise</w:t>
            </w:r>
          </w:p>
        </w:tc>
      </w:tr>
      <w:tr>
        <w:tc>
          <w:tcPr>
            <w:tcW w:type="dxa" w:w="2494"/>
          </w:tcPr>
          <w:p>
            <w:r/>
            <w:r>
              <w:rPr>
                <w:sz w:val="20"/>
              </w:rPr>
              <w:t>Citire PDF eterogen</w:t>
            </w:r>
          </w:p>
        </w:tc>
        <w:tc>
          <w:tcPr>
            <w:tcW w:type="dxa" w:w="2494"/>
          </w:tcPr>
          <w:p>
            <w:r/>
            <w:r>
              <w:rPr>
                <w:sz w:val="20"/>
              </w:rPr>
              <w:t>Da — AI multimodal</w:t>
            </w:r>
          </w:p>
        </w:tc>
        <w:tc>
          <w:tcPr>
            <w:tcW w:type="dxa" w:w="2098"/>
          </w:tcPr>
          <w:p>
            <w:r/>
            <w:r>
              <w:rPr>
                <w:sz w:val="20"/>
              </w:rPr>
              <w:t>Nu — introducere manuală</w:t>
            </w:r>
          </w:p>
        </w:tc>
        <w:tc>
          <w:tcPr>
            <w:tcW w:type="dxa" w:w="2098"/>
          </w:tcPr>
          <w:p>
            <w:r/>
            <w:r>
              <w:rPr>
                <w:sz w:val="20"/>
              </w:rPr>
              <w:t>Parțial — doar formate HL7</w:t>
            </w:r>
          </w:p>
        </w:tc>
      </w:tr>
      <w:tr>
        <w:tc>
          <w:tcPr>
            <w:tcW w:type="dxa" w:w="2494"/>
          </w:tcPr>
          <w:p>
            <w:r/>
            <w:r>
              <w:rPr>
                <w:sz w:val="20"/>
              </w:rPr>
              <w:t>Codificare LOINC automată</w:t>
            </w:r>
          </w:p>
        </w:tc>
        <w:tc>
          <w:tcPr>
            <w:tcW w:type="dxa" w:w="2494"/>
          </w:tcPr>
          <w:p>
            <w:r/>
            <w:r>
              <w:rPr>
                <w:sz w:val="20"/>
              </w:rPr>
              <w:t>Da — pipeline hibrid ≥ 96%</w:t>
            </w:r>
          </w:p>
        </w:tc>
        <w:tc>
          <w:tcPr>
            <w:tcW w:type="dxa" w:w="2098"/>
          </w:tcPr>
          <w:p>
            <w:r/>
            <w:r>
              <w:rPr>
                <w:sz w:val="20"/>
              </w:rPr>
              <w:t>Nu</w:t>
            </w:r>
          </w:p>
        </w:tc>
        <w:tc>
          <w:tcPr>
            <w:tcW w:type="dxa" w:w="2098"/>
          </w:tcPr>
          <w:p>
            <w:r/>
            <w:r>
              <w:rPr>
                <w:sz w:val="20"/>
              </w:rPr>
              <w:t>Da — dar manual-asistată</w:t>
            </w:r>
          </w:p>
        </w:tc>
      </w:tr>
      <w:tr>
        <w:tc>
          <w:tcPr>
            <w:tcW w:type="dxa" w:w="2494"/>
          </w:tcPr>
          <w:p>
            <w:r/>
            <w:r>
              <w:rPr>
                <w:sz w:val="20"/>
              </w:rPr>
              <w:t>Interpretare pentru pacient</w:t>
            </w:r>
          </w:p>
        </w:tc>
        <w:tc>
          <w:tcPr>
            <w:tcW w:type="dxa" w:w="2494"/>
          </w:tcPr>
          <w:p>
            <w:r/>
            <w:r>
              <w:rPr>
                <w:sz w:val="20"/>
              </w:rPr>
              <w:t>Da — 30 limbi</w:t>
            </w:r>
          </w:p>
        </w:tc>
        <w:tc>
          <w:tcPr>
            <w:tcW w:type="dxa" w:w="2098"/>
          </w:tcPr>
          <w:p>
            <w:r/>
            <w:r>
              <w:rPr>
                <w:sz w:val="20"/>
              </w:rPr>
              <w:t>Parțial — 1-2 limbi</w:t>
            </w:r>
          </w:p>
        </w:tc>
        <w:tc>
          <w:tcPr>
            <w:tcW w:type="dxa" w:w="2098"/>
          </w:tcPr>
          <w:p>
            <w:r/>
            <w:r>
              <w:rPr>
                <w:sz w:val="20"/>
              </w:rPr>
              <w:t>Nu</w:t>
            </w:r>
          </w:p>
        </w:tc>
      </w:tr>
      <w:tr>
        <w:tc>
          <w:tcPr>
            <w:tcW w:type="dxa" w:w="2494"/>
          </w:tcPr>
          <w:p>
            <w:r/>
            <w:r>
              <w:rPr>
                <w:sz w:val="20"/>
              </w:rPr>
              <w:t>Validare clinică deterministă</w:t>
            </w:r>
          </w:p>
        </w:tc>
        <w:tc>
          <w:tcPr>
            <w:tcW w:type="dxa" w:w="2494"/>
          </w:tcPr>
          <w:p>
            <w:r/>
            <w:r>
              <w:rPr>
                <w:sz w:val="20"/>
              </w:rPr>
              <w:t>Da</w:t>
            </w:r>
          </w:p>
        </w:tc>
        <w:tc>
          <w:tcPr>
            <w:tcW w:type="dxa" w:w="2098"/>
          </w:tcPr>
          <w:p>
            <w:r/>
            <w:r>
              <w:rPr>
                <w:sz w:val="20"/>
              </w:rPr>
              <w:t>Nu</w:t>
            </w:r>
          </w:p>
        </w:tc>
        <w:tc>
          <w:tcPr>
            <w:tcW w:type="dxa" w:w="2098"/>
          </w:tcPr>
          <w:p>
            <w:r/>
            <w:r>
              <w:rPr>
                <w:sz w:val="20"/>
              </w:rPr>
              <w:t>N/A</w:t>
            </w:r>
          </w:p>
        </w:tc>
      </w:tr>
      <w:tr>
        <w:tc>
          <w:tcPr>
            <w:tcW w:type="dxa" w:w="2494"/>
          </w:tcPr>
          <w:p>
            <w:r/>
            <w:r>
              <w:rPr>
                <w:sz w:val="20"/>
              </w:rPr>
              <w:t>Istoric și evoluție grafică</w:t>
            </w:r>
          </w:p>
        </w:tc>
        <w:tc>
          <w:tcPr>
            <w:tcW w:type="dxa" w:w="2494"/>
          </w:tcPr>
          <w:p>
            <w:r/>
            <w:r>
              <w:rPr>
                <w:sz w:val="20"/>
              </w:rPr>
              <w:t>Da — multi-vizită</w:t>
            </w:r>
          </w:p>
        </w:tc>
        <w:tc>
          <w:tcPr>
            <w:tcW w:type="dxa" w:w="2098"/>
          </w:tcPr>
          <w:p>
            <w:r/>
            <w:r>
              <w:rPr>
                <w:sz w:val="20"/>
              </w:rPr>
              <w:t>Parțial</w:t>
            </w:r>
          </w:p>
        </w:tc>
        <w:tc>
          <w:tcPr>
            <w:tcW w:type="dxa" w:w="2098"/>
          </w:tcPr>
          <w:p>
            <w:r/>
            <w:r>
              <w:rPr>
                <w:sz w:val="20"/>
              </w:rPr>
              <w:t>Da</w:t>
            </w:r>
          </w:p>
        </w:tc>
      </w:tr>
      <w:tr>
        <w:tc>
          <w:tcPr>
            <w:tcW w:type="dxa" w:w="2494"/>
          </w:tcPr>
          <w:p>
            <w:r/>
            <w:r>
              <w:rPr>
                <w:sz w:val="20"/>
              </w:rPr>
              <w:t>Model B2B batch + FHIR</w:t>
            </w:r>
          </w:p>
        </w:tc>
        <w:tc>
          <w:tcPr>
            <w:tcW w:type="dxa" w:w="2494"/>
          </w:tcPr>
          <w:p>
            <w:r/>
            <w:r>
              <w:rPr>
                <w:sz w:val="20"/>
              </w:rPr>
              <w:t>Da</w:t>
            </w:r>
          </w:p>
        </w:tc>
        <w:tc>
          <w:tcPr>
            <w:tcW w:type="dxa" w:w="2098"/>
          </w:tcPr>
          <w:p>
            <w:r/>
            <w:r>
              <w:rPr>
                <w:sz w:val="20"/>
              </w:rPr>
              <w:t>Nu</w:t>
            </w:r>
          </w:p>
        </w:tc>
        <w:tc>
          <w:tcPr>
            <w:tcW w:type="dxa" w:w="2098"/>
          </w:tcPr>
          <w:p>
            <w:r/>
            <w:r>
              <w:rPr>
                <w:sz w:val="20"/>
              </w:rPr>
              <w:t>Da</w:t>
            </w:r>
          </w:p>
        </w:tc>
      </w:tr>
      <w:tr>
        <w:tc>
          <w:tcPr>
            <w:tcW w:type="dxa" w:w="2494"/>
          </w:tcPr>
          <w:p>
            <w:r/>
            <w:r>
              <w:rPr>
                <w:sz w:val="20"/>
              </w:rPr>
              <w:t>Preț B2C</w:t>
            </w:r>
          </w:p>
        </w:tc>
        <w:tc>
          <w:tcPr>
            <w:tcW w:type="dxa" w:w="2494"/>
          </w:tcPr>
          <w:p>
            <w:r/>
            <w:r>
              <w:rPr>
                <w:sz w:val="20"/>
              </w:rPr>
              <w:t>0 EUR freemium / 4,99 EUR premium</w:t>
            </w:r>
          </w:p>
        </w:tc>
        <w:tc>
          <w:tcPr>
            <w:tcW w:type="dxa" w:w="2098"/>
          </w:tcPr>
          <w:p>
            <w:r/>
            <w:r>
              <w:rPr>
                <w:sz w:val="20"/>
              </w:rPr>
              <w:t>0–2 EUR</w:t>
            </w:r>
          </w:p>
        </w:tc>
        <w:tc>
          <w:tcPr>
            <w:tcW w:type="dxa" w:w="2098"/>
          </w:tcPr>
          <w:p>
            <w:r/>
            <w:r>
              <w:rPr>
                <w:sz w:val="20"/>
              </w:rPr>
              <w:t>Nu se aplică</w:t>
            </w:r>
          </w:p>
        </w:tc>
      </w:tr>
      <w:tr>
        <w:tc>
          <w:tcPr>
            <w:tcW w:type="dxa" w:w="2494"/>
          </w:tcPr>
          <w:p>
            <w:r/>
            <w:r>
              <w:rPr>
                <w:sz w:val="20"/>
              </w:rPr>
              <w:t>Preț B2B</w:t>
            </w:r>
          </w:p>
        </w:tc>
        <w:tc>
          <w:tcPr>
            <w:tcW w:type="dxa" w:w="2494"/>
          </w:tcPr>
          <w:p>
            <w:r/>
            <w:r>
              <w:rPr>
                <w:sz w:val="20"/>
              </w:rPr>
              <w:t>de la 199 EUR/lună</w:t>
            </w:r>
          </w:p>
        </w:tc>
        <w:tc>
          <w:tcPr>
            <w:tcW w:type="dxa" w:w="2098"/>
          </w:tcPr>
          <w:p>
            <w:r/>
            <w:r>
              <w:rPr>
                <w:sz w:val="20"/>
              </w:rPr>
              <w:t>Nu se aplică</w:t>
            </w:r>
          </w:p>
        </w:tc>
        <w:tc>
          <w:tcPr>
            <w:tcW w:type="dxa" w:w="2098"/>
          </w:tcPr>
          <w:p>
            <w:r/>
            <w:r>
              <w:rPr>
                <w:sz w:val="20"/>
              </w:rPr>
              <w:t>≥ 100.000 EUR/an</w:t>
            </w:r>
          </w:p>
        </w:tc>
      </w:tr>
      <w:tr>
        <w:tc>
          <w:tcPr>
            <w:tcW w:type="dxa" w:w="2494"/>
          </w:tcPr>
          <w:p>
            <w:r/>
            <w:r>
              <w:rPr>
                <w:sz w:val="20"/>
              </w:rPr>
              <w:t>Timp de implementare client B2B</w:t>
            </w:r>
          </w:p>
        </w:tc>
        <w:tc>
          <w:tcPr>
            <w:tcW w:type="dxa" w:w="2494"/>
          </w:tcPr>
          <w:p>
            <w:r/>
            <w:r>
              <w:rPr>
                <w:sz w:val="20"/>
              </w:rPr>
              <w:t>&lt; 1 zi (SaaS)</w:t>
            </w:r>
          </w:p>
        </w:tc>
        <w:tc>
          <w:tcPr>
            <w:tcW w:type="dxa" w:w="2098"/>
          </w:tcPr>
          <w:p>
            <w:r/>
            <w:r>
              <w:rPr>
                <w:sz w:val="20"/>
              </w:rPr>
              <w:t>N/A</w:t>
            </w:r>
          </w:p>
        </w:tc>
        <w:tc>
          <w:tcPr>
            <w:tcW w:type="dxa" w:w="2098"/>
          </w:tcPr>
          <w:p>
            <w:r/>
            <w:r>
              <w:rPr>
                <w:sz w:val="20"/>
              </w:rPr>
              <w:t>6–18 luni</w:t>
            </w:r>
          </w:p>
        </w:tc>
      </w:tr>
    </w:tbl>
    <w:p>
      <w:pPr>
        <w:spacing w:after="120"/>
        <w:jc w:val="both"/>
      </w:pPr>
      <w:r>
        <w:rPr>
          <w:b w:val="0"/>
          <w:i w:val="0"/>
          <w:sz w:val="22"/>
        </w:rPr>
        <w:t>Diferențierea strategică rezultă din combinarea, în același produs, a trei capabilități pe care competitorii le oferă cel mult izolat: acuratețe enterprise la codificare, experiență B2C accesibilă și multilingvism la scară europeană.</w:t>
      </w:r>
    </w:p>
    <w:p>
      <w:pPr>
        <w:pStyle w:val="Heading2"/>
      </w:pPr>
      <w:r>
        <w:rPr>
          <w:color w:val="1F3A68"/>
        </w:rPr>
        <w:t>C.2.5. Riscul tehnologic și industrial asociat inovării</w:t>
      </w:r>
    </w:p>
    <w:p>
      <w:pPr>
        <w:spacing w:after="120"/>
        <w:jc w:val="both"/>
      </w:pPr>
      <w:r>
        <w:rPr>
          <w:b w:val="0"/>
          <w:i w:val="0"/>
          <w:sz w:val="22"/>
        </w:rPr>
        <w:t>Fiind un proiect greenfield cu grad ridicat de noutate, riscul tehnologic principal este atingerea țintelor de acuratețe (≥ 95% completitudine, ≥ 96% precizie LOINC) pe diversitatea reală de formate de buletine. Strategia de atenuare este încorporată în chiar arhitectura propusă: straturile deterministe (ancore, validator, auditor) plafonează eroarea componentelor generative, iar calibrarea ponderilor se face iterativ pe un corpus de validare de 10.000 de rapoarte reale anonimizate, constituit în primele luni ale proiectului. Detalierea completă a riscurilor se regăsește în capitolul C.9.</w:t>
      </w:r>
    </w:p>
    <w:p>
      <w:pPr>
        <w:pStyle w:val="Heading2"/>
      </w:pPr>
      <w:r>
        <w:rPr>
          <w:color w:val="1F3A68"/>
        </w:rPr>
        <w:t>C.2.6. Strategia de proprietate intelectuală</w:t>
      </w:r>
    </w:p>
    <w:p>
      <w:pPr>
        <w:spacing w:after="120"/>
        <w:jc w:val="both"/>
      </w:pPr>
      <w:r>
        <w:rPr>
          <w:b w:val="0"/>
          <w:i w:val="0"/>
          <w:sz w:val="22"/>
        </w:rPr>
        <w:t>Protejarea rezultatelor inovative ale proiectului se va realiza pe mai multe niveluri complementare:</w:t>
      </w:r>
    </w:p>
    <w:p>
      <w:pPr>
        <w:pStyle w:val="ListBullet"/>
        <w:spacing w:after="40"/>
        <w:jc w:val="both"/>
      </w:pPr>
      <w:r>
        <w:rPr>
          <w:sz w:val="22"/>
        </w:rPr>
        <w:t>Drept de autor asupra întregului cod sursă, deținut integral de S.C. FIXMEDICAL S.R.L. (clauze de cesiune în toate contractele de muncă și de subcontractare);</w:t>
      </w:r>
    </w:p>
    <w:p>
      <w:pPr>
        <w:pStyle w:val="ListBullet"/>
        <w:spacing w:after="40"/>
        <w:jc w:val="both"/>
      </w:pPr>
      <w:r>
        <w:rPr>
          <w:sz w:val="22"/>
        </w:rPr>
        <w:t>Secret comercial (know-how): modelul de ponderare al pipeline-ului LOINC, dicționarul de ancore validat medical și prompturile ierarhice — active necomunicate public, protejate prin acorduri de confidențialitate și acces restricționat;</w:t>
      </w:r>
    </w:p>
    <w:p>
      <w:pPr>
        <w:pStyle w:val="ListBullet"/>
        <w:spacing w:after="40"/>
        <w:jc w:val="both"/>
      </w:pPr>
      <w:r>
        <w:rPr>
          <w:sz w:val="22"/>
        </w:rPr>
        <w:t>Marcă înregistrată: denumirea și identitatea vizuală MyMedicalApp vor fi înregistrate la EUIPO (marcă UE) în primul an de proiect;</w:t>
      </w:r>
    </w:p>
    <w:p>
      <w:pPr>
        <w:pStyle w:val="ListBullet"/>
        <w:spacing w:after="40"/>
        <w:jc w:val="both"/>
      </w:pPr>
      <w:r>
        <w:rPr>
          <w:sz w:val="22"/>
        </w:rPr>
        <w:t>Analiză de brevetabilitate: în luna 12 se va evalua, cu consultanță specializată, oportunitatea protejării prin brevet a metodei hibride de codificare cu context documentar ierarhic;</w:t>
      </w:r>
    </w:p>
    <w:p>
      <w:pPr>
        <w:pStyle w:val="ListBullet"/>
        <w:spacing w:after="40"/>
        <w:jc w:val="both"/>
      </w:pPr>
      <w:r>
        <w:rPr>
          <w:sz w:val="22"/>
        </w:rPr>
        <w:t>Conformitate cu licențele terților: nomenclatorul LOINC (licență Regenstrief), bibliotecile open-source (audit de licențe în CI) și termenii API-urilor comerciale.</w:t>
      </w:r>
    </w:p>
    <w:p>
      <w:r>
        <w:br w:type="page"/>
      </w:r>
    </w:p>
    <w:p>
      <w:pPr>
        <w:pStyle w:val="Heading1"/>
      </w:pPr>
      <w:r>
        <w:rPr>
          <w:color w:val="1F3A68"/>
        </w:rPr>
        <w:t>C.3. Product-Market Fit</w:t>
      </w:r>
    </w:p>
    <w:p>
      <w:pPr>
        <w:pStyle w:val="Heading2"/>
      </w:pPr>
      <w:r>
        <w:rPr>
          <w:color w:val="1F3A68"/>
        </w:rPr>
        <w:t>C.3.1. Piața țintă — segmentare și dimensionare</w:t>
      </w:r>
    </w:p>
    <w:p>
      <w:pPr>
        <w:spacing w:after="120"/>
        <w:jc w:val="both"/>
      </w:pPr>
      <w:r>
        <w:rPr>
          <w:b w:val="0"/>
          <w:i w:val="0"/>
          <w:sz w:val="22"/>
        </w:rPr>
        <w:t>Platforma adresează simultan două piețe complementare, cu cicluri de vânzare și economii diferite:</w:t>
      </w:r>
    </w:p>
    <w:p>
      <w:pPr>
        <w:spacing w:after="120"/>
        <w:jc w:val="both"/>
      </w:pPr>
      <w:r>
        <w:rPr>
          <w:b/>
          <w:i w:val="0"/>
          <w:sz w:val="22"/>
        </w:rPr>
        <w:t>Segmentul B2C — pacienți și aparținători:</w:t>
      </w:r>
    </w:p>
    <w:p>
      <w:pPr>
        <w:pStyle w:val="ListBullet"/>
        <w:spacing w:after="40"/>
        <w:jc w:val="both"/>
      </w:pPr>
      <w:r>
        <w:rPr>
          <w:sz w:val="22"/>
        </w:rPr>
        <w:t>TAM (Total Addressable Market): populația adultă UE care efectuează analize anual — ≈ 250 milioane persoane;</w:t>
      </w:r>
    </w:p>
    <w:p>
      <w:pPr>
        <w:pStyle w:val="ListBullet"/>
        <w:spacing w:after="40"/>
        <w:jc w:val="both"/>
      </w:pPr>
      <w:r>
        <w:rPr>
          <w:sz w:val="22"/>
        </w:rPr>
        <w:t>SAM (Serviceable Addressable Market): utilizatori digitali din România + primele 5 piețe UE de expansiune, cu interes activ pentru sănătate — ≈ 28 milioane persoane;</w:t>
      </w:r>
    </w:p>
    <w:p>
      <w:pPr>
        <w:pStyle w:val="ListBullet"/>
        <w:spacing w:after="40"/>
        <w:jc w:val="both"/>
      </w:pPr>
      <w:r>
        <w:rPr>
          <w:sz w:val="22"/>
        </w:rPr>
        <w:t>SOM (Serviceable Obtainable Market, 3 ani): 150.000 utilizatori activi, dintre care 4–6% convertiți la abonament premium (4,99 EUR/lună).</w:t>
      </w:r>
    </w:p>
    <w:p>
      <w:pPr>
        <w:spacing w:after="120"/>
        <w:jc w:val="both"/>
      </w:pPr>
      <w:r>
        <w:rPr>
          <w:b/>
          <w:i w:val="0"/>
          <w:sz w:val="22"/>
        </w:rPr>
        <w:t>Segmentul B2B — furnizori de servicii medicale:</w:t>
      </w:r>
    </w:p>
    <w:p>
      <w:pPr>
        <w:pStyle w:val="ListBullet"/>
        <w:spacing w:after="40"/>
        <w:jc w:val="both"/>
      </w:pPr>
      <w:r>
        <w:rPr>
          <w:sz w:val="22"/>
        </w:rPr>
        <w:t>România: ≈ 8.000 clinici și cabinete private, ≈ 400 laboratoare, ≈ 500 spitale;</w:t>
      </w:r>
    </w:p>
    <w:p>
      <w:pPr>
        <w:pStyle w:val="ListBullet"/>
        <w:spacing w:after="40"/>
        <w:jc w:val="both"/>
      </w:pPr>
      <w:r>
        <w:rPr>
          <w:sz w:val="22"/>
        </w:rPr>
        <w:t>UE: peste 60.000 de clinici private adresabile prin SaaS multilingv;</w:t>
      </w:r>
    </w:p>
    <w:p>
      <w:pPr>
        <w:pStyle w:val="ListBullet"/>
        <w:spacing w:after="40"/>
        <w:jc w:val="both"/>
      </w:pPr>
      <w:r>
        <w:rPr>
          <w:sz w:val="22"/>
        </w:rPr>
        <w:t>Modelul de licențiere: abonament lunar per clinică pe trei tiere (199 / 499 / 999 EUR — în funcție de volumul de procesări și de modulele active), plus licențe enterprise on-premise (150.000–500.000 EUR) pentru rețele mari și instituții publice.</w:t>
      </w:r>
    </w:p>
    <w:p>
      <w:pPr>
        <w:pStyle w:val="Heading2"/>
      </w:pPr>
      <w:r>
        <w:rPr>
          <w:color w:val="1F3A68"/>
        </w:rPr>
        <w:t>C.3.2. Problema abordată și dovada nevoii</w:t>
      </w:r>
    </w:p>
    <w:p>
      <w:pPr>
        <w:spacing w:after="120"/>
        <w:jc w:val="both"/>
      </w:pPr>
      <w:r>
        <w:rPr>
          <w:b w:val="0"/>
          <w:i w:val="0"/>
          <w:sz w:val="22"/>
        </w:rPr>
        <w:t>Problema-nucleu: rezultatele de laborator circulă ca documente PDF nestructurate, ilizibile pentru pacient și neexploatabile informatic pentru sistemul medical. Dovezile nevoii, colectate în faza de fundamentare a proiectului:</w:t>
      </w:r>
    </w:p>
    <w:p>
      <w:pPr>
        <w:pStyle w:val="ListBullet"/>
        <w:spacing w:after="40"/>
        <w:jc w:val="both"/>
      </w:pPr>
      <w:r>
        <w:rPr>
          <w:sz w:val="22"/>
        </w:rPr>
        <w:t>peste 55% din populația României are alfabetizare în sănătate limitată (European Health Literacy Survey);</w:t>
      </w:r>
    </w:p>
    <w:p>
      <w:pPr>
        <w:pStyle w:val="ListBullet"/>
        <w:spacing w:after="40"/>
        <w:jc w:val="both"/>
      </w:pPr>
      <w:r>
        <w:rPr>
          <w:sz w:val="22"/>
        </w:rPr>
        <w:t>41% dintre pacienții care au primit analize declară că nu au înțeles integral rezultatele;</w:t>
      </w:r>
    </w:p>
    <w:p>
      <w:pPr>
        <w:pStyle w:val="ListBullet"/>
        <w:spacing w:after="40"/>
        <w:jc w:val="both"/>
      </w:pPr>
      <w:r>
        <w:rPr>
          <w:sz w:val="22"/>
        </w:rPr>
        <w:t>clinicile raportează costuri semnificative de timp medical consumat cu explicarea rezultatelor de rutină;</w:t>
      </w:r>
    </w:p>
    <w:p>
      <w:pPr>
        <w:pStyle w:val="ListBullet"/>
        <w:spacing w:after="40"/>
        <w:jc w:val="both"/>
      </w:pPr>
      <w:r>
        <w:rPr>
          <w:sz w:val="22"/>
        </w:rPr>
        <w:t>obligațiile de interoperabilitate EHDS/FHIR intră progresiv în vigoare pentru statele membre, iar codificarea LOINC manuală este nescalabilă;</w:t>
      </w:r>
    </w:p>
    <w:p>
      <w:pPr>
        <w:pStyle w:val="ListBullet"/>
        <w:spacing w:after="40"/>
        <w:jc w:val="both"/>
      </w:pPr>
      <w:r>
        <w:rPr>
          <w:sz w:val="22"/>
        </w:rPr>
        <w:t>cererile frecvente adresate motoarelor de căutare și asistenților AI de tip general („ce înseamnă TSH mărit”) demonstrează cerere organică masivă, servită în prezent de surse nefiabile.</w:t>
      </w:r>
    </w:p>
    <w:p>
      <w:pPr>
        <w:pStyle w:val="Heading2"/>
      </w:pPr>
      <w:r>
        <w:rPr>
          <w:color w:val="1F3A68"/>
        </w:rPr>
        <w:t>C.3.3. Validarea cererii — metodologie planificată</w:t>
      </w:r>
    </w:p>
    <w:p>
      <w:pPr>
        <w:spacing w:after="120"/>
        <w:jc w:val="both"/>
      </w:pPr>
      <w:r>
        <w:rPr>
          <w:b w:val="0"/>
          <w:i w:val="0"/>
          <w:sz w:val="22"/>
        </w:rPr>
        <w:t>Deoarece proiectul pornește de la zero, fără o bază cuantificabilă de utilizatori, planul include o componentă dedicată de validare a cererii, distribuită pe primele 6 luni ale implementării, cu buget alocat de 12.000 EUR:</w:t>
      </w:r>
    </w:p>
    <w:p>
      <w:pPr>
        <w:pStyle w:val="ListNumber"/>
        <w:spacing w:after="40"/>
        <w:jc w:val="both"/>
      </w:pPr>
      <w:r>
        <w:rPr>
          <w:sz w:val="22"/>
        </w:rPr>
        <w:t>Cercetare cantitativă: sondaj online pe minimum 1.000 de respondenți (pacienți) privind disponibilitatea de utilizare și de plată; țintă de validare: ≥ 30% intenție de utilizare, ≥ 5% disponibilitate de plată pentru premium;</w:t>
      </w:r>
    </w:p>
    <w:p>
      <w:pPr>
        <w:pStyle w:val="ListNumber"/>
        <w:spacing w:after="40"/>
        <w:jc w:val="both"/>
      </w:pPr>
      <w:r>
        <w:rPr>
          <w:sz w:val="22"/>
        </w:rPr>
        <w:t>Interviuri calitative structurate cu 30 de medici și 20 de manageri de clinici pentru validarea fluxurilor B2B și a nivelurilor de preț;</w:t>
      </w:r>
    </w:p>
    <w:p>
      <w:pPr>
        <w:pStyle w:val="ListNumber"/>
        <w:spacing w:after="40"/>
        <w:jc w:val="both"/>
      </w:pPr>
      <w:r>
        <w:rPr>
          <w:sz w:val="22"/>
        </w:rPr>
        <w:t>Landing page de pre-lansare cu listă de așteptare (waitlist) și măsurarea ratei de conversie a campaniilor de testare a mesajelor; țintă: ≥ 3.000 înscrieri înainte de lansarea MVP;</w:t>
      </w:r>
    </w:p>
    <w:p>
      <w:pPr>
        <w:pStyle w:val="ListNumber"/>
        <w:spacing w:after="40"/>
        <w:jc w:val="both"/>
      </w:pPr>
      <w:r>
        <w:rPr>
          <w:sz w:val="22"/>
        </w:rPr>
        <w:t>Program pilot: 5 clinici partenere vor primi acces gratuit 3 luni în schimbul feedback-ului structurat și al scrisorilor de intenție comercială.</w:t>
      </w:r>
    </w:p>
    <w:p>
      <w:pPr>
        <w:pStyle w:val="Heading2"/>
      </w:pPr>
      <w:r>
        <w:rPr>
          <w:color w:val="1F3A68"/>
        </w:rPr>
        <w:t>C.3.4. Propunerea de valoare pe segmente</w:t>
      </w:r>
    </w:p>
    <w:tbl>
      <w:tblPr>
        <w:tblStyle w:val="LightGrid-Accent1"/>
        <w:tblW w:type="auto" w:w="0"/>
        <w:tblLook w:firstColumn="1" w:firstRow="1" w:lastColumn="0" w:lastRow="0" w:noHBand="0" w:noVBand="1" w:val="04A0"/>
      </w:tblPr>
      <w:tblGrid>
        <w:gridCol w:w="2436"/>
        <w:gridCol w:w="2436"/>
        <w:gridCol w:w="2436"/>
        <w:gridCol w:w="2436"/>
      </w:tblGrid>
      <w:tr>
        <w:tc>
          <w:tcPr>
            <w:tcW w:type="dxa" w:w="1928"/>
            <w:shd w:val="clear" w:color="auto" w:fill="1F3A68"/>
          </w:tcPr>
          <w:p>
            <w:r>
              <w:rPr>
                <w:color w:val="FFFFFF"/>
              </w:rPr>
            </w:r>
            <w:r>
              <w:rPr>
                <w:b/>
                <w:color w:val="FFFFFF"/>
                <w:sz w:val="20"/>
              </w:rPr>
              <w:t>Segment</w:t>
            </w:r>
          </w:p>
        </w:tc>
        <w:tc>
          <w:tcPr>
            <w:tcW w:type="dxa" w:w="4082"/>
            <w:shd w:val="clear" w:color="auto" w:fill="1F3A68"/>
          </w:tcPr>
          <w:p>
            <w:r>
              <w:rPr>
                <w:color w:val="FFFFFF"/>
              </w:rPr>
            </w:r>
            <w:r>
              <w:rPr>
                <w:b/>
                <w:color w:val="FFFFFF"/>
                <w:sz w:val="20"/>
              </w:rPr>
              <w:t>Propunere de valoare</w:t>
            </w:r>
          </w:p>
        </w:tc>
        <w:tc>
          <w:tcPr>
            <w:tcW w:type="dxa" w:w="1701"/>
            <w:shd w:val="clear" w:color="auto" w:fill="1F3A68"/>
          </w:tcPr>
          <w:p>
            <w:r>
              <w:rPr>
                <w:color w:val="FFFFFF"/>
              </w:rPr>
            </w:r>
            <w:r>
              <w:rPr>
                <w:b/>
                <w:color w:val="FFFFFF"/>
                <w:sz w:val="20"/>
              </w:rPr>
              <w:t>Preț</w:t>
            </w:r>
          </w:p>
        </w:tc>
        <w:tc>
          <w:tcPr>
            <w:tcW w:type="dxa" w:w="1474"/>
            <w:shd w:val="clear" w:color="auto" w:fill="1F3A68"/>
          </w:tcPr>
          <w:p>
            <w:r>
              <w:rPr>
                <w:color w:val="FFFFFF"/>
              </w:rPr>
            </w:r>
            <w:r>
              <w:rPr>
                <w:b/>
                <w:color w:val="FFFFFF"/>
                <w:sz w:val="20"/>
              </w:rPr>
              <w:t>Țintă adopție</w:t>
            </w:r>
          </w:p>
        </w:tc>
      </w:tr>
      <w:tr>
        <w:tc>
          <w:tcPr>
            <w:tcW w:type="dxa" w:w="1928"/>
          </w:tcPr>
          <w:p>
            <w:r/>
            <w:r>
              <w:rPr>
                <w:sz w:val="20"/>
              </w:rPr>
              <w:t>Pacient freemium</w:t>
            </w:r>
          </w:p>
        </w:tc>
        <w:tc>
          <w:tcPr>
            <w:tcW w:type="dxa" w:w="4082"/>
          </w:tcPr>
          <w:p>
            <w:r/>
            <w:r>
              <w:rPr>
                <w:sz w:val="20"/>
              </w:rPr>
              <w:t>Înțelege gratuit analizele: extragere + status vizual + interpretare de bază</w:t>
            </w:r>
          </w:p>
        </w:tc>
        <w:tc>
          <w:tcPr>
            <w:tcW w:type="dxa" w:w="1701"/>
          </w:tcPr>
          <w:p>
            <w:r/>
            <w:r>
              <w:rPr>
                <w:sz w:val="20"/>
              </w:rPr>
              <w:t>0 EUR</w:t>
            </w:r>
          </w:p>
        </w:tc>
        <w:tc>
          <w:tcPr>
            <w:tcW w:type="dxa" w:w="1474"/>
          </w:tcPr>
          <w:p>
            <w:r/>
            <w:r>
              <w:rPr>
                <w:sz w:val="20"/>
              </w:rPr>
              <w:t>100% baseline</w:t>
            </w:r>
          </w:p>
        </w:tc>
      </w:tr>
      <w:tr>
        <w:tc>
          <w:tcPr>
            <w:tcW w:type="dxa" w:w="1928"/>
          </w:tcPr>
          <w:p>
            <w:r/>
            <w:r>
              <w:rPr>
                <w:sz w:val="20"/>
              </w:rPr>
              <w:t>Pacient premium</w:t>
            </w:r>
          </w:p>
        </w:tc>
        <w:tc>
          <w:tcPr>
            <w:tcW w:type="dxa" w:w="4082"/>
          </w:tcPr>
          <w:p>
            <w:r/>
            <w:r>
              <w:rPr>
                <w:sz w:val="20"/>
              </w:rPr>
              <w:t>Istoric nelimitat, 5 profiluri de familie, evoluție grafică multi-vizită, rapoarte PDF complete, export</w:t>
            </w:r>
          </w:p>
        </w:tc>
        <w:tc>
          <w:tcPr>
            <w:tcW w:type="dxa" w:w="1701"/>
          </w:tcPr>
          <w:p>
            <w:r/>
            <w:r>
              <w:rPr>
                <w:sz w:val="20"/>
              </w:rPr>
              <w:t>4,99 EUR/lună</w:t>
            </w:r>
          </w:p>
        </w:tc>
        <w:tc>
          <w:tcPr>
            <w:tcW w:type="dxa" w:w="1474"/>
          </w:tcPr>
          <w:p>
            <w:r/>
            <w:r>
              <w:rPr>
                <w:sz w:val="20"/>
              </w:rPr>
              <w:t>4–6% din baza B2C</w:t>
            </w:r>
          </w:p>
        </w:tc>
      </w:tr>
      <w:tr>
        <w:tc>
          <w:tcPr>
            <w:tcW w:type="dxa" w:w="1928"/>
          </w:tcPr>
          <w:p>
            <w:r/>
            <w:r>
              <w:rPr>
                <w:sz w:val="20"/>
              </w:rPr>
              <w:t>Clinică mică (tier Start)</w:t>
            </w:r>
          </w:p>
        </w:tc>
        <w:tc>
          <w:tcPr>
            <w:tcW w:type="dxa" w:w="4082"/>
          </w:tcPr>
          <w:p>
            <w:r/>
            <w:r>
              <w:rPr>
                <w:sz w:val="20"/>
              </w:rPr>
              <w:t>Digitalizarea rezultatelor + rapoarte interpretate cu branding propriu</w:t>
            </w:r>
          </w:p>
        </w:tc>
        <w:tc>
          <w:tcPr>
            <w:tcW w:type="dxa" w:w="1701"/>
          </w:tcPr>
          <w:p>
            <w:r/>
            <w:r>
              <w:rPr>
                <w:sz w:val="20"/>
              </w:rPr>
              <w:t>199 EUR/lună</w:t>
            </w:r>
          </w:p>
        </w:tc>
        <w:tc>
          <w:tcPr>
            <w:tcW w:type="dxa" w:w="1474"/>
          </w:tcPr>
          <w:p>
            <w:r/>
            <w:r>
              <w:rPr>
                <w:sz w:val="20"/>
              </w:rPr>
              <w:t>2% din SAM B2B</w:t>
            </w:r>
          </w:p>
        </w:tc>
      </w:tr>
      <w:tr>
        <w:tc>
          <w:tcPr>
            <w:tcW w:type="dxa" w:w="1928"/>
          </w:tcPr>
          <w:p>
            <w:r/>
            <w:r>
              <w:rPr>
                <w:sz w:val="20"/>
              </w:rPr>
              <w:t>Clinică medie (tier Pro)</w:t>
            </w:r>
          </w:p>
        </w:tc>
        <w:tc>
          <w:tcPr>
            <w:tcW w:type="dxa" w:w="4082"/>
          </w:tcPr>
          <w:p>
            <w:r/>
            <w:r>
              <w:rPr>
                <w:sz w:val="20"/>
              </w:rPr>
              <w:t>Procesare batch multi-pacient, dashboard, comparații, suport prioritar</w:t>
            </w:r>
          </w:p>
        </w:tc>
        <w:tc>
          <w:tcPr>
            <w:tcW w:type="dxa" w:w="1701"/>
          </w:tcPr>
          <w:p>
            <w:r/>
            <w:r>
              <w:rPr>
                <w:sz w:val="20"/>
              </w:rPr>
              <w:t>499 EUR/lună</w:t>
            </w:r>
          </w:p>
        </w:tc>
        <w:tc>
          <w:tcPr>
            <w:tcW w:type="dxa" w:w="1474"/>
          </w:tcPr>
          <w:p>
            <w:r/>
            <w:r>
              <w:rPr>
                <w:sz w:val="20"/>
              </w:rPr>
              <w:t>0,8% din SAM B2B</w:t>
            </w:r>
          </w:p>
        </w:tc>
      </w:tr>
      <w:tr>
        <w:tc>
          <w:tcPr>
            <w:tcW w:type="dxa" w:w="1928"/>
          </w:tcPr>
          <w:p>
            <w:r/>
            <w:r>
              <w:rPr>
                <w:sz w:val="20"/>
              </w:rPr>
              <w:t>Rețea/laborator (tier Max)</w:t>
            </w:r>
          </w:p>
        </w:tc>
        <w:tc>
          <w:tcPr>
            <w:tcW w:type="dxa" w:w="4082"/>
          </w:tcPr>
          <w:p>
            <w:r/>
            <w:r>
              <w:rPr>
                <w:sz w:val="20"/>
              </w:rPr>
              <w:t>Volum mare, API dedicat, export FHIR, SLA extins</w:t>
            </w:r>
          </w:p>
        </w:tc>
        <w:tc>
          <w:tcPr>
            <w:tcW w:type="dxa" w:w="1701"/>
          </w:tcPr>
          <w:p>
            <w:r/>
            <w:r>
              <w:rPr>
                <w:sz w:val="20"/>
              </w:rPr>
              <w:t>999–2.499 EUR/lună</w:t>
            </w:r>
          </w:p>
        </w:tc>
        <w:tc>
          <w:tcPr>
            <w:tcW w:type="dxa" w:w="1474"/>
          </w:tcPr>
          <w:p>
            <w:r/>
            <w:r>
              <w:rPr>
                <w:sz w:val="20"/>
              </w:rPr>
              <w:t>0,15% din SAM B2B</w:t>
            </w:r>
          </w:p>
        </w:tc>
      </w:tr>
      <w:tr>
        <w:tc>
          <w:tcPr>
            <w:tcW w:type="dxa" w:w="1928"/>
          </w:tcPr>
          <w:p>
            <w:r/>
            <w:r>
              <w:rPr>
                <w:sz w:val="20"/>
              </w:rPr>
              <w:t>Enterprise on-premise</w:t>
            </w:r>
          </w:p>
        </w:tc>
        <w:tc>
          <w:tcPr>
            <w:tcW w:type="dxa" w:w="4082"/>
          </w:tcPr>
          <w:p>
            <w:r/>
            <w:r>
              <w:rPr>
                <w:sz w:val="20"/>
              </w:rPr>
              <w:t>Instalare în infrastructura proprie, suveranitate completă a datelor, integrare HIS/LIS</w:t>
            </w:r>
          </w:p>
        </w:tc>
        <w:tc>
          <w:tcPr>
            <w:tcW w:type="dxa" w:w="1701"/>
          </w:tcPr>
          <w:p>
            <w:r/>
            <w:r>
              <w:rPr>
                <w:sz w:val="20"/>
              </w:rPr>
              <w:t>150.000–500.000 EUR</w:t>
            </w:r>
          </w:p>
        </w:tc>
        <w:tc>
          <w:tcPr>
            <w:tcW w:type="dxa" w:w="1474"/>
          </w:tcPr>
          <w:p>
            <w:r/>
            <w:r>
              <w:rPr>
                <w:sz w:val="20"/>
              </w:rPr>
              <w:t>1–2 contracte/țară</w:t>
            </w:r>
          </w:p>
        </w:tc>
      </w:tr>
    </w:tbl>
    <w:p>
      <w:pPr>
        <w:pStyle w:val="Heading2"/>
      </w:pPr>
      <w:r>
        <w:rPr>
          <w:color w:val="1F3A68"/>
        </w:rPr>
        <w:t>C.3.5. Scalabilitatea produsului</w:t>
      </w:r>
    </w:p>
    <w:p>
      <w:pPr>
        <w:spacing w:after="120"/>
        <w:jc w:val="both"/>
      </w:pPr>
      <w:r>
        <w:rPr>
          <w:b w:val="0"/>
          <w:i w:val="0"/>
          <w:sz w:val="22"/>
        </w:rPr>
        <w:t>Modelul SaaS propus are cost marginal per utilizator apropiat de zero pe componentele software și strict proporțional cu volumul pe componenta AI (cost per document procesat, optimizat prin escaladarea adaptivă între modele). Scalarea geografică se face exclusiv prin software: adăugarea unei limbi noi nu necesită prezență fizică locală, iar arhitectura multi-tenant permite onboarding-ul unei clinici noi în mai puțin de o zi. Pragul de rentabilitate operațională (break-even lunar) este estimat la ≈ 21.000 EUR MRR, atingibil în anul 2 post-lansare conform proiecțiilor financiare din Partea a III-a.</w:t>
      </w:r>
    </w:p>
    <w:p>
      <w:pPr>
        <w:pStyle w:val="Heading2"/>
      </w:pPr>
      <w:r>
        <w:rPr>
          <w:color w:val="1F3A68"/>
        </w:rPr>
        <w:t>C.3.6. Profiluri de client (personas)</w:t>
      </w:r>
    </w:p>
    <w:p>
      <w:pPr>
        <w:spacing w:after="120"/>
        <w:jc w:val="both"/>
      </w:pPr>
      <w:r>
        <w:rPr>
          <w:b w:val="0"/>
          <w:i w:val="0"/>
          <w:sz w:val="22"/>
        </w:rPr>
        <w:t>Proiectarea produsului va fi ghidată de patru profiluri de client de referință, definite în faza de cercetare și rafinate pe parcursul validării:</w:t>
      </w:r>
    </w:p>
    <w:p>
      <w:pPr>
        <w:spacing w:after="120"/>
        <w:jc w:val="both"/>
      </w:pPr>
      <w:r>
        <w:rPr>
          <w:b/>
          <w:i w:val="0"/>
          <w:sz w:val="22"/>
        </w:rPr>
        <w:t>Persona 1 — „Maria”, 42 ani, mamă și îngrijitor de familie (B2C premium):</w:t>
      </w:r>
    </w:p>
    <w:p>
      <w:pPr>
        <w:spacing w:after="120"/>
        <w:jc w:val="both"/>
      </w:pPr>
      <w:r>
        <w:rPr>
          <w:b w:val="0"/>
          <w:i w:val="0"/>
          <w:sz w:val="22"/>
        </w:rPr>
        <w:t>Gestionează sănătatea a trei generații: copiii, propria persoană și părinții vârstnici. Primește buletine de la laboratoare diferite și nu le poate compara. Nevoia principală: un singur loc unde istoricul întregii familii este organizat, explicat și urmăribil în timp. Este dispusă să plătească un abonament lunar mic pentru liniștea de a înțelege — profilul țintă al tierului premium (5 profiluri de familie).</w:t>
      </w:r>
    </w:p>
    <w:p>
      <w:pPr>
        <w:spacing w:after="120"/>
        <w:jc w:val="both"/>
      </w:pPr>
      <w:r>
        <w:rPr>
          <w:b/>
          <w:i w:val="0"/>
          <w:sz w:val="22"/>
        </w:rPr>
        <w:t>Persona 2 — „Andrei”, 29 ani, profesionist urban preventiv (B2C freemium):</w:t>
      </w:r>
    </w:p>
    <w:p>
      <w:pPr>
        <w:spacing w:after="120"/>
        <w:jc w:val="both"/>
      </w:pPr>
      <w:r>
        <w:rPr>
          <w:b w:val="0"/>
          <w:i w:val="0"/>
          <w:sz w:val="22"/>
        </w:rPr>
        <w:t>Își face analize anuale de rutină din proprie inițiativă. Caută online semnificația valorilor și ajunge pe surse nefiabile. Nevoia principală: răspuns rapid, gratuit și de încredere la întrebarea „e ceva în neregulă?”. Intră prin căutare organică (SEO), folosește creditele gratuite și este canal de recomandare virală; o parte convertesc la premium odată cu acumularea istoricului.</w:t>
      </w:r>
    </w:p>
    <w:p>
      <w:pPr>
        <w:spacing w:after="120"/>
        <w:jc w:val="both"/>
      </w:pPr>
      <w:r>
        <w:rPr>
          <w:b/>
          <w:i w:val="0"/>
          <w:sz w:val="22"/>
        </w:rPr>
        <w:t>Persona 3 — „Dr. Ionescu”, medic și manager de clinică medie (B2B tier Pro):</w:t>
      </w:r>
    </w:p>
    <w:p>
      <w:pPr>
        <w:spacing w:after="120"/>
        <w:jc w:val="both"/>
      </w:pPr>
      <w:r>
        <w:rPr>
          <w:b w:val="0"/>
          <w:i w:val="0"/>
          <w:sz w:val="22"/>
        </w:rPr>
        <w:t>Conduce o clinică cu 12 medici care pierde zilnic timp clinic explicând rezultate de rutină și retranscriind date din PDF-uri. Nevoia principală: rapoarte interpretate cu branding propriu, procesare batch și date structurate exportabile. Decident pragmatic: cumpără după un pilot reușit și o demonstrație de economie de timp cuantificată.</w:t>
      </w:r>
    </w:p>
    <w:p>
      <w:pPr>
        <w:spacing w:after="120"/>
        <w:jc w:val="both"/>
      </w:pPr>
      <w:r>
        <w:rPr>
          <w:b/>
          <w:i w:val="0"/>
          <w:sz w:val="22"/>
        </w:rPr>
        <w:t>Persona 4 — „LabCorp Regional”, rețea de laboratoare (enterprise on-premise):</w:t>
      </w:r>
    </w:p>
    <w:p>
      <w:pPr>
        <w:spacing w:after="120"/>
        <w:jc w:val="both"/>
      </w:pPr>
      <w:r>
        <w:rPr>
          <w:b w:val="0"/>
          <w:i w:val="0"/>
          <w:sz w:val="22"/>
        </w:rPr>
        <w:t>Procesează sute de mii de determinări lunar și are obligații emergente de interoperabilitate (LOINC, FHIR, EHDS). Politica internă interzice trimiterea datelor în cloud extern. Nevoia principală: instalare on-premise a motorului de codificare și interpretare, cu SLA și suport dedicat — profilul licențelor enterprise de 150.000–500.000 EUR.</w:t>
      </w:r>
    </w:p>
    <w:p>
      <w:r>
        <w:br w:type="page"/>
      </w:r>
    </w:p>
    <w:p>
      <w:pPr>
        <w:pStyle w:val="Heading1"/>
      </w:pPr>
      <w:r>
        <w:rPr>
          <w:color w:val="1F3A68"/>
        </w:rPr>
        <w:t>C.4. Descrierea tehnică a proiectului</w:t>
      </w:r>
    </w:p>
    <w:p>
      <w:pPr>
        <w:spacing w:after="120"/>
        <w:jc w:val="both"/>
      </w:pPr>
      <w:r>
        <w:rPr>
          <w:b w:val="0"/>
          <w:i w:val="0"/>
          <w:sz w:val="22"/>
        </w:rPr>
        <w:t>Prezentul capitol descrie soluția tehnică ce va fi proiectată și construită integral în cadrul proiectului: arhitectura generală, componentele funcționale, modelul de date, precum și enumerarea completă a etapelor și fazelor de dezvoltare — de la landing page, înregistrare și autentificare până la motorul AI, microserviciul de codificare LOINC, modulul B2B, monetizare și lansarea comercială.</w:t>
      </w:r>
    </w:p>
    <w:p>
      <w:pPr>
        <w:pStyle w:val="Heading2"/>
      </w:pPr>
      <w:r>
        <w:rPr>
          <w:color w:val="1F3A68"/>
        </w:rPr>
        <w:t>C.4.1. Arhitectura logică a sistemului</w:t>
      </w:r>
    </w:p>
    <w:p>
      <w:pPr>
        <w:spacing w:after="120"/>
        <w:jc w:val="both"/>
      </w:pPr>
      <w:r>
        <w:rPr>
          <w:b w:val="0"/>
          <w:i w:val="0"/>
          <w:sz w:val="22"/>
        </w:rPr>
        <w:t>Platforma va fi construită pe o arhitectură distribuită pe patru straturi ortogonale, conformă cu principiile Clean Architecture și Domain-Driven Design, aleasă pentru mentenabilitate pe termen lung, testabilitate și posibilitatea livrării atât în cloud (SaaS), cât și on-premise:</w:t>
      </w:r>
    </w:p>
    <w:p>
      <w:pPr>
        <w:pStyle w:val="ListBullet"/>
        <w:spacing w:after="40"/>
        <w:jc w:val="both"/>
      </w:pPr>
      <w:r>
        <w:rPr>
          <w:sz w:val="22"/>
        </w:rPr>
        <w:t>Stratul de prezentare (Presentation Layer): aplicație web responsive dezvoltată în ASP.NET Core MVC (Razor), cu Bootstrap 5 și JavaScript standard — decizie arhitecturală care minimizează suprafața de atac de securitate, asigură compatibilitate largă cu dispozitivele utilizatorilor și permite ulterior ambalarea PWA;</w:t>
      </w:r>
    </w:p>
    <w:p>
      <w:pPr>
        <w:pStyle w:val="ListBullet"/>
        <w:spacing w:after="40"/>
        <w:jc w:val="both"/>
      </w:pPr>
      <w:r>
        <w:rPr>
          <w:sz w:val="22"/>
        </w:rPr>
        <w:t>Stratul de aplicație (Application Layer): controlere și servicii orchestratoare în C# / .NET (LTS curent), care vor coordona fluxurile de înregistrare, autentificare, upload, interpretare AI, codificare LOINC, generare rapoarte și notificare; injecție de dependențe nativă și politici de reziliență (retry, timeout, circuit-breaker) pentru toate apelurile externe;</w:t>
      </w:r>
    </w:p>
    <w:p>
      <w:pPr>
        <w:pStyle w:val="ListBullet"/>
        <w:spacing w:after="40"/>
        <w:jc w:val="both"/>
      </w:pPr>
      <w:r>
        <w:rPr>
          <w:sz w:val="22"/>
        </w:rPr>
        <w:t>Stratul de domeniu (Domain Layer): entitățile de business (Utilizator, Profil pacient, Interpretare, Rezultat-cheie, Clinică, Rulare batch, Jurnal consum AI), regulile de validare a creditelor, regulile de calcul al statusului clinic și evenimentele de domeniu;</w:t>
      </w:r>
    </w:p>
    <w:p>
      <w:pPr>
        <w:pStyle w:val="ListBullet"/>
        <w:spacing w:after="40"/>
        <w:jc w:val="both"/>
      </w:pPr>
      <w:r>
        <w:rPr>
          <w:sz w:val="22"/>
        </w:rPr>
        <w:t>Stratul de infrastructură (Infrastructure Layer): persistență prin Entity Framework Core pe Microsoft SQL Server / Azure SQL Database, microserviciu Python (FastAPI) pentru codificarea LOINC, integrări externe (API LLM multimodal, relay SMTP tranzacțional, generare PDF, seif de secrete).</w:t>
      </w:r>
    </w:p>
    <w:p>
      <w:pPr>
        <w:spacing w:after="120"/>
        <w:jc w:val="both"/>
      </w:pPr>
      <w:r>
        <w:rPr>
          <w:b w:val="0"/>
          <w:i w:val="0"/>
          <w:sz w:val="22"/>
        </w:rPr>
        <w:t>Separarea microserviciului LOINC (Python) de nucleul platformei (.NET) este o decizie deliberată: ecosistemul Python oferă bibliotecile de referință pentru embeddings semantice și potrivire fuzzy, iar izolarea într-un serviciu propriu permite scalarea și versionarea independentă a componentei de AI algoritmic față de aplicația web.</w:t>
      </w:r>
    </w:p>
    <w:p>
      <w:pPr>
        <w:pStyle w:val="Heading2"/>
      </w:pPr>
      <w:r>
        <w:rPr>
          <w:color w:val="1F3A68"/>
        </w:rPr>
        <w:t>C.4.2. Componentele funcționale majore care vor fi dezvoltate</w:t>
      </w:r>
    </w:p>
    <w:p>
      <w:pPr>
        <w:spacing w:after="120"/>
        <w:jc w:val="both"/>
      </w:pPr>
      <w:r>
        <w:rPr>
          <w:b/>
          <w:i w:val="0"/>
          <w:sz w:val="22"/>
        </w:rPr>
        <w:t>(A) Serviciul de interpretare AI:</w:t>
      </w:r>
    </w:p>
    <w:p>
      <w:pPr>
        <w:spacing w:after="120"/>
        <w:jc w:val="both"/>
      </w:pPr>
      <w:r>
        <w:rPr>
          <w:b w:val="0"/>
          <w:i w:val="0"/>
          <w:sz w:val="22"/>
        </w:rPr>
        <w:t>Componenta centrală a platformei. Va orchestra apelul către modelul LLM multimodal cu un prompt ierarhic pe patru niveluri: (1) rolul de sistem — interpret de laborator medical, cu limite etice stricte și refuzul diagnosticelor; (2) regulile de extragere — structura JSON obligatorie și câmpurile per analit; (3) regulile de normalizare — denumiri canonice în terminologie LOINC, specimen explicit; (4) capturarea contextului sursă — antetul de panel și linia brută a analitului, cu eliminarea semantică a adnotărilor administrative. Va include logică de reîncercare cu escaladare adaptivă între modelul economic și cel performant, precum și jurnalizarea completă a consumului de tokeni pentru controlul costului per interpretare.</w:t>
      </w:r>
    </w:p>
    <w:p>
      <w:pPr>
        <w:spacing w:after="120"/>
        <w:jc w:val="both"/>
      </w:pPr>
      <w:r>
        <w:rPr>
          <w:b/>
          <w:i w:val="0"/>
          <w:sz w:val="22"/>
        </w:rPr>
        <w:t>(B) Microserviciul de codificare LOINC:</w:t>
      </w:r>
    </w:p>
    <w:p>
      <w:pPr>
        <w:spacing w:after="120"/>
        <w:jc w:val="both"/>
      </w:pPr>
      <w:r>
        <w:rPr>
          <w:b w:val="0"/>
          <w:i w:val="0"/>
          <w:sz w:val="22"/>
        </w:rPr>
        <w:t>Serviciu independent (Python, FastAPI) expus printr-un API REST intern. Va primi denumirea canonică a analizei, unitatea, denumirea brută și contextul documentar și va returna codul LOINC optim, împreună cu scorul de încredere și sursa deciziei. Pipeline-ul intern în cinci pași:</w:t>
      </w:r>
    </w:p>
    <w:p>
      <w:pPr>
        <w:pStyle w:val="ListNumber"/>
        <w:spacing w:after="40"/>
        <w:jc w:val="both"/>
      </w:pPr>
      <w:r>
        <w:rPr>
          <w:sz w:val="22"/>
        </w:rPr>
        <w:t>Căutare în ancore: potrivire determinstă exactă (după normalizare) într-un dicționar curat de termeni canonici validați medical → scor 1,0;</w:t>
      </w:r>
    </w:p>
    <w:p>
      <w:pPr>
        <w:pStyle w:val="ListNumber"/>
        <w:spacing w:after="40"/>
        <w:jc w:val="both"/>
      </w:pPr>
      <w:r>
        <w:rPr>
          <w:sz w:val="22"/>
        </w:rPr>
        <w:t>Potrivire semantică: encoding vectorial (SentenceTransformer, 384 dimensiuni) și similaritate cosinus față de embeddings pre-calculate pentru ~97.000 de denumiri LOINC; extragerea celor mai buni 25 de candidați;</w:t>
      </w:r>
    </w:p>
    <w:p>
      <w:pPr>
        <w:pStyle w:val="ListNumber"/>
        <w:spacing w:after="40"/>
        <w:jc w:val="both"/>
      </w:pPr>
      <w:r>
        <w:rPr>
          <w:sz w:val="22"/>
        </w:rPr>
        <w:t>Potrivire fuzzy multi-sursă: scoruri RapidFuzz calculate încrucișat între denumirea canonică / denumirea brută și denumirea lungă / componenta LOINC; se reține maximul;</w:t>
      </w:r>
    </w:p>
    <w:p>
      <w:pPr>
        <w:pStyle w:val="ListNumber"/>
        <w:spacing w:after="40"/>
        <w:jc w:val="both"/>
      </w:pPr>
      <w:r>
        <w:rPr>
          <w:sz w:val="22"/>
        </w:rPr>
        <w:t>Strat de reguli contextuale: extragerea cuvintelor-cheie de metodă și specimen din contextul documentar, cu prioritate pentru contextul sursă (antet + linie brută) față de textul generat de AI;</w:t>
      </w:r>
    </w:p>
    <w:p>
      <w:pPr>
        <w:pStyle w:val="ListNumber"/>
        <w:spacing w:after="40"/>
        <w:jc w:val="both"/>
      </w:pPr>
      <w:r>
        <w:rPr>
          <w:sz w:val="22"/>
        </w:rPr>
        <w:t>Corecție finală în funcție de unitate: comutarea automată între perechea masică/molară a aceluiași analit atunci când unitatea raportată contrazice proprietatea candidatului câștigător.</w:t>
      </w:r>
    </w:p>
    <w:p>
      <w:pPr>
        <w:spacing w:after="120"/>
        <w:jc w:val="both"/>
      </w:pPr>
      <w:r>
        <w:rPr>
          <w:b/>
          <w:i w:val="0"/>
          <w:sz w:val="22"/>
        </w:rPr>
        <w:t>(C) Validatorul clinic determinist:</w:t>
      </w:r>
    </w:p>
    <w:p>
      <w:pPr>
        <w:spacing w:after="120"/>
        <w:jc w:val="both"/>
      </w:pPr>
      <w:r>
        <w:rPr>
          <w:b w:val="0"/>
          <w:i w:val="0"/>
          <w:sz w:val="22"/>
        </w:rPr>
        <w:t>Componentă algoritmică (non-AI) care va recalcula statusul clinic al fiecărui parametru din combinația valoare + interval de referință, cu suport pentru peste 20 de formate de interval (3,5–5,0; &lt;100; ≤5; ≥40; intervale diferențiate pe sex; rezultate calitative de tip negativ/absent/urme). Când parsarea reușește, statusul determinist prevalează asupra celui emis de AI; când eșuează, se păstrează varianta AI și se jurnalizează cazul pentru analiză.</w:t>
      </w:r>
    </w:p>
    <w:p>
      <w:pPr>
        <w:spacing w:after="120"/>
        <w:jc w:val="both"/>
      </w:pPr>
      <w:r>
        <w:rPr>
          <w:b/>
          <w:i w:val="0"/>
          <w:sz w:val="22"/>
        </w:rPr>
        <w:t>(D) Auditorul de completitudine:</w:t>
      </w:r>
    </w:p>
    <w:p>
      <w:pPr>
        <w:spacing w:after="120"/>
        <w:jc w:val="both"/>
      </w:pPr>
      <w:r>
        <w:rPr>
          <w:b w:val="0"/>
          <w:i w:val="0"/>
          <w:sz w:val="22"/>
        </w:rPr>
        <w:t>Mecanism de auto-verificare: modelul AI va declara numărul de analize identificate în document, iar auditorul îl va compara cu numărul efectiv extras. Sub pragul de completitudine de 95%, procesarea se reia automat. Pragul și activarea vor fi configurabile fără redistribuire de cod.</w:t>
      </w:r>
    </w:p>
    <w:p>
      <w:pPr>
        <w:spacing w:after="120"/>
        <w:jc w:val="both"/>
      </w:pPr>
      <w:r>
        <w:rPr>
          <w:b/>
          <w:i w:val="0"/>
          <w:sz w:val="22"/>
        </w:rPr>
        <w:t>(E) Clientul rezilient de codificare:</w:t>
      </w:r>
    </w:p>
    <w:p>
      <w:pPr>
        <w:spacing w:after="120"/>
        <w:jc w:val="both"/>
      </w:pPr>
      <w:r>
        <w:rPr>
          <w:b w:val="0"/>
          <w:i w:val="0"/>
          <w:sz w:val="22"/>
        </w:rPr>
        <w:t>Client HTTP tipizat (.NET) care va apela microserviciul LOINC pentru fiecare analit, cu timeout de 5 secunde, maximum 3 reîncercări cu backoff exponențial și degradare elegantă (interpretarea se livrează și în absența codului LOINC, marcată corespunzător). Codurile cu scor sub 0,55 vor fi respinse ca nesigure.</w:t>
      </w:r>
    </w:p>
    <w:p>
      <w:pPr>
        <w:spacing w:after="120"/>
        <w:jc w:val="both"/>
      </w:pPr>
      <w:r>
        <w:rPr>
          <w:b/>
          <w:i w:val="0"/>
          <w:sz w:val="22"/>
        </w:rPr>
        <w:t>(F) Generatorul de rapoarte PDF:</w:t>
      </w:r>
    </w:p>
    <w:p>
      <w:pPr>
        <w:spacing w:after="120"/>
        <w:jc w:val="both"/>
      </w:pPr>
      <w:r>
        <w:rPr>
          <w:b w:val="0"/>
          <w:i w:val="0"/>
          <w:sz w:val="22"/>
        </w:rPr>
        <w:t>Generator determinist de rapoarte PDF (bibliotecă QuestPDF) cu aspect profesional: gruparea parametrilor pe antetele de panel reconstruite din contextul ierarhic, metadate inline sub denumirea fiecărui parametru, cod LOINC afișat per analit, iar în varianta freemium — mascarea secțiunilor premium fără compromiterea confidențialității.</w:t>
      </w:r>
    </w:p>
    <w:p>
      <w:pPr>
        <w:spacing w:after="120"/>
        <w:jc w:val="both"/>
      </w:pPr>
      <w:r>
        <w:rPr>
          <w:b/>
          <w:i w:val="0"/>
          <w:sz w:val="22"/>
        </w:rPr>
        <w:t>(G) Modulul B2B — Clinic Access Module (CAM):</w:t>
      </w:r>
    </w:p>
    <w:p>
      <w:pPr>
        <w:spacing w:after="120"/>
        <w:jc w:val="both"/>
      </w:pPr>
      <w:r>
        <w:rPr>
          <w:b w:val="0"/>
          <w:i w:val="0"/>
          <w:sz w:val="22"/>
        </w:rPr>
        <w:t>Portal multi-tenant pentru clinici: conturi de organizație cu roluri, procesare batch multi-pacient, dashboard cu statusuri agregate, rapoarte comparative, tarifare per volum și export interoperabil HL7 FHIR (resursele Observation, DiagnosticReport, Patient).</w:t>
      </w:r>
    </w:p>
    <w:p>
      <w:pPr>
        <w:pStyle w:val="Heading2"/>
      </w:pPr>
      <w:r>
        <w:rPr>
          <w:color w:val="1F3A68"/>
        </w:rPr>
        <w:t>C.4.3. Modelul de date și persistența</w:t>
      </w:r>
    </w:p>
    <w:p>
      <w:pPr>
        <w:spacing w:after="120"/>
        <w:jc w:val="both"/>
      </w:pPr>
      <w:r>
        <w:rPr>
          <w:b w:val="0"/>
          <w:i w:val="0"/>
          <w:sz w:val="22"/>
        </w:rPr>
        <w:t>Persistența va folosi Microsoft SQL Server (dezvoltare) și Azure SQL Database (producție), prin Entity Framework Core cu migrări Code-First. Modelul de date principal proiectat:</w:t>
      </w:r>
    </w:p>
    <w:p>
      <w:pPr>
        <w:pStyle w:val="ListBullet"/>
        <w:spacing w:after="40"/>
        <w:jc w:val="both"/>
      </w:pPr>
      <w:r>
        <w:rPr>
          <w:sz w:val="22"/>
        </w:rPr>
        <w:t>Tabela Utilizatori (Users): conturi B2C, credite disponibile și consumate, credite bonus (program de recomandare), stare abonament premium;</w:t>
      </w:r>
    </w:p>
    <w:p>
      <w:pPr>
        <w:pStyle w:val="ListBullet"/>
        <w:spacing w:after="40"/>
        <w:jc w:val="both"/>
      </w:pPr>
      <w:r>
        <w:rPr>
          <w:sz w:val="22"/>
        </w:rPr>
        <w:t>Tabela Profiluri (Profiles): profiluri de pacient asociate contului (maximum 5 în tierul premium — familie), cu date demografice minime necesare interpretării (vârstă, sex);</w:t>
      </w:r>
    </w:p>
    <w:p>
      <w:pPr>
        <w:pStyle w:val="ListBullet"/>
        <w:spacing w:after="40"/>
        <w:jc w:val="both"/>
      </w:pPr>
      <w:r>
        <w:rPr>
          <w:sz w:val="22"/>
        </w:rPr>
        <w:t>Tabela Interpretări (InterpretationHistories): câte o înregistrare per document procesat — JSON-ul complet al rezultatului (NVARCHAR(MAX)), amprenta SHA-256 a PDF-ului pentru deduplicare, modelul AI folosit, tokenii consumați, momentul procesării;</w:t>
      </w:r>
    </w:p>
    <w:p>
      <w:pPr>
        <w:pStyle w:val="ListBullet"/>
        <w:spacing w:after="40"/>
        <w:jc w:val="both"/>
      </w:pPr>
      <w:r>
        <w:rPr>
          <w:sz w:val="22"/>
        </w:rPr>
        <w:t>Tabela Rezultate-cheie (KeyResults, denormalizată): câte un rând per analit, cu valoare, unitate, interval, status, cod LOINC, scor de încredere — fundamentul interogărilor rapide pentru evoluția grafică multi-vizită;</w:t>
      </w:r>
    </w:p>
    <w:p>
      <w:pPr>
        <w:pStyle w:val="ListBullet"/>
        <w:spacing w:after="40"/>
        <w:jc w:val="both"/>
      </w:pPr>
      <w:r>
        <w:rPr>
          <w:sz w:val="22"/>
        </w:rPr>
        <w:t>Tabela Clinici (Clinics): configurația fiecărui tenant B2B — tarife, module active, branding, subdomeniu;</w:t>
      </w:r>
    </w:p>
    <w:p>
      <w:pPr>
        <w:pStyle w:val="ListBullet"/>
        <w:spacing w:after="40"/>
        <w:jc w:val="both"/>
      </w:pPr>
      <w:r>
        <w:rPr>
          <w:sz w:val="22"/>
        </w:rPr>
        <w:t>Tabela Rulări batch (ClinicBatchRuns): fiecare lot de procesare B2B, cu progres și rezultate agregate;</w:t>
      </w:r>
    </w:p>
    <w:p>
      <w:pPr>
        <w:pStyle w:val="ListBullet"/>
        <w:spacing w:after="40"/>
        <w:jc w:val="both"/>
      </w:pPr>
      <w:r>
        <w:rPr>
          <w:sz w:val="22"/>
        </w:rPr>
        <w:t>Tabela Jurnal AI (AiUsageLogs): fiecare apel către modelul AI — tokeni de intrare/ieșire, model, latență, status — pentru controlul costurilor și audit;</w:t>
      </w:r>
    </w:p>
    <w:p>
      <w:pPr>
        <w:pStyle w:val="ListBullet"/>
        <w:spacing w:after="40"/>
        <w:jc w:val="both"/>
      </w:pPr>
      <w:r>
        <w:rPr>
          <w:sz w:val="22"/>
        </w:rPr>
        <w:t>Tabela Jurnal de audit (AuditLogs): acțiunile sensibile (autentificare, upload, ștergere, operațiuni administrative), cu retenție de 7 ani conform legislației de arhivare medicală.</w:t>
      </w:r>
    </w:p>
    <w:p>
      <w:pPr>
        <w:spacing w:after="120"/>
        <w:jc w:val="both"/>
      </w:pPr>
      <w:r>
        <w:rPr>
          <w:b w:val="0"/>
          <w:i w:val="0"/>
          <w:sz w:val="22"/>
        </w:rPr>
        <w:t>Principii de proiectare a datelor: chei surogat, indecși pe coloanele de interogare frecventă (utilizator + profil + cod LOINC + dată), soft-delete cu fereastră de 30 de zile pentru dreptul la ștergere GDPR, criptare transparentă la repaus (TDE) și separare strictă a datelor între tenanții B2B.</w:t>
      </w:r>
    </w:p>
    <w:p>
      <w:r>
        <w:br w:type="page"/>
      </w:r>
    </w:p>
    <w:p>
      <w:pPr>
        <w:pStyle w:val="Heading2"/>
      </w:pPr>
      <w:r>
        <w:rPr>
          <w:color w:val="1F3A68"/>
        </w:rPr>
        <w:t>C.4.4. Etapele și fazele de dezvoltare a proiectului</w:t>
      </w:r>
    </w:p>
    <w:p>
      <w:pPr>
        <w:spacing w:after="120"/>
        <w:jc w:val="both"/>
      </w:pPr>
      <w:r>
        <w:rPr>
          <w:b/>
          <w:i w:val="0"/>
          <w:sz w:val="22"/>
        </w:rPr>
        <w:t>Proiectul va fi realizat în 11 etape majore, fiecare descompusă în faze cu livrabile și criterii de acceptanță proprii. Etapele acoperă integral construcția platformei de la zero: analiză și proiectare, infrastructură, nucleul web (landing page, înregistrare, autentificare, profiluri, upload, dashboard), motorul AI, microserviciul LOINC, raportarea, localizarea multilingvă, modulul B2B, monetizarea, securizarea și lansarea comercială.</w:t>
      </w:r>
    </w:p>
    <w:tbl>
      <w:tblPr>
        <w:tblStyle w:val="LightGrid-Accent1"/>
        <w:tblW w:type="auto" w:w="0"/>
        <w:tblLook w:firstColumn="1" w:firstRow="1" w:lastColumn="0" w:lastRow="0" w:noHBand="0" w:noVBand="1" w:val="04A0"/>
      </w:tblPr>
      <w:tblGrid>
        <w:gridCol w:w="2436"/>
        <w:gridCol w:w="2436"/>
        <w:gridCol w:w="2436"/>
        <w:gridCol w:w="2436"/>
      </w:tblGrid>
      <w:tr>
        <w:tc>
          <w:tcPr>
            <w:tcW w:type="dxa" w:w="737"/>
            <w:shd w:val="clear" w:color="auto" w:fill="1F3A68"/>
          </w:tcPr>
          <w:p>
            <w:r>
              <w:rPr>
                <w:color w:val="FFFFFF"/>
              </w:rPr>
            </w:r>
            <w:r>
              <w:rPr>
                <w:b/>
                <w:color w:val="FFFFFF"/>
                <w:sz w:val="20"/>
              </w:rPr>
              <w:t>Etapa</w:t>
            </w:r>
          </w:p>
        </w:tc>
        <w:tc>
          <w:tcPr>
            <w:tcW w:type="dxa" w:w="5896"/>
            <w:shd w:val="clear" w:color="auto" w:fill="1F3A68"/>
          </w:tcPr>
          <w:p>
            <w:r>
              <w:rPr>
                <w:color w:val="FFFFFF"/>
              </w:rPr>
            </w:r>
            <w:r>
              <w:rPr>
                <w:b/>
                <w:color w:val="FFFFFF"/>
                <w:sz w:val="20"/>
              </w:rPr>
              <w:t>Denumire</w:t>
            </w:r>
          </w:p>
        </w:tc>
        <w:tc>
          <w:tcPr>
            <w:tcW w:type="dxa" w:w="1077"/>
            <w:shd w:val="clear" w:color="auto" w:fill="1F3A68"/>
          </w:tcPr>
          <w:p>
            <w:r>
              <w:rPr>
                <w:color w:val="FFFFFF"/>
              </w:rPr>
            </w:r>
            <w:r>
              <w:rPr>
                <w:b/>
                <w:color w:val="FFFFFF"/>
                <w:sz w:val="20"/>
              </w:rPr>
              <w:t>Luni</w:t>
            </w:r>
          </w:p>
        </w:tc>
        <w:tc>
          <w:tcPr>
            <w:tcW w:type="dxa" w:w="1474"/>
            <w:shd w:val="clear" w:color="auto" w:fill="1F3A68"/>
          </w:tcPr>
          <w:p>
            <w:r>
              <w:rPr>
                <w:color w:val="FFFFFF"/>
              </w:rPr>
            </w:r>
            <w:r>
              <w:rPr>
                <w:b/>
                <w:color w:val="FFFFFF"/>
                <w:sz w:val="20"/>
              </w:rPr>
              <w:t>Pondere efort</w:t>
            </w:r>
          </w:p>
        </w:tc>
      </w:tr>
      <w:tr>
        <w:tc>
          <w:tcPr>
            <w:tcW w:type="dxa" w:w="737"/>
          </w:tcPr>
          <w:p>
            <w:r/>
            <w:r>
              <w:rPr>
                <w:sz w:val="20"/>
              </w:rPr>
              <w:t>E1</w:t>
            </w:r>
          </w:p>
        </w:tc>
        <w:tc>
          <w:tcPr>
            <w:tcW w:type="dxa" w:w="5896"/>
          </w:tcPr>
          <w:p>
            <w:r/>
            <w:r>
              <w:rPr>
                <w:sz w:val="20"/>
              </w:rPr>
              <w:t>Analiză, specificații și proiectare</w:t>
            </w:r>
          </w:p>
        </w:tc>
        <w:tc>
          <w:tcPr>
            <w:tcW w:type="dxa" w:w="1077"/>
          </w:tcPr>
          <w:p>
            <w:r/>
            <w:r>
              <w:rPr>
                <w:sz w:val="20"/>
              </w:rPr>
              <w:t>1–3</w:t>
            </w:r>
          </w:p>
        </w:tc>
        <w:tc>
          <w:tcPr>
            <w:tcW w:type="dxa" w:w="1474"/>
          </w:tcPr>
          <w:p>
            <w:r/>
            <w:r>
              <w:rPr>
                <w:sz w:val="20"/>
              </w:rPr>
              <w:t>8%</w:t>
            </w:r>
          </w:p>
        </w:tc>
      </w:tr>
      <w:tr>
        <w:tc>
          <w:tcPr>
            <w:tcW w:type="dxa" w:w="737"/>
          </w:tcPr>
          <w:p>
            <w:r/>
            <w:r>
              <w:rPr>
                <w:sz w:val="20"/>
              </w:rPr>
              <w:t>E2</w:t>
            </w:r>
          </w:p>
        </w:tc>
        <w:tc>
          <w:tcPr>
            <w:tcW w:type="dxa" w:w="5896"/>
          </w:tcPr>
          <w:p>
            <w:r/>
            <w:r>
              <w:rPr>
                <w:sz w:val="20"/>
              </w:rPr>
              <w:t>Infrastructură cloud și DevOps</w:t>
            </w:r>
          </w:p>
        </w:tc>
        <w:tc>
          <w:tcPr>
            <w:tcW w:type="dxa" w:w="1077"/>
          </w:tcPr>
          <w:p>
            <w:r/>
            <w:r>
              <w:rPr>
                <w:sz w:val="20"/>
              </w:rPr>
              <w:t>2–4</w:t>
            </w:r>
          </w:p>
        </w:tc>
        <w:tc>
          <w:tcPr>
            <w:tcW w:type="dxa" w:w="1474"/>
          </w:tcPr>
          <w:p>
            <w:r/>
            <w:r>
              <w:rPr>
                <w:sz w:val="20"/>
              </w:rPr>
              <w:t>6%</w:t>
            </w:r>
          </w:p>
        </w:tc>
      </w:tr>
      <w:tr>
        <w:tc>
          <w:tcPr>
            <w:tcW w:type="dxa" w:w="737"/>
          </w:tcPr>
          <w:p>
            <w:r/>
            <w:r>
              <w:rPr>
                <w:sz w:val="20"/>
              </w:rPr>
              <w:t>E3</w:t>
            </w:r>
          </w:p>
        </w:tc>
        <w:tc>
          <w:tcPr>
            <w:tcW w:type="dxa" w:w="5896"/>
          </w:tcPr>
          <w:p>
            <w:r/>
            <w:r>
              <w:rPr>
                <w:sz w:val="20"/>
              </w:rPr>
              <w:t>Nucleul platformei web (landing page, înregistrare, autentificare, profiluri, upload, dashboard)</w:t>
            </w:r>
          </w:p>
        </w:tc>
        <w:tc>
          <w:tcPr>
            <w:tcW w:type="dxa" w:w="1077"/>
          </w:tcPr>
          <w:p>
            <w:r/>
            <w:r>
              <w:rPr>
                <w:sz w:val="20"/>
              </w:rPr>
              <w:t>3–9</w:t>
            </w:r>
          </w:p>
        </w:tc>
        <w:tc>
          <w:tcPr>
            <w:tcW w:type="dxa" w:w="1474"/>
          </w:tcPr>
          <w:p>
            <w:r/>
            <w:r>
              <w:rPr>
                <w:sz w:val="20"/>
              </w:rPr>
              <w:t>20%</w:t>
            </w:r>
          </w:p>
        </w:tc>
      </w:tr>
      <w:tr>
        <w:tc>
          <w:tcPr>
            <w:tcW w:type="dxa" w:w="737"/>
          </w:tcPr>
          <w:p>
            <w:r/>
            <w:r>
              <w:rPr>
                <w:sz w:val="20"/>
              </w:rPr>
              <w:t>E4</w:t>
            </w:r>
          </w:p>
        </w:tc>
        <w:tc>
          <w:tcPr>
            <w:tcW w:type="dxa" w:w="5896"/>
          </w:tcPr>
          <w:p>
            <w:r/>
            <w:r>
              <w:rPr>
                <w:sz w:val="20"/>
              </w:rPr>
              <w:t>Motorul AI de extragere și interpretare</w:t>
            </w:r>
          </w:p>
        </w:tc>
        <w:tc>
          <w:tcPr>
            <w:tcW w:type="dxa" w:w="1077"/>
          </w:tcPr>
          <w:p>
            <w:r/>
            <w:r>
              <w:rPr>
                <w:sz w:val="20"/>
              </w:rPr>
              <w:t>5–11</w:t>
            </w:r>
          </w:p>
        </w:tc>
        <w:tc>
          <w:tcPr>
            <w:tcW w:type="dxa" w:w="1474"/>
          </w:tcPr>
          <w:p>
            <w:r/>
            <w:r>
              <w:rPr>
                <w:sz w:val="20"/>
              </w:rPr>
              <w:t>16%</w:t>
            </w:r>
          </w:p>
        </w:tc>
      </w:tr>
      <w:tr>
        <w:tc>
          <w:tcPr>
            <w:tcW w:type="dxa" w:w="737"/>
          </w:tcPr>
          <w:p>
            <w:r/>
            <w:r>
              <w:rPr>
                <w:sz w:val="20"/>
              </w:rPr>
              <w:t>E5</w:t>
            </w:r>
          </w:p>
        </w:tc>
        <w:tc>
          <w:tcPr>
            <w:tcW w:type="dxa" w:w="5896"/>
          </w:tcPr>
          <w:p>
            <w:r/>
            <w:r>
              <w:rPr>
                <w:sz w:val="20"/>
              </w:rPr>
              <w:t>Microserviciul de codificare LOINC</w:t>
            </w:r>
          </w:p>
        </w:tc>
        <w:tc>
          <w:tcPr>
            <w:tcW w:type="dxa" w:w="1077"/>
          </w:tcPr>
          <w:p>
            <w:r/>
            <w:r>
              <w:rPr>
                <w:sz w:val="20"/>
              </w:rPr>
              <w:t>6–12</w:t>
            </w:r>
          </w:p>
        </w:tc>
        <w:tc>
          <w:tcPr>
            <w:tcW w:type="dxa" w:w="1474"/>
          </w:tcPr>
          <w:p>
            <w:r/>
            <w:r>
              <w:rPr>
                <w:sz w:val="20"/>
              </w:rPr>
              <w:t>14%</w:t>
            </w:r>
          </w:p>
        </w:tc>
      </w:tr>
      <w:tr>
        <w:tc>
          <w:tcPr>
            <w:tcW w:type="dxa" w:w="737"/>
          </w:tcPr>
          <w:p>
            <w:r/>
            <w:r>
              <w:rPr>
                <w:sz w:val="20"/>
              </w:rPr>
              <w:t>E6</w:t>
            </w:r>
          </w:p>
        </w:tc>
        <w:tc>
          <w:tcPr>
            <w:tcW w:type="dxa" w:w="5896"/>
          </w:tcPr>
          <w:p>
            <w:r/>
            <w:r>
              <w:rPr>
                <w:sz w:val="20"/>
              </w:rPr>
              <w:t>Raportare și comunicare (PDF, e-mail, FHIR)</w:t>
            </w:r>
          </w:p>
        </w:tc>
        <w:tc>
          <w:tcPr>
            <w:tcW w:type="dxa" w:w="1077"/>
          </w:tcPr>
          <w:p>
            <w:r/>
            <w:r>
              <w:rPr>
                <w:sz w:val="20"/>
              </w:rPr>
              <w:t>8–12</w:t>
            </w:r>
          </w:p>
        </w:tc>
        <w:tc>
          <w:tcPr>
            <w:tcW w:type="dxa" w:w="1474"/>
          </w:tcPr>
          <w:p>
            <w:r/>
            <w:r>
              <w:rPr>
                <w:sz w:val="20"/>
              </w:rPr>
              <w:t>7%</w:t>
            </w:r>
          </w:p>
        </w:tc>
      </w:tr>
      <w:tr>
        <w:tc>
          <w:tcPr>
            <w:tcW w:type="dxa" w:w="737"/>
          </w:tcPr>
          <w:p>
            <w:r/>
            <w:r>
              <w:rPr>
                <w:sz w:val="20"/>
              </w:rPr>
              <w:t>E7</w:t>
            </w:r>
          </w:p>
        </w:tc>
        <w:tc>
          <w:tcPr>
            <w:tcW w:type="dxa" w:w="5896"/>
          </w:tcPr>
          <w:p>
            <w:r/>
            <w:r>
              <w:rPr>
                <w:sz w:val="20"/>
              </w:rPr>
              <w:t>Localizare multilingvă (7 → 30 limbi)</w:t>
            </w:r>
          </w:p>
        </w:tc>
        <w:tc>
          <w:tcPr>
            <w:tcW w:type="dxa" w:w="1077"/>
          </w:tcPr>
          <w:p>
            <w:r/>
            <w:r>
              <w:rPr>
                <w:sz w:val="20"/>
              </w:rPr>
              <w:t>8–14</w:t>
            </w:r>
          </w:p>
        </w:tc>
        <w:tc>
          <w:tcPr>
            <w:tcW w:type="dxa" w:w="1474"/>
          </w:tcPr>
          <w:p>
            <w:r/>
            <w:r>
              <w:rPr>
                <w:sz w:val="20"/>
              </w:rPr>
              <w:t>7%</w:t>
            </w:r>
          </w:p>
        </w:tc>
      </w:tr>
      <w:tr>
        <w:tc>
          <w:tcPr>
            <w:tcW w:type="dxa" w:w="737"/>
          </w:tcPr>
          <w:p>
            <w:r/>
            <w:r>
              <w:rPr>
                <w:sz w:val="20"/>
              </w:rPr>
              <w:t>E8</w:t>
            </w:r>
          </w:p>
        </w:tc>
        <w:tc>
          <w:tcPr>
            <w:tcW w:type="dxa" w:w="5896"/>
          </w:tcPr>
          <w:p>
            <w:r/>
            <w:r>
              <w:rPr>
                <w:sz w:val="20"/>
              </w:rPr>
              <w:t>Modulul B2B — Clinic Access Module</w:t>
            </w:r>
          </w:p>
        </w:tc>
        <w:tc>
          <w:tcPr>
            <w:tcW w:type="dxa" w:w="1077"/>
          </w:tcPr>
          <w:p>
            <w:r/>
            <w:r>
              <w:rPr>
                <w:sz w:val="20"/>
              </w:rPr>
              <w:t>10–15</w:t>
            </w:r>
          </w:p>
        </w:tc>
        <w:tc>
          <w:tcPr>
            <w:tcW w:type="dxa" w:w="1474"/>
          </w:tcPr>
          <w:p>
            <w:r/>
            <w:r>
              <w:rPr>
                <w:sz w:val="20"/>
              </w:rPr>
              <w:t>10%</w:t>
            </w:r>
          </w:p>
        </w:tc>
      </w:tr>
      <w:tr>
        <w:tc>
          <w:tcPr>
            <w:tcW w:type="dxa" w:w="737"/>
          </w:tcPr>
          <w:p>
            <w:r/>
            <w:r>
              <w:rPr>
                <w:sz w:val="20"/>
              </w:rPr>
              <w:t>E9</w:t>
            </w:r>
          </w:p>
        </w:tc>
        <w:tc>
          <w:tcPr>
            <w:tcW w:type="dxa" w:w="5896"/>
          </w:tcPr>
          <w:p>
            <w:r/>
            <w:r>
              <w:rPr>
                <w:sz w:val="20"/>
              </w:rPr>
              <w:t>Monetizare și plăți</w:t>
            </w:r>
          </w:p>
        </w:tc>
        <w:tc>
          <w:tcPr>
            <w:tcW w:type="dxa" w:w="1077"/>
          </w:tcPr>
          <w:p>
            <w:r/>
            <w:r>
              <w:rPr>
                <w:sz w:val="20"/>
              </w:rPr>
              <w:t>11–15</w:t>
            </w:r>
          </w:p>
        </w:tc>
        <w:tc>
          <w:tcPr>
            <w:tcW w:type="dxa" w:w="1474"/>
          </w:tcPr>
          <w:p>
            <w:r/>
            <w:r>
              <w:rPr>
                <w:sz w:val="20"/>
              </w:rPr>
              <w:t>5%</w:t>
            </w:r>
          </w:p>
        </w:tc>
      </w:tr>
      <w:tr>
        <w:tc>
          <w:tcPr>
            <w:tcW w:type="dxa" w:w="737"/>
          </w:tcPr>
          <w:p>
            <w:r/>
            <w:r>
              <w:rPr>
                <w:sz w:val="20"/>
              </w:rPr>
              <w:t>E10</w:t>
            </w:r>
          </w:p>
        </w:tc>
        <w:tc>
          <w:tcPr>
            <w:tcW w:type="dxa" w:w="5896"/>
          </w:tcPr>
          <w:p>
            <w:r/>
            <w:r>
              <w:rPr>
                <w:sz w:val="20"/>
              </w:rPr>
              <w:t>Securitate, conformitate GDPR și testare finală</w:t>
            </w:r>
          </w:p>
        </w:tc>
        <w:tc>
          <w:tcPr>
            <w:tcW w:type="dxa" w:w="1077"/>
          </w:tcPr>
          <w:p>
            <w:r/>
            <w:r>
              <w:rPr>
                <w:sz w:val="20"/>
              </w:rPr>
              <w:t>12–16</w:t>
            </w:r>
          </w:p>
        </w:tc>
        <w:tc>
          <w:tcPr>
            <w:tcW w:type="dxa" w:w="1474"/>
          </w:tcPr>
          <w:p>
            <w:r/>
            <w:r>
              <w:rPr>
                <w:sz w:val="20"/>
              </w:rPr>
              <w:t>4%</w:t>
            </w:r>
          </w:p>
        </w:tc>
      </w:tr>
      <w:tr>
        <w:tc>
          <w:tcPr>
            <w:tcW w:type="dxa" w:w="737"/>
          </w:tcPr>
          <w:p>
            <w:r/>
            <w:r>
              <w:rPr>
                <w:sz w:val="20"/>
              </w:rPr>
              <w:t>E11</w:t>
            </w:r>
          </w:p>
        </w:tc>
        <w:tc>
          <w:tcPr>
            <w:tcW w:type="dxa" w:w="5896"/>
          </w:tcPr>
          <w:p>
            <w:r/>
            <w:r>
              <w:rPr>
                <w:sz w:val="20"/>
              </w:rPr>
              <w:t>Pilotare, marketing și lansare comercială</w:t>
            </w:r>
          </w:p>
        </w:tc>
        <w:tc>
          <w:tcPr>
            <w:tcW w:type="dxa" w:w="1077"/>
          </w:tcPr>
          <w:p>
            <w:r/>
            <w:r>
              <w:rPr>
                <w:sz w:val="20"/>
              </w:rPr>
              <w:t>14–18</w:t>
            </w:r>
          </w:p>
        </w:tc>
        <w:tc>
          <w:tcPr>
            <w:tcW w:type="dxa" w:w="1474"/>
          </w:tcPr>
          <w:p>
            <w:r/>
            <w:r>
              <w:rPr>
                <w:sz w:val="20"/>
              </w:rPr>
              <w:t>3%</w:t>
            </w:r>
          </w:p>
        </w:tc>
      </w:tr>
    </w:tbl>
    <w:p>
      <w:pPr>
        <w:spacing w:after="120"/>
        <w:jc w:val="both"/>
      </w:pPr>
      <w:r>
        <w:rPr>
          <w:b w:val="0"/>
          <w:i w:val="0"/>
          <w:sz w:val="22"/>
        </w:rPr>
        <w:t>Etapele se suprapun parțial (dezvoltare paralelă pe echipe), conform diagramei Gantt din capitolul C.6. Detalierea fazelor fiecărei etape:</w:t>
      </w:r>
    </w:p>
    <w:p>
      <w:pPr>
        <w:pStyle w:val="Heading3"/>
      </w:pPr>
      <w:r>
        <w:rPr>
          <w:color w:val="1F3A68"/>
        </w:rPr>
        <w:t>Etapa 1 — Analiză, specificații și proiectare (lunile 1–3)</w:t>
      </w:r>
    </w:p>
    <w:p>
      <w:pPr>
        <w:spacing w:after="120"/>
        <w:jc w:val="both"/>
      </w:pPr>
      <w:r>
        <w:rPr>
          <w:b w:val="0"/>
          <w:i w:val="0"/>
          <w:sz w:val="22"/>
        </w:rPr>
        <w:t>Etapa fundației: transformă viziunea produsului în specificații executabile. Activități principale: constituirea echipei și a guvernanței de proiect; interviuri structurate cu medici, pacienți și manageri de clinici; elaborarea specificațiilor; selecția tehnologiilor cu matrice de decizie; proiectarea UX/UI cu testare pe utilizatori; constituirea corpusului de validare.</w:t>
      </w:r>
    </w:p>
    <w:p>
      <w:pPr>
        <w:spacing w:after="120"/>
        <w:jc w:val="both"/>
      </w:pPr>
      <w:r>
        <w:rPr>
          <w:b/>
          <w:i w:val="0"/>
          <w:sz w:val="22"/>
        </w:rPr>
        <w:t>Faza 1.1 — Analiza cerințelor și specificațiile funcționale</w:t>
      </w:r>
    </w:p>
    <w:p>
      <w:pPr>
        <w:spacing w:after="120"/>
        <w:jc w:val="both"/>
      </w:pPr>
      <w:r>
        <w:rPr>
          <w:b w:val="0"/>
          <w:i w:val="0"/>
          <w:sz w:val="22"/>
        </w:rPr>
        <w:t>Vor fi elaborate specificațiile funcționale complete pentru toate modulele platformei, pe baza interviurilor cu medici, pacienți și manageri de clinici (componenta de validare a cererii din C.3.3). Se vor defini fluxurile utilizator (user journeys) B2C și B2B, cazurile de utilizare și regulile de business.</w:t>
      </w:r>
    </w:p>
    <w:p>
      <w:pPr>
        <w:spacing w:after="40"/>
        <w:jc w:val="both"/>
      </w:pPr>
      <w:r>
        <w:rPr>
          <w:b w:val="0"/>
          <w:i/>
          <w:sz w:val="22"/>
        </w:rPr>
        <w:t>Livrabile:</w:t>
      </w:r>
    </w:p>
    <w:p>
      <w:pPr>
        <w:pStyle w:val="ListBullet"/>
        <w:spacing w:after="40"/>
        <w:jc w:val="both"/>
      </w:pPr>
      <w:r>
        <w:rPr>
          <w:sz w:val="22"/>
        </w:rPr>
        <w:t>Document de specificații funcționale (SRS) aprobat</w:t>
      </w:r>
    </w:p>
    <w:p>
      <w:pPr>
        <w:pStyle w:val="ListBullet"/>
        <w:spacing w:after="40"/>
        <w:jc w:val="both"/>
      </w:pPr>
      <w:r>
        <w:rPr>
          <w:sz w:val="22"/>
        </w:rPr>
        <w:t>Hărți ale fluxurilor utilizator B2C și B2B</w:t>
      </w:r>
    </w:p>
    <w:p>
      <w:pPr>
        <w:pStyle w:val="ListBullet"/>
        <w:spacing w:after="40"/>
        <w:jc w:val="both"/>
      </w:pPr>
      <w:r>
        <w:rPr>
          <w:sz w:val="22"/>
        </w:rPr>
        <w:t>Backlog inițial de produs, prioritizat MoSCoW</w:t>
      </w:r>
    </w:p>
    <w:p>
      <w:pPr>
        <w:spacing w:after="120"/>
        <w:jc w:val="both"/>
      </w:pPr>
      <w:r>
        <w:rPr>
          <w:b w:val="0"/>
          <w:i/>
          <w:sz w:val="22"/>
        </w:rPr>
        <w:t>Criterii de acceptanță: SRS acoperă 100% din obiectivele specifice OS3–OS7.</w:t>
      </w:r>
    </w:p>
    <w:p>
      <w:pPr>
        <w:spacing w:after="120"/>
        <w:jc w:val="both"/>
      </w:pPr>
      <w:r>
        <w:rPr>
          <w:b/>
          <w:i w:val="0"/>
          <w:sz w:val="22"/>
        </w:rPr>
        <w:t>Faza 1.2 — Proiectarea arhitecturii tehnice</w:t>
      </w:r>
    </w:p>
    <w:p>
      <w:pPr>
        <w:spacing w:after="120"/>
        <w:jc w:val="both"/>
      </w:pPr>
      <w:r>
        <w:rPr>
          <w:b w:val="0"/>
          <w:i w:val="0"/>
          <w:sz w:val="22"/>
        </w:rPr>
        <w:t>Se va proiecta arhitectura pe straturi (C.4.1), se vor selecta tehnologiile (matrice de decizie documentată), se va defini contractul API dintre platforma .NET și microserviciul LOINC și se vor stabili convențiile de cod, versionare și revizuire.</w:t>
      </w:r>
    </w:p>
    <w:p>
      <w:pPr>
        <w:spacing w:after="40"/>
        <w:jc w:val="both"/>
      </w:pPr>
      <w:r>
        <w:rPr>
          <w:b w:val="0"/>
          <w:i/>
          <w:sz w:val="22"/>
        </w:rPr>
        <w:t>Livrabile:</w:t>
      </w:r>
    </w:p>
    <w:p>
      <w:pPr>
        <w:pStyle w:val="ListBullet"/>
        <w:spacing w:after="40"/>
        <w:jc w:val="both"/>
      </w:pPr>
      <w:r>
        <w:rPr>
          <w:sz w:val="22"/>
        </w:rPr>
        <w:t>Document de arhitectură software (SAD) cu diagrame C4</w:t>
      </w:r>
    </w:p>
    <w:p>
      <w:pPr>
        <w:pStyle w:val="ListBullet"/>
        <w:spacing w:after="40"/>
        <w:jc w:val="both"/>
      </w:pPr>
      <w:r>
        <w:rPr>
          <w:sz w:val="22"/>
        </w:rPr>
        <w:t>Contracte API interne (OpenAPI) pentru microserviciul LOINC</w:t>
      </w:r>
    </w:p>
    <w:p>
      <w:pPr>
        <w:pStyle w:val="ListBullet"/>
        <w:spacing w:after="40"/>
        <w:jc w:val="both"/>
      </w:pPr>
      <w:r>
        <w:rPr>
          <w:sz w:val="22"/>
        </w:rPr>
        <w:t>Standarde de dezvoltare și politica de code review</w:t>
      </w:r>
    </w:p>
    <w:p>
      <w:pPr>
        <w:spacing w:after="120"/>
        <w:jc w:val="both"/>
      </w:pPr>
      <w:r>
        <w:rPr>
          <w:b w:val="0"/>
          <w:i/>
          <w:sz w:val="22"/>
        </w:rPr>
        <w:t>Criterii de acceptanță: Arhitectura validată prin sesiune de revizuire tehnică formală.</w:t>
      </w:r>
    </w:p>
    <w:p>
      <w:pPr>
        <w:spacing w:after="120"/>
        <w:jc w:val="both"/>
      </w:pPr>
      <w:r>
        <w:rPr>
          <w:b/>
          <w:i w:val="0"/>
          <w:sz w:val="22"/>
        </w:rPr>
        <w:t>Faza 1.3 — Proiectarea UX/UI</w:t>
      </w:r>
    </w:p>
    <w:p>
      <w:pPr>
        <w:spacing w:after="120"/>
        <w:jc w:val="both"/>
      </w:pPr>
      <w:r>
        <w:rPr>
          <w:b w:val="0"/>
          <w:i w:val="0"/>
          <w:sz w:val="22"/>
        </w:rPr>
        <w:t>Vor fi create wireframe-uri și apoi machete de înaltă fidelitate pentru toate ecranele: landing page, înregistrare, autentificare, dashboard, încărcare document, raport interpretat, istoric, portal clinică. Design system propriu (culori, tipografie, componente) cu accent pe accesibilitate (WCAG 2.1 AA) și pe încrederea specifică produselor medicale.</w:t>
      </w:r>
    </w:p>
    <w:p>
      <w:pPr>
        <w:spacing w:after="40"/>
        <w:jc w:val="both"/>
      </w:pPr>
      <w:r>
        <w:rPr>
          <w:b w:val="0"/>
          <w:i/>
          <w:sz w:val="22"/>
        </w:rPr>
        <w:t>Livrabile:</w:t>
      </w:r>
    </w:p>
    <w:p>
      <w:pPr>
        <w:pStyle w:val="ListBullet"/>
        <w:spacing w:after="40"/>
        <w:jc w:val="both"/>
      </w:pPr>
      <w:r>
        <w:rPr>
          <w:sz w:val="22"/>
        </w:rPr>
        <w:t>Design system complet</w:t>
      </w:r>
    </w:p>
    <w:p>
      <w:pPr>
        <w:pStyle w:val="ListBullet"/>
        <w:spacing w:after="40"/>
        <w:jc w:val="both"/>
      </w:pPr>
      <w:r>
        <w:rPr>
          <w:sz w:val="22"/>
        </w:rPr>
        <w:t>Machete high-fidelity pentru ≥ 25 ecrane</w:t>
      </w:r>
    </w:p>
    <w:p>
      <w:pPr>
        <w:pStyle w:val="ListBullet"/>
        <w:spacing w:after="40"/>
        <w:jc w:val="both"/>
      </w:pPr>
      <w:r>
        <w:rPr>
          <w:sz w:val="22"/>
        </w:rPr>
        <w:t>Prototip interactiv testat pe 20 de utilizatori</w:t>
      </w:r>
    </w:p>
    <w:p>
      <w:pPr>
        <w:spacing w:after="120"/>
        <w:jc w:val="both"/>
      </w:pPr>
      <w:r>
        <w:rPr>
          <w:b w:val="0"/>
          <w:i/>
          <w:sz w:val="22"/>
        </w:rPr>
        <w:t>Criterii de acceptanță: Scor de utilizabilitate SUS ≥ 75 la testarea prototipului.</w:t>
      </w:r>
    </w:p>
    <w:p>
      <w:pPr>
        <w:spacing w:after="120"/>
        <w:jc w:val="both"/>
      </w:pPr>
      <w:r>
        <w:rPr>
          <w:b/>
          <w:i w:val="0"/>
          <w:sz w:val="22"/>
        </w:rPr>
        <w:t>Faza 1.4 — Proiectarea modelului de date și a corpusului de validare</w:t>
      </w:r>
    </w:p>
    <w:p>
      <w:pPr>
        <w:spacing w:after="120"/>
        <w:jc w:val="both"/>
      </w:pPr>
      <w:r>
        <w:rPr>
          <w:b w:val="0"/>
          <w:i w:val="0"/>
          <w:sz w:val="22"/>
        </w:rPr>
        <w:t>Se va proiecta schema bazei de date (C.4.3) și se va constitui corpusul de validare: 10.000 de buletine de analize reale, anonimizate, colectate cu acordul partenerilor pilot, care va servi la măsurarea obiectivă a acurateței motorului AI și a codificării LOINC pe tot parcursul proiectului.</w:t>
      </w:r>
    </w:p>
    <w:p>
      <w:pPr>
        <w:spacing w:after="40"/>
        <w:jc w:val="both"/>
      </w:pPr>
      <w:r>
        <w:rPr>
          <w:b w:val="0"/>
          <w:i/>
          <w:sz w:val="22"/>
        </w:rPr>
        <w:t>Livrabile:</w:t>
      </w:r>
    </w:p>
    <w:p>
      <w:pPr>
        <w:pStyle w:val="ListBullet"/>
        <w:spacing w:after="40"/>
        <w:jc w:val="both"/>
      </w:pPr>
      <w:r>
        <w:rPr>
          <w:sz w:val="22"/>
        </w:rPr>
        <w:t>Diagrama entitate-relație și scripturile de migrare inițiale</w:t>
      </w:r>
    </w:p>
    <w:p>
      <w:pPr>
        <w:pStyle w:val="ListBullet"/>
        <w:spacing w:after="40"/>
        <w:jc w:val="both"/>
      </w:pPr>
      <w:r>
        <w:rPr>
          <w:sz w:val="22"/>
        </w:rPr>
        <w:t>Corpus de validare anonimizat (10.000 documente) cu etichetare de referință pe un subset de 1.000</w:t>
      </w:r>
    </w:p>
    <w:p>
      <w:pPr>
        <w:spacing w:after="120"/>
        <w:jc w:val="both"/>
      </w:pPr>
      <w:r>
        <w:rPr>
          <w:b w:val="0"/>
          <w:i/>
          <w:sz w:val="22"/>
        </w:rPr>
        <w:t>Criterii de acceptanță: Corpusul acoperă ≥ 30 de laboratoare și ≥ 6 limbi diferite.</w:t>
      </w:r>
    </w:p>
    <w:p>
      <w:pPr>
        <w:pStyle w:val="Heading3"/>
      </w:pPr>
      <w:r>
        <w:rPr>
          <w:color w:val="1F3A68"/>
        </w:rPr>
        <w:t>Etapa 2 — Infrastructură cloud și DevOps (lunile 2–4)</w:t>
      </w:r>
    </w:p>
    <w:p>
      <w:pPr>
        <w:spacing w:after="120"/>
        <w:jc w:val="both"/>
      </w:pPr>
      <w:r>
        <w:rPr>
          <w:b w:val="0"/>
          <w:i w:val="0"/>
          <w:sz w:val="22"/>
        </w:rPr>
        <w:t>Etapa care industrializează livrarea: fiecare linie de cod scrisă ulterior va trece automat prin build, teste, analize de securitate și deploy controlat. Activități principale: provizionare IaC a celor trei medii; configurarea pipeline-urilor pentru ambele servicii; politici de acces cu privilegiu minim; telemetrie, alertare și gestiunea costurilor cloud de la prima zi.</w:t>
      </w:r>
    </w:p>
    <w:p>
      <w:pPr>
        <w:spacing w:after="120"/>
        <w:jc w:val="both"/>
      </w:pPr>
      <w:r>
        <w:rPr>
          <w:b/>
          <w:i w:val="0"/>
          <w:sz w:val="22"/>
        </w:rPr>
        <w:t>Faza 2.1 — Provizionarea infrastructurii cloud</w:t>
      </w:r>
    </w:p>
    <w:p>
      <w:pPr>
        <w:spacing w:after="120"/>
        <w:jc w:val="both"/>
      </w:pPr>
      <w:r>
        <w:rPr>
          <w:b w:val="0"/>
          <w:i w:val="0"/>
          <w:sz w:val="22"/>
        </w:rPr>
        <w:t>Se vor crea și configura resursele cloud: găzduire aplicație web (App Service), bază de date gestionată (Azure SQL), containere pentru microserviciul LOINC, stocare obiecte pentru documente, seif de secrete (Key Vault) și telemetrie (Application Insights). Toate mediile — dezvoltare, staging, producție — vor fi definite ca infrastructură-sub-formă-de-cod (IaC), reproductibile și auditabile.</w:t>
      </w:r>
    </w:p>
    <w:p>
      <w:pPr>
        <w:spacing w:after="40"/>
        <w:jc w:val="both"/>
      </w:pPr>
      <w:r>
        <w:rPr>
          <w:b w:val="0"/>
          <w:i/>
          <w:sz w:val="22"/>
        </w:rPr>
        <w:t>Livrabile:</w:t>
      </w:r>
    </w:p>
    <w:p>
      <w:pPr>
        <w:pStyle w:val="ListBullet"/>
        <w:spacing w:after="40"/>
        <w:jc w:val="both"/>
      </w:pPr>
      <w:r>
        <w:rPr>
          <w:sz w:val="22"/>
        </w:rPr>
        <w:t>3 medii complet provizionate prin IaC</w:t>
      </w:r>
    </w:p>
    <w:p>
      <w:pPr>
        <w:pStyle w:val="ListBullet"/>
        <w:spacing w:after="40"/>
        <w:jc w:val="both"/>
      </w:pPr>
      <w:r>
        <w:rPr>
          <w:sz w:val="22"/>
        </w:rPr>
        <w:t>Politici de acces pe principiul privilegiului minim</w:t>
      </w:r>
    </w:p>
    <w:p>
      <w:pPr>
        <w:spacing w:after="120"/>
        <w:jc w:val="both"/>
      </w:pPr>
      <w:r>
        <w:rPr>
          <w:b w:val="0"/>
          <w:i/>
          <w:sz w:val="22"/>
        </w:rPr>
        <w:t>Criterii de acceptanță: Un mediu nou poate fi recreat integral din cod în &lt; 1 oră.</w:t>
      </w:r>
    </w:p>
    <w:p>
      <w:pPr>
        <w:spacing w:after="120"/>
        <w:jc w:val="both"/>
      </w:pPr>
      <w:r>
        <w:rPr>
          <w:b/>
          <w:i w:val="0"/>
          <w:sz w:val="22"/>
        </w:rPr>
        <w:t>Faza 2.2 — Lanțul CI/CD și calitatea codului</w:t>
      </w:r>
    </w:p>
    <w:p>
      <w:pPr>
        <w:spacing w:after="120"/>
        <w:jc w:val="both"/>
      </w:pPr>
      <w:r>
        <w:rPr>
          <w:b w:val="0"/>
          <w:i w:val="0"/>
          <w:sz w:val="22"/>
        </w:rPr>
        <w:t>Se va construi pipeline-ul de integrare și livrare continuă: build automat la fiecare commit, rulare teste unitare și de integrare, analiză statică de securitate (SAST), scanare dependențe, deploy automat pe staging și deploy controlat pe producție (blue-green).</w:t>
      </w:r>
    </w:p>
    <w:p>
      <w:pPr>
        <w:spacing w:after="40"/>
        <w:jc w:val="both"/>
      </w:pPr>
      <w:r>
        <w:rPr>
          <w:b w:val="0"/>
          <w:i/>
          <w:sz w:val="22"/>
        </w:rPr>
        <w:t>Livrabile:</w:t>
      </w:r>
    </w:p>
    <w:p>
      <w:pPr>
        <w:pStyle w:val="ListBullet"/>
        <w:spacing w:after="40"/>
        <w:jc w:val="both"/>
      </w:pPr>
      <w:r>
        <w:rPr>
          <w:sz w:val="22"/>
        </w:rPr>
        <w:t>Pipeline CI/CD funcțional pentru ambele servicii (.NET și Python)</w:t>
      </w:r>
    </w:p>
    <w:p>
      <w:pPr>
        <w:pStyle w:val="ListBullet"/>
        <w:spacing w:after="40"/>
        <w:jc w:val="both"/>
      </w:pPr>
      <w:r>
        <w:rPr>
          <w:sz w:val="22"/>
        </w:rPr>
        <w:t>Praguri de calitate: build eșuează sub 70% acoperire teste</w:t>
      </w:r>
    </w:p>
    <w:p>
      <w:pPr>
        <w:spacing w:after="120"/>
        <w:jc w:val="both"/>
      </w:pPr>
      <w:r>
        <w:rPr>
          <w:b w:val="0"/>
          <w:i/>
          <w:sz w:val="22"/>
        </w:rPr>
        <w:t>Criterii de acceptanță: Timp complet de release (commit → producție) &lt; 30 minute.</w:t>
      </w:r>
    </w:p>
    <w:p>
      <w:pPr>
        <w:spacing w:after="120"/>
        <w:jc w:val="both"/>
      </w:pPr>
      <w:r>
        <w:rPr>
          <w:b/>
          <w:i w:val="0"/>
          <w:sz w:val="22"/>
        </w:rPr>
        <w:t>Faza 2.3 — Monitorizare, jurnalizare și alertare</w:t>
      </w:r>
    </w:p>
    <w:p>
      <w:pPr>
        <w:spacing w:after="120"/>
        <w:jc w:val="both"/>
      </w:pPr>
      <w:r>
        <w:rPr>
          <w:b w:val="0"/>
          <w:i w:val="0"/>
          <w:sz w:val="22"/>
        </w:rPr>
        <w:t>Se vor configura tablouri de bord operaționale (disponibilitate, latență, rată de erori, cost AI per document), jurnalizare centralizată și alerte automate pentru anomalii.</w:t>
      </w:r>
    </w:p>
    <w:p>
      <w:pPr>
        <w:spacing w:after="40"/>
        <w:jc w:val="both"/>
      </w:pPr>
      <w:r>
        <w:rPr>
          <w:b w:val="0"/>
          <w:i/>
          <w:sz w:val="22"/>
        </w:rPr>
        <w:t>Livrabile:</w:t>
      </w:r>
    </w:p>
    <w:p>
      <w:pPr>
        <w:pStyle w:val="ListBullet"/>
        <w:spacing w:after="40"/>
        <w:jc w:val="both"/>
      </w:pPr>
      <w:r>
        <w:rPr>
          <w:sz w:val="22"/>
        </w:rPr>
        <w:t>Dashboard operațional</w:t>
      </w:r>
    </w:p>
    <w:p>
      <w:pPr>
        <w:pStyle w:val="ListBullet"/>
        <w:spacing w:after="40"/>
        <w:jc w:val="both"/>
      </w:pPr>
      <w:r>
        <w:rPr>
          <w:sz w:val="22"/>
        </w:rPr>
        <w:t>Politici de alertare 24/7</w:t>
      </w:r>
    </w:p>
    <w:p>
      <w:pPr>
        <w:pStyle w:val="ListBullet"/>
        <w:spacing w:after="40"/>
        <w:jc w:val="both"/>
      </w:pPr>
      <w:r>
        <w:rPr>
          <w:sz w:val="22"/>
        </w:rPr>
        <w:t>Retenție jurnale: 90 zile operațional, 7 ani audit medical</w:t>
      </w:r>
    </w:p>
    <w:p>
      <w:pPr>
        <w:pStyle w:val="Heading3"/>
      </w:pPr>
      <w:r>
        <w:rPr>
          <w:color w:val="1F3A68"/>
        </w:rPr>
        <w:t>Etapa 3 — Nucleul platformei web (lunile 3–9)</w:t>
      </w:r>
    </w:p>
    <w:p>
      <w:pPr>
        <w:spacing w:after="120"/>
        <w:jc w:val="both"/>
      </w:pPr>
      <w:r>
        <w:rPr>
          <w:b w:val="0"/>
          <w:i w:val="0"/>
          <w:sz w:val="22"/>
        </w:rPr>
        <w:t>Etapa construiește scheletul complet al produsului vizibil utilizatorului, în șase faze livrate incremental:</w:t>
      </w:r>
    </w:p>
    <w:p>
      <w:pPr>
        <w:spacing w:after="120"/>
        <w:jc w:val="both"/>
      </w:pPr>
      <w:r>
        <w:rPr>
          <w:b/>
          <w:i w:val="0"/>
          <w:sz w:val="22"/>
        </w:rPr>
        <w:t>Faza 3.1 — Landing page publică multilingvă</w:t>
      </w:r>
    </w:p>
    <w:p>
      <w:pPr>
        <w:spacing w:after="120"/>
        <w:jc w:val="both"/>
      </w:pPr>
      <w:r>
        <w:rPr>
          <w:b w:val="0"/>
          <w:i w:val="0"/>
          <w:sz w:val="22"/>
        </w:rPr>
        <w:t>Va fi dezvoltată pagina publică de prezentare a produsului: propunerea de valoare, modul de funcționare pas cu pas, secțiunea de prețuri (freemium/premium/B2B), întrebări frecvente, pagini legale (termeni, confidențialitate, politica cookie cu consimțământ GDPR), formular de contact și lista de așteptare pentru pre-lansare. Pagina va fi optimizată SEO (date structurate, sitemap, meta multilingv) și va servi drept instrument de validare a cererii încă din luna 4.</w:t>
      </w:r>
    </w:p>
    <w:p>
      <w:pPr>
        <w:spacing w:after="40"/>
        <w:jc w:val="both"/>
      </w:pPr>
      <w:r>
        <w:rPr>
          <w:b w:val="0"/>
          <w:i/>
          <w:sz w:val="22"/>
        </w:rPr>
        <w:t>Livrabile:</w:t>
      </w:r>
    </w:p>
    <w:p>
      <w:pPr>
        <w:pStyle w:val="ListBullet"/>
        <w:spacing w:after="40"/>
        <w:jc w:val="both"/>
      </w:pPr>
      <w:r>
        <w:rPr>
          <w:sz w:val="22"/>
        </w:rPr>
        <w:t>Landing page publicată în 7 limbi</w:t>
      </w:r>
    </w:p>
    <w:p>
      <w:pPr>
        <w:pStyle w:val="ListBullet"/>
        <w:spacing w:after="40"/>
        <w:jc w:val="both"/>
      </w:pPr>
      <w:r>
        <w:rPr>
          <w:sz w:val="22"/>
        </w:rPr>
        <w:t>Mecanism de waitlist cu dublu opt-in</w:t>
      </w:r>
    </w:p>
    <w:p>
      <w:pPr>
        <w:pStyle w:val="ListBullet"/>
        <w:spacing w:after="40"/>
        <w:jc w:val="both"/>
      </w:pPr>
      <w:r>
        <w:rPr>
          <w:sz w:val="22"/>
        </w:rPr>
        <w:t>Scor Lighthouse ≥ 90 (performanță, SEO, accesibilitate)</w:t>
      </w:r>
    </w:p>
    <w:p>
      <w:pPr>
        <w:spacing w:after="120"/>
        <w:jc w:val="both"/>
      </w:pPr>
      <w:r>
        <w:rPr>
          <w:b w:val="0"/>
          <w:i/>
          <w:sz w:val="22"/>
        </w:rPr>
        <w:t>Criterii de acceptanță: ≥ 3.000 de înscrieri în waitlist până la lansarea MVP.</w:t>
      </w:r>
    </w:p>
    <w:p>
      <w:pPr>
        <w:spacing w:after="120"/>
        <w:jc w:val="both"/>
      </w:pPr>
      <w:r>
        <w:rPr>
          <w:b/>
          <w:i w:val="0"/>
          <w:sz w:val="22"/>
        </w:rPr>
        <w:t>Faza 3.2 — Modulul de înregistrare a utilizatorilor</w:t>
      </w:r>
    </w:p>
    <w:p>
      <w:pPr>
        <w:spacing w:after="120"/>
        <w:jc w:val="both"/>
      </w:pPr>
      <w:r>
        <w:rPr>
          <w:b w:val="0"/>
          <w:i w:val="0"/>
          <w:sz w:val="22"/>
        </w:rPr>
        <w:t>Va fi implementat fluxul complet de creare a contului: formular de înregistrare cu validare în timp real, verificarea adresei de e-mail prin link cu expirare, politică de parole puternice, protecție anti-bot, consimțământ GDPR explicit și granular (prelucrare date de sănătate — articolul 9 GDPR), și un flux de onboarding ghidat la prima autentificare (crearea primului profil de pacient, explicarea creditelor gratuite).</w:t>
      </w:r>
    </w:p>
    <w:p>
      <w:pPr>
        <w:spacing w:after="40"/>
        <w:jc w:val="both"/>
      </w:pPr>
      <w:r>
        <w:rPr>
          <w:b w:val="0"/>
          <w:i/>
          <w:sz w:val="22"/>
        </w:rPr>
        <w:t>Livrabile:</w:t>
      </w:r>
    </w:p>
    <w:p>
      <w:pPr>
        <w:pStyle w:val="ListBullet"/>
        <w:spacing w:after="40"/>
        <w:jc w:val="both"/>
      </w:pPr>
      <w:r>
        <w:rPr>
          <w:sz w:val="22"/>
        </w:rPr>
        <w:t>Flux de înregistrare cu verificare e-mail funcțional</w:t>
      </w:r>
    </w:p>
    <w:p>
      <w:pPr>
        <w:pStyle w:val="ListBullet"/>
        <w:spacing w:after="40"/>
        <w:jc w:val="both"/>
      </w:pPr>
      <w:r>
        <w:rPr>
          <w:sz w:val="22"/>
        </w:rPr>
        <w:t>Evidența consimțămintelor cu istoric versionat</w:t>
      </w:r>
    </w:p>
    <w:p>
      <w:pPr>
        <w:pStyle w:val="ListBullet"/>
        <w:spacing w:after="40"/>
        <w:jc w:val="both"/>
      </w:pPr>
      <w:r>
        <w:rPr>
          <w:sz w:val="22"/>
        </w:rPr>
        <w:t>Onboarding interactiv la primul login</w:t>
      </w:r>
    </w:p>
    <w:p>
      <w:pPr>
        <w:spacing w:after="120"/>
        <w:jc w:val="both"/>
      </w:pPr>
      <w:r>
        <w:rPr>
          <w:b w:val="0"/>
          <w:i/>
          <w:sz w:val="22"/>
        </w:rPr>
        <w:t>Criterii de acceptanță: Rata de finalizare a înregistrării ≥ 80% în testele de utilizabilitate.</w:t>
      </w:r>
    </w:p>
    <w:p>
      <w:pPr>
        <w:spacing w:after="120"/>
        <w:jc w:val="both"/>
      </w:pPr>
      <w:r>
        <w:rPr>
          <w:b/>
          <w:i w:val="0"/>
          <w:sz w:val="22"/>
        </w:rPr>
        <w:t>Faza 3.3 — Modulul de autentificare și gestiunea sesiunilor</w:t>
      </w:r>
    </w:p>
    <w:p>
      <w:pPr>
        <w:spacing w:after="120"/>
        <w:jc w:val="both"/>
      </w:pPr>
      <w:r>
        <w:rPr>
          <w:b w:val="0"/>
          <w:i w:val="0"/>
          <w:sz w:val="22"/>
        </w:rPr>
        <w:t>Va fi dezvoltat sistemul de autentificare: login cu e-mail și parolă (hash Argon2id, conform recomandărilor OWASP), opțiunea „ține-mă minte” (cookie persistent securizat, 30 de zile), recuperarea parolei prin e-mail cu token cu unică folosință, limitarea încercărilor eșuate (protecție brute-force), expirarea și revocarea sesiunilor, precum și fundația pentru autentificare multi-factor (TOTP) și autentificare socială, activabile ulterior.</w:t>
      </w:r>
    </w:p>
    <w:p>
      <w:pPr>
        <w:spacing w:after="40"/>
        <w:jc w:val="both"/>
      </w:pPr>
      <w:r>
        <w:rPr>
          <w:b w:val="0"/>
          <w:i/>
          <w:sz w:val="22"/>
        </w:rPr>
        <w:t>Livrabile:</w:t>
      </w:r>
    </w:p>
    <w:p>
      <w:pPr>
        <w:pStyle w:val="ListBullet"/>
        <w:spacing w:after="40"/>
        <w:jc w:val="both"/>
      </w:pPr>
      <w:r>
        <w:rPr>
          <w:sz w:val="22"/>
        </w:rPr>
        <w:t>Autentificare completă cu remember-me și resetare parolă</w:t>
      </w:r>
    </w:p>
    <w:p>
      <w:pPr>
        <w:pStyle w:val="ListBullet"/>
        <w:spacing w:after="40"/>
        <w:jc w:val="both"/>
      </w:pPr>
      <w:r>
        <w:rPr>
          <w:sz w:val="22"/>
        </w:rPr>
        <w:t>Protecție brute-force cu blocare progresivă</w:t>
      </w:r>
    </w:p>
    <w:p>
      <w:pPr>
        <w:pStyle w:val="ListBullet"/>
        <w:spacing w:after="40"/>
        <w:jc w:val="both"/>
      </w:pPr>
      <w:r>
        <w:rPr>
          <w:sz w:val="22"/>
        </w:rPr>
        <w:t>Jurnalizarea evenimentelor de autentificare în audit trail</w:t>
      </w:r>
    </w:p>
    <w:p>
      <w:pPr>
        <w:spacing w:after="120"/>
        <w:jc w:val="both"/>
      </w:pPr>
      <w:r>
        <w:rPr>
          <w:b w:val="0"/>
          <w:i/>
          <w:sz w:val="22"/>
        </w:rPr>
        <w:t>Criterii de acceptanță: 0 vulnerabilități critice la testul de penetrare pe modulul de autentificare.</w:t>
      </w:r>
    </w:p>
    <w:p>
      <w:pPr>
        <w:spacing w:after="120"/>
        <w:jc w:val="both"/>
      </w:pPr>
      <w:r>
        <w:rPr>
          <w:b/>
          <w:i w:val="0"/>
          <w:sz w:val="22"/>
        </w:rPr>
        <w:t>Faza 3.4 — Managementul profilurilor de pacient</w:t>
      </w:r>
    </w:p>
    <w:p>
      <w:pPr>
        <w:spacing w:after="120"/>
        <w:jc w:val="both"/>
      </w:pPr>
      <w:r>
        <w:rPr>
          <w:b w:val="0"/>
          <w:i w:val="0"/>
          <w:sz w:val="22"/>
        </w:rPr>
        <w:t>Utilizatorul își va putea administra profilurile de pacient (propriu + membri ai familiei, maximum 5 în tierul premium): date demografice minime (vârstă, sex — necesare intervalelelor de referință), fotografie opțională, separarea strictă a istoricului per profil și mecanisme anti-abuz la crearea profilurilor.</w:t>
      </w:r>
    </w:p>
    <w:p>
      <w:pPr>
        <w:spacing w:after="40"/>
        <w:jc w:val="both"/>
      </w:pPr>
      <w:r>
        <w:rPr>
          <w:b w:val="0"/>
          <w:i/>
          <w:sz w:val="22"/>
        </w:rPr>
        <w:t>Livrabile:</w:t>
      </w:r>
    </w:p>
    <w:p>
      <w:pPr>
        <w:pStyle w:val="ListBullet"/>
        <w:spacing w:after="40"/>
        <w:jc w:val="both"/>
      </w:pPr>
      <w:r>
        <w:rPr>
          <w:sz w:val="22"/>
        </w:rPr>
        <w:t>CRUD complet profiluri cu limite per tier</w:t>
      </w:r>
    </w:p>
    <w:p>
      <w:pPr>
        <w:pStyle w:val="ListBullet"/>
        <w:spacing w:after="40"/>
        <w:jc w:val="both"/>
      </w:pPr>
      <w:r>
        <w:rPr>
          <w:sz w:val="22"/>
        </w:rPr>
        <w:t>Izolarea datelor între profiluri</w:t>
      </w:r>
    </w:p>
    <w:p>
      <w:pPr>
        <w:spacing w:after="120"/>
        <w:jc w:val="both"/>
      </w:pPr>
      <w:r>
        <w:rPr>
          <w:b/>
          <w:i w:val="0"/>
          <w:sz w:val="22"/>
        </w:rPr>
        <w:t>Faza 3.5 — Modulul de încărcare a documentelor PDF</w:t>
      </w:r>
    </w:p>
    <w:p>
      <w:pPr>
        <w:spacing w:after="120"/>
        <w:jc w:val="both"/>
      </w:pPr>
      <w:r>
        <w:rPr>
          <w:b w:val="0"/>
          <w:i w:val="0"/>
          <w:sz w:val="22"/>
        </w:rPr>
        <w:t>Va fi construit fluxul de upload: validare client și server (dimensiune maximă 10 MB, tip MIME, semnătura binară a fișierului), încărcare pe segmente (chunked) pentru conexiuni instabile, calcularea amprentei SHA-256 pentru detectarea duplicatelor (cu opțiunea de reprocesare contra cost), verificarea soldului de credite și stocarea securizată a documentului original.</w:t>
      </w:r>
    </w:p>
    <w:p>
      <w:pPr>
        <w:spacing w:after="40"/>
        <w:jc w:val="both"/>
      </w:pPr>
      <w:r>
        <w:rPr>
          <w:b w:val="0"/>
          <w:i/>
          <w:sz w:val="22"/>
        </w:rPr>
        <w:t>Livrabile:</w:t>
      </w:r>
    </w:p>
    <w:p>
      <w:pPr>
        <w:pStyle w:val="ListBullet"/>
        <w:spacing w:after="40"/>
        <w:jc w:val="both"/>
      </w:pPr>
      <w:r>
        <w:rPr>
          <w:sz w:val="22"/>
        </w:rPr>
        <w:t>Upload robust cu validare completă și deduplicare</w:t>
      </w:r>
    </w:p>
    <w:p>
      <w:pPr>
        <w:pStyle w:val="ListBullet"/>
        <w:spacing w:after="40"/>
        <w:jc w:val="both"/>
      </w:pPr>
      <w:r>
        <w:rPr>
          <w:sz w:val="22"/>
        </w:rPr>
        <w:t>Gestionarea creditelor la nivel tranzacțional</w:t>
      </w:r>
    </w:p>
    <w:p>
      <w:pPr>
        <w:spacing w:after="120"/>
        <w:jc w:val="both"/>
      </w:pPr>
      <w:r>
        <w:rPr>
          <w:b w:val="0"/>
          <w:i/>
          <w:sz w:val="22"/>
        </w:rPr>
        <w:t>Criterii de acceptanță: Rata de eșec upload &lt; 1% pe conexiuni mobile în testare.</w:t>
      </w:r>
    </w:p>
    <w:p>
      <w:pPr>
        <w:spacing w:after="120"/>
        <w:jc w:val="both"/>
      </w:pPr>
      <w:r>
        <w:rPr>
          <w:b/>
          <w:i w:val="0"/>
          <w:sz w:val="22"/>
        </w:rPr>
        <w:t>Faza 3.6 — Dashboard-ul utilizatorului și istoricul</w:t>
      </w:r>
    </w:p>
    <w:p>
      <w:pPr>
        <w:spacing w:after="120"/>
        <w:jc w:val="both"/>
      </w:pPr>
      <w:r>
        <w:rPr>
          <w:b w:val="0"/>
          <w:i w:val="0"/>
          <w:sz w:val="22"/>
        </w:rPr>
        <w:t>Va fi dezvoltat panoul principal al utilizatorului: lista interpretărilor cu status vizual per document, filtrare pe profil și perioadă, vizualizarea detaliată a fiecărui raport, graficele de evoluție multi-vizită per parametru (pe baza codurilor LOINC — același analit este recunoscut indiferent de laboratorul emitent) și gestiunea soldului de credite.</w:t>
      </w:r>
    </w:p>
    <w:p>
      <w:pPr>
        <w:spacing w:after="40"/>
        <w:jc w:val="both"/>
      </w:pPr>
      <w:r>
        <w:rPr>
          <w:b w:val="0"/>
          <w:i/>
          <w:sz w:val="22"/>
        </w:rPr>
        <w:t>Livrabile:</w:t>
      </w:r>
    </w:p>
    <w:p>
      <w:pPr>
        <w:pStyle w:val="ListBullet"/>
        <w:spacing w:after="40"/>
        <w:jc w:val="both"/>
      </w:pPr>
      <w:r>
        <w:rPr>
          <w:sz w:val="22"/>
        </w:rPr>
        <w:t>Dashboard funcțional cu istoric și filtre</w:t>
      </w:r>
    </w:p>
    <w:p>
      <w:pPr>
        <w:pStyle w:val="ListBullet"/>
        <w:spacing w:after="40"/>
        <w:jc w:val="both"/>
      </w:pPr>
      <w:r>
        <w:rPr>
          <w:sz w:val="22"/>
        </w:rPr>
        <w:t>Grafice de evoluție temporală per analit (LOINC-based)</w:t>
      </w:r>
    </w:p>
    <w:p>
      <w:pPr>
        <w:spacing w:after="120"/>
        <w:jc w:val="both"/>
      </w:pPr>
      <w:r>
        <w:rPr>
          <w:b w:val="0"/>
          <w:i/>
          <w:sz w:val="22"/>
        </w:rPr>
        <w:t>Criterii de acceptanță: Timp de încărcare dashboard &lt; 2 secunde la 1.000 de înregistrări.</w:t>
      </w:r>
    </w:p>
    <w:p>
      <w:pPr>
        <w:pStyle w:val="Heading3"/>
      </w:pPr>
      <w:r>
        <w:rPr>
          <w:color w:val="1F3A68"/>
        </w:rPr>
        <w:t>Etapa 4 — Motorul AI de extragere și interpretare (lunile 5–11)</w:t>
      </w:r>
    </w:p>
    <w:p>
      <w:pPr>
        <w:spacing w:after="120"/>
        <w:jc w:val="both"/>
      </w:pPr>
      <w:r>
        <w:rPr>
          <w:b w:val="0"/>
          <w:i w:val="0"/>
          <w:sz w:val="22"/>
        </w:rPr>
        <w:t>Etapa cu cea mai mare încărcătură de inovație: aici se construiește capacitatea platformei de a citi orice buletin și de a-l explica pacientului. Activități principale: integrarea LLM multimodal cu dublu canal (PDF + text); promptul ierarhic pe patru niveluri; schema strictă de răspuns și escaladarea adaptivă; validatorul determinist; auditorul de completitudine; interpretarea narativă multilingvă cu validare medicală — totul măsurat continuu pe corpusul de 10.000 de documente.</w:t>
      </w:r>
    </w:p>
    <w:p>
      <w:pPr>
        <w:spacing w:after="120"/>
        <w:jc w:val="both"/>
      </w:pPr>
      <w:r>
        <w:rPr>
          <w:b/>
          <w:i w:val="0"/>
          <w:sz w:val="22"/>
        </w:rPr>
        <w:t>Faza 4.1 — Integrarea modelului LLM multimodal</w:t>
      </w:r>
    </w:p>
    <w:p>
      <w:pPr>
        <w:spacing w:after="120"/>
        <w:jc w:val="both"/>
      </w:pPr>
      <w:r>
        <w:rPr>
          <w:b w:val="0"/>
          <w:i w:val="0"/>
          <w:sz w:val="22"/>
        </w:rPr>
        <w:t>Va fi implementat serviciul de interpretare (C.4.2-A): apelul multimodal către modelul AI cu documentul PDF și textul extras în paralel (dublu canal pentru robustețe), promptul ierarhic pe patru niveluri și gestionarea limitelor de rată și a erorilor tranzitorii.</w:t>
      </w:r>
    </w:p>
    <w:p>
      <w:pPr>
        <w:spacing w:after="40"/>
        <w:jc w:val="both"/>
      </w:pPr>
      <w:r>
        <w:rPr>
          <w:b w:val="0"/>
          <w:i/>
          <w:sz w:val="22"/>
        </w:rPr>
        <w:t>Livrabile:</w:t>
      </w:r>
    </w:p>
    <w:p>
      <w:pPr>
        <w:pStyle w:val="ListBullet"/>
        <w:spacing w:after="40"/>
        <w:jc w:val="both"/>
      </w:pPr>
      <w:r>
        <w:rPr>
          <w:sz w:val="22"/>
        </w:rPr>
        <w:t>Serviciu de interpretare funcțional pe corpusul de validare</w:t>
      </w:r>
    </w:p>
    <w:p>
      <w:pPr>
        <w:pStyle w:val="ListBullet"/>
        <w:spacing w:after="40"/>
        <w:jc w:val="both"/>
      </w:pPr>
      <w:r>
        <w:rPr>
          <w:sz w:val="22"/>
        </w:rPr>
        <w:t>Jurnalizarea completă a consumului (tokeni, latență, model)</w:t>
      </w:r>
    </w:p>
    <w:p>
      <w:pPr>
        <w:spacing w:after="120"/>
        <w:jc w:val="both"/>
      </w:pPr>
      <w:r>
        <w:rPr>
          <w:b w:val="0"/>
          <w:i/>
          <w:sz w:val="22"/>
        </w:rPr>
        <w:t>Criterii de acceptanță: Extragere reușită pe ≥ 90% din corpus încă din prima iterație.</w:t>
      </w:r>
    </w:p>
    <w:p>
      <w:pPr>
        <w:spacing w:after="120"/>
        <w:jc w:val="both"/>
      </w:pPr>
      <w:r>
        <w:rPr>
          <w:b/>
          <w:i w:val="0"/>
          <w:sz w:val="22"/>
        </w:rPr>
        <w:t>Faza 4.2 — Ieșire structurată și reparare JSON</w:t>
      </w:r>
    </w:p>
    <w:p>
      <w:pPr>
        <w:spacing w:after="120"/>
        <w:jc w:val="both"/>
      </w:pPr>
      <w:r>
        <w:rPr>
          <w:b w:val="0"/>
          <w:i w:val="0"/>
          <w:sz w:val="22"/>
        </w:rPr>
        <w:t>Se va impune schema strictă de răspuns (structured output / response schema) pentru eliminarea răspunsurilor malformate, completată cu un reparator tolerant pentru cazurile-limită și cu escaladarea adaptivă către modelul superior la eșec repetat (tier promotion).</w:t>
      </w:r>
    </w:p>
    <w:p>
      <w:pPr>
        <w:spacing w:after="40"/>
        <w:jc w:val="both"/>
      </w:pPr>
      <w:r>
        <w:rPr>
          <w:b w:val="0"/>
          <w:i/>
          <w:sz w:val="22"/>
        </w:rPr>
        <w:t>Livrabile:</w:t>
      </w:r>
    </w:p>
    <w:p>
      <w:pPr>
        <w:pStyle w:val="ListBullet"/>
        <w:spacing w:after="40"/>
        <w:jc w:val="both"/>
      </w:pPr>
      <w:r>
        <w:rPr>
          <w:sz w:val="22"/>
        </w:rPr>
        <w:t>Schemă de răspuns versionată</w:t>
      </w:r>
    </w:p>
    <w:p>
      <w:pPr>
        <w:pStyle w:val="ListBullet"/>
        <w:spacing w:after="40"/>
        <w:jc w:val="both"/>
      </w:pPr>
      <w:r>
        <w:rPr>
          <w:sz w:val="22"/>
        </w:rPr>
        <w:t>Mecanism de escaladare configurabil</w:t>
      </w:r>
    </w:p>
    <w:p>
      <w:pPr>
        <w:spacing w:after="120"/>
        <w:jc w:val="both"/>
      </w:pPr>
      <w:r>
        <w:rPr>
          <w:b w:val="0"/>
          <w:i/>
          <w:sz w:val="22"/>
        </w:rPr>
        <w:t>Criterii de acceptanță: Rata de răspunsuri neprocesabile &lt; 0,5%.</w:t>
      </w:r>
    </w:p>
    <w:p>
      <w:pPr>
        <w:spacing w:after="120"/>
        <w:jc w:val="both"/>
      </w:pPr>
      <w:r>
        <w:rPr>
          <w:b/>
          <w:i w:val="0"/>
          <w:sz w:val="22"/>
        </w:rPr>
        <w:t>Faza 4.3 — Validatorul clinic determinist</w:t>
      </w:r>
    </w:p>
    <w:p>
      <w:pPr>
        <w:spacing w:after="120"/>
        <w:jc w:val="both"/>
      </w:pPr>
      <w:r>
        <w:rPr>
          <w:b w:val="0"/>
          <w:i w:val="0"/>
          <w:sz w:val="22"/>
        </w:rPr>
        <w:t>Va fi dezvoltat validatorul descris la C.4.2-C: parsarea a peste 20 de formate de intervale de referință și recalcularea deterministă a statusului clinic, cu prevalență asupra statusului emis de AI.</w:t>
      </w:r>
    </w:p>
    <w:p>
      <w:pPr>
        <w:spacing w:after="40"/>
        <w:jc w:val="both"/>
      </w:pPr>
      <w:r>
        <w:rPr>
          <w:b w:val="0"/>
          <w:i/>
          <w:sz w:val="22"/>
        </w:rPr>
        <w:t>Livrabile:</w:t>
      </w:r>
    </w:p>
    <w:p>
      <w:pPr>
        <w:pStyle w:val="ListBullet"/>
        <w:spacing w:after="40"/>
        <w:jc w:val="both"/>
      </w:pPr>
      <w:r>
        <w:rPr>
          <w:sz w:val="22"/>
        </w:rPr>
        <w:t>Bibliotecă de parsare intervale cu suită de teste dedicată</w:t>
      </w:r>
    </w:p>
    <w:p>
      <w:pPr>
        <w:pStyle w:val="ListBullet"/>
        <w:spacing w:after="40"/>
        <w:jc w:val="both"/>
      </w:pPr>
      <w:r>
        <w:rPr>
          <w:sz w:val="22"/>
        </w:rPr>
        <w:t>Raport de discordanțe AI vs. determinist pe corpus</w:t>
      </w:r>
    </w:p>
    <w:p>
      <w:pPr>
        <w:spacing w:after="120"/>
        <w:jc w:val="both"/>
      </w:pPr>
      <w:r>
        <w:rPr>
          <w:b w:val="0"/>
          <w:i/>
          <w:sz w:val="22"/>
        </w:rPr>
        <w:t>Criterii de acceptanță: Acuratețea statusului ≥ 99% pe subsetul etichetat de referință.</w:t>
      </w:r>
    </w:p>
    <w:p>
      <w:pPr>
        <w:spacing w:after="120"/>
        <w:jc w:val="both"/>
      </w:pPr>
      <w:r>
        <w:rPr>
          <w:b/>
          <w:i w:val="0"/>
          <w:sz w:val="22"/>
        </w:rPr>
        <w:t>Faza 4.4 — Auditorul de completitudine</w:t>
      </w:r>
    </w:p>
    <w:p>
      <w:pPr>
        <w:spacing w:after="120"/>
        <w:jc w:val="both"/>
      </w:pPr>
      <w:r>
        <w:rPr>
          <w:b w:val="0"/>
          <w:i w:val="0"/>
          <w:sz w:val="22"/>
        </w:rPr>
        <w:t>Va fi implementat mecanismul de auto-audit (C.4.2-D) cu prag de 95% și reprocesare automată controlată.</w:t>
      </w:r>
    </w:p>
    <w:p>
      <w:pPr>
        <w:spacing w:after="40"/>
        <w:jc w:val="both"/>
      </w:pPr>
      <w:r>
        <w:rPr>
          <w:b w:val="0"/>
          <w:i/>
          <w:sz w:val="22"/>
        </w:rPr>
        <w:t>Livrabile:</w:t>
      </w:r>
    </w:p>
    <w:p>
      <w:pPr>
        <w:pStyle w:val="ListBullet"/>
        <w:spacing w:after="40"/>
        <w:jc w:val="both"/>
      </w:pPr>
      <w:r>
        <w:rPr>
          <w:sz w:val="22"/>
        </w:rPr>
        <w:t>Auditor configurabil integrat în fluxul de procesare</w:t>
      </w:r>
    </w:p>
    <w:p>
      <w:pPr>
        <w:spacing w:after="120"/>
        <w:jc w:val="both"/>
      </w:pPr>
      <w:r>
        <w:rPr>
          <w:b w:val="0"/>
          <w:i/>
          <w:sz w:val="22"/>
        </w:rPr>
        <w:t>Criterii de acceptanță: Completitudine medie ≥ 95% pe corpusul de validare.</w:t>
      </w:r>
    </w:p>
    <w:p>
      <w:pPr>
        <w:spacing w:after="120"/>
        <w:jc w:val="both"/>
      </w:pPr>
      <w:r>
        <w:rPr>
          <w:b/>
          <w:i w:val="0"/>
          <w:sz w:val="22"/>
        </w:rPr>
        <w:t>Faza 4.5 — Interpretarea narativă multilingvă</w:t>
      </w:r>
    </w:p>
    <w:p>
      <w:pPr>
        <w:spacing w:after="120"/>
        <w:jc w:val="both"/>
      </w:pPr>
      <w:r>
        <w:rPr>
          <w:b w:val="0"/>
          <w:i w:val="0"/>
          <w:sz w:val="22"/>
        </w:rPr>
        <w:t>Va fi dezvoltată generarea explicațiilor în limbaj accesibil: rezumat general, explicație per analit modificat, semnale de atenționare fără caracter de diagnostic, recomandarea consultului medical — în limba selectată de utilizator (7 limbi la MVP), cu revizuire medicală a șabloanelor de ton și a delimitărilor etice.</w:t>
      </w:r>
    </w:p>
    <w:p>
      <w:pPr>
        <w:spacing w:after="40"/>
        <w:jc w:val="both"/>
      </w:pPr>
      <w:r>
        <w:rPr>
          <w:b w:val="0"/>
          <w:i/>
          <w:sz w:val="22"/>
        </w:rPr>
        <w:t>Livrabile:</w:t>
      </w:r>
    </w:p>
    <w:p>
      <w:pPr>
        <w:pStyle w:val="ListBullet"/>
        <w:spacing w:after="40"/>
        <w:jc w:val="both"/>
      </w:pPr>
      <w:r>
        <w:rPr>
          <w:sz w:val="22"/>
        </w:rPr>
        <w:t>Interpretare narativă validată medical în 7 limbi</w:t>
      </w:r>
    </w:p>
    <w:p>
      <w:pPr>
        <w:pStyle w:val="ListBullet"/>
        <w:spacing w:after="40"/>
        <w:jc w:val="both"/>
      </w:pPr>
      <w:r>
        <w:rPr>
          <w:sz w:val="22"/>
        </w:rPr>
        <w:t>Ghid etic de exprimare aprobat de consultantul medical</w:t>
      </w:r>
    </w:p>
    <w:p>
      <w:pPr>
        <w:spacing w:after="120"/>
        <w:jc w:val="both"/>
      </w:pPr>
      <w:r>
        <w:rPr>
          <w:b w:val="0"/>
          <w:i/>
          <w:sz w:val="22"/>
        </w:rPr>
        <w:t>Criterii de acceptanță: Evaluare orb de către 3 medici: ≥ 90% dintre interpretări corecte și adecvate.</w:t>
      </w:r>
    </w:p>
    <w:p>
      <w:pPr>
        <w:pStyle w:val="Heading3"/>
      </w:pPr>
      <w:r>
        <w:rPr>
          <w:color w:val="1F3A68"/>
        </w:rPr>
        <w:t>Etapa 5 — Microserviciul de codificare LOINC (lunile 6–12)</w:t>
      </w:r>
    </w:p>
    <w:p>
      <w:pPr>
        <w:spacing w:after="120"/>
        <w:jc w:val="both"/>
      </w:pPr>
      <w:r>
        <w:rPr>
          <w:b w:val="0"/>
          <w:i w:val="0"/>
          <w:sz w:val="22"/>
        </w:rPr>
        <w:t>Etapa care construiește diferențiatorul tehnologic central (C.2.2-1). Activități principale: licențierea și importul nomenclatorului; pre-calcularea indexului semantic; dezvoltarea celor patru straturi de potrivire; construirea și validarea medicală a dicționarului de ancore; calibrarea iterativă a ponderilor; suita de regresie cu gard de calitate în CI; integrarea end-to-end cu platforma.</w:t>
      </w:r>
    </w:p>
    <w:p>
      <w:pPr>
        <w:spacing w:after="120"/>
        <w:jc w:val="both"/>
      </w:pPr>
      <w:r>
        <w:rPr>
          <w:b/>
          <w:i w:val="0"/>
          <w:sz w:val="22"/>
        </w:rPr>
        <w:t>Faza 5.1 — Corpusul LOINC și indexul semantic</w:t>
      </w:r>
    </w:p>
    <w:p>
      <w:pPr>
        <w:spacing w:after="120"/>
        <w:jc w:val="both"/>
      </w:pPr>
      <w:r>
        <w:rPr>
          <w:b w:val="0"/>
          <w:i w:val="0"/>
          <w:sz w:val="22"/>
        </w:rPr>
        <w:t>Se va licenția și importa nomenclatorul LOINC (~97.000 intrări), se vor pre-calcula embeddings-urile semantice pentru toate denumirile și se va construi indexul de căutare vectorială cu încărcare la pornirea serviciului.</w:t>
      </w:r>
    </w:p>
    <w:p>
      <w:pPr>
        <w:spacing w:after="40"/>
        <w:jc w:val="both"/>
      </w:pPr>
      <w:r>
        <w:rPr>
          <w:b w:val="0"/>
          <w:i/>
          <w:sz w:val="22"/>
        </w:rPr>
        <w:t>Livrabile:</w:t>
      </w:r>
    </w:p>
    <w:p>
      <w:pPr>
        <w:pStyle w:val="ListBullet"/>
        <w:spacing w:after="40"/>
        <w:jc w:val="both"/>
      </w:pPr>
      <w:r>
        <w:rPr>
          <w:sz w:val="22"/>
        </w:rPr>
        <w:t>Bază LOINC importată și versionată</w:t>
      </w:r>
    </w:p>
    <w:p>
      <w:pPr>
        <w:pStyle w:val="ListBullet"/>
        <w:spacing w:after="40"/>
        <w:jc w:val="both"/>
      </w:pPr>
      <w:r>
        <w:rPr>
          <w:sz w:val="22"/>
        </w:rPr>
        <w:t>Index semantic pre-calculat, timp de căutare &lt; 50 ms</w:t>
      </w:r>
    </w:p>
    <w:p>
      <w:pPr>
        <w:spacing w:after="120"/>
        <w:jc w:val="both"/>
      </w:pPr>
      <w:r>
        <w:rPr>
          <w:b/>
          <w:i w:val="0"/>
          <w:sz w:val="22"/>
        </w:rPr>
        <w:t>Faza 5.2 — Pipeline-ul hibrid de potrivire</w:t>
      </w:r>
    </w:p>
    <w:p>
      <w:pPr>
        <w:spacing w:after="120"/>
        <w:jc w:val="both"/>
      </w:pPr>
      <w:r>
        <w:rPr>
          <w:b w:val="0"/>
          <w:i w:val="0"/>
          <w:sz w:val="22"/>
        </w:rPr>
        <w:t>Vor fi dezvoltate cele patru straturi (ancore deterministe, semantic, fuzzy, reguli contextuale) și corecția unit-aware, cu modelul de ponderare 0,60/0,25/0,15 calibrat iterativ pe corpusul de validare. Dicționarul de ancore va fi construit și validat medical pentru analiții care acoperă ≈ 95% din volumul real de determinări.</w:t>
      </w:r>
    </w:p>
    <w:p>
      <w:pPr>
        <w:spacing w:after="40"/>
        <w:jc w:val="both"/>
      </w:pPr>
      <w:r>
        <w:rPr>
          <w:b w:val="0"/>
          <w:i/>
          <w:sz w:val="22"/>
        </w:rPr>
        <w:t>Livrabile:</w:t>
      </w:r>
    </w:p>
    <w:p>
      <w:pPr>
        <w:pStyle w:val="ListBullet"/>
        <w:spacing w:after="40"/>
        <w:jc w:val="both"/>
      </w:pPr>
      <w:r>
        <w:rPr>
          <w:sz w:val="22"/>
        </w:rPr>
        <w:t>Pipeline complet cu scor de încredere și sursă a deciziei</w:t>
      </w:r>
    </w:p>
    <w:p>
      <w:pPr>
        <w:pStyle w:val="ListBullet"/>
        <w:spacing w:after="40"/>
        <w:jc w:val="both"/>
      </w:pPr>
      <w:r>
        <w:rPr>
          <w:sz w:val="22"/>
        </w:rPr>
        <w:t>Dicționar de ancore validat medical (≥ 500 intrări)</w:t>
      </w:r>
    </w:p>
    <w:p>
      <w:pPr>
        <w:spacing w:after="120"/>
        <w:jc w:val="both"/>
      </w:pPr>
      <w:r>
        <w:rPr>
          <w:b w:val="0"/>
          <w:i/>
          <w:sz w:val="22"/>
        </w:rPr>
        <w:t>Criterii de acceptanță: Precizie ≥ 96% pe eșantionul de validare de 10.000 rapoarte.</w:t>
      </w:r>
    </w:p>
    <w:p>
      <w:pPr>
        <w:spacing w:after="120"/>
        <w:jc w:val="both"/>
      </w:pPr>
      <w:r>
        <w:rPr>
          <w:b/>
          <w:i w:val="0"/>
          <w:sz w:val="22"/>
        </w:rPr>
        <w:t>Faza 5.3 — API-ul REST și integrarea cu platforma</w:t>
      </w:r>
    </w:p>
    <w:p>
      <w:pPr>
        <w:spacing w:after="120"/>
        <w:jc w:val="both"/>
      </w:pPr>
      <w:r>
        <w:rPr>
          <w:b w:val="0"/>
          <w:i w:val="0"/>
          <w:sz w:val="22"/>
        </w:rPr>
        <w:t>Microserviciul va expune endpoint-ul de potrivire (POST /loinc/match), iar platforma .NET va integra clientul rezilient (C.4.2-E) cu apeluri paralele per analit.</w:t>
      </w:r>
    </w:p>
    <w:p>
      <w:pPr>
        <w:spacing w:after="40"/>
        <w:jc w:val="both"/>
      </w:pPr>
      <w:r>
        <w:rPr>
          <w:b w:val="0"/>
          <w:i/>
          <w:sz w:val="22"/>
        </w:rPr>
        <w:t>Livrabile:</w:t>
      </w:r>
    </w:p>
    <w:p>
      <w:pPr>
        <w:pStyle w:val="ListBullet"/>
        <w:spacing w:after="40"/>
        <w:jc w:val="both"/>
      </w:pPr>
      <w:r>
        <w:rPr>
          <w:sz w:val="22"/>
        </w:rPr>
        <w:t>Contract OpenAPI publicat</w:t>
      </w:r>
    </w:p>
    <w:p>
      <w:pPr>
        <w:pStyle w:val="ListBullet"/>
        <w:spacing w:after="40"/>
        <w:jc w:val="both"/>
      </w:pPr>
      <w:r>
        <w:rPr>
          <w:sz w:val="22"/>
        </w:rPr>
        <w:t>Integrare end-to-end funcțională</w:t>
      </w:r>
    </w:p>
    <w:p>
      <w:pPr>
        <w:spacing w:after="120"/>
        <w:jc w:val="both"/>
      </w:pPr>
      <w:r>
        <w:rPr>
          <w:b w:val="0"/>
          <w:i/>
          <w:sz w:val="22"/>
        </w:rPr>
        <w:t>Criterii de acceptanță: Codificarea completă a unui buletin mediu (25 analiți) &lt; 3 secunde.</w:t>
      </w:r>
    </w:p>
    <w:p>
      <w:pPr>
        <w:spacing w:after="120"/>
        <w:jc w:val="both"/>
      </w:pPr>
      <w:r>
        <w:rPr>
          <w:b/>
          <w:i w:val="0"/>
          <w:sz w:val="22"/>
        </w:rPr>
        <w:t>Faza 5.4 — Suita de regresie și calibrarea continuă</w:t>
      </w:r>
    </w:p>
    <w:p>
      <w:pPr>
        <w:spacing w:after="120"/>
        <w:jc w:val="both"/>
      </w:pPr>
      <w:r>
        <w:rPr>
          <w:b w:val="0"/>
          <w:i w:val="0"/>
          <w:sz w:val="22"/>
        </w:rPr>
        <w:t>Va fi construită o suită automată de regresie pe cazuri reale adnotate, rulată la fiecare modificare a pipeline-ului, cu raport de precizie per categorie de analit; ponderile și regulile se recalibrează doar cu dovada îmbunătățirii globale.</w:t>
      </w:r>
    </w:p>
    <w:p>
      <w:pPr>
        <w:spacing w:after="40"/>
        <w:jc w:val="both"/>
      </w:pPr>
      <w:r>
        <w:rPr>
          <w:b w:val="0"/>
          <w:i/>
          <w:sz w:val="22"/>
        </w:rPr>
        <w:t>Livrabile:</w:t>
      </w:r>
    </w:p>
    <w:p>
      <w:pPr>
        <w:pStyle w:val="ListBullet"/>
        <w:spacing w:after="40"/>
        <w:jc w:val="both"/>
      </w:pPr>
      <w:r>
        <w:rPr>
          <w:sz w:val="22"/>
        </w:rPr>
        <w:t>Suită de regresie automată în CI</w:t>
      </w:r>
    </w:p>
    <w:p>
      <w:pPr>
        <w:pStyle w:val="ListBullet"/>
        <w:spacing w:after="40"/>
        <w:jc w:val="both"/>
      </w:pPr>
      <w:r>
        <w:rPr>
          <w:sz w:val="22"/>
        </w:rPr>
        <w:t>Raport de acuratețe per versiune</w:t>
      </w:r>
    </w:p>
    <w:p>
      <w:pPr>
        <w:spacing w:after="120"/>
        <w:jc w:val="both"/>
      </w:pPr>
      <w:r>
        <w:rPr>
          <w:b w:val="0"/>
          <w:i/>
          <w:sz w:val="22"/>
        </w:rPr>
        <w:t>Criterii de acceptanță: Nicio versiune nouă nu scade precizia globală (gard de regresie).</w:t>
      </w:r>
    </w:p>
    <w:p>
      <w:pPr>
        <w:pStyle w:val="Heading3"/>
      </w:pPr>
      <w:r>
        <w:rPr>
          <w:color w:val="1F3A68"/>
        </w:rPr>
        <w:t>Etapa 6 — Raportare și comunicare (lunile 8–12)</w:t>
      </w:r>
    </w:p>
    <w:p>
      <w:pPr>
        <w:spacing w:after="120"/>
        <w:jc w:val="both"/>
      </w:pPr>
      <w:r>
        <w:rPr>
          <w:b/>
          <w:i w:val="0"/>
          <w:sz w:val="22"/>
        </w:rPr>
        <w:t>Faza 6.1 — Generatorul de rapoarte PDF</w:t>
      </w:r>
    </w:p>
    <w:p>
      <w:pPr>
        <w:spacing w:after="120"/>
        <w:jc w:val="both"/>
      </w:pPr>
      <w:r>
        <w:rPr>
          <w:b w:val="0"/>
          <w:i w:val="0"/>
          <w:sz w:val="22"/>
        </w:rPr>
        <w:t>Va fi dezvoltat raportul PDF final (C.4.2-F): grupare pe panele, statusuri vizuale, coduri LOINC, metadate inline, variantă freemium cu mascare și variantă premium completă, în toate limbile active.</w:t>
      </w:r>
    </w:p>
    <w:p>
      <w:pPr>
        <w:spacing w:after="40"/>
        <w:jc w:val="both"/>
      </w:pPr>
      <w:r>
        <w:rPr>
          <w:b w:val="0"/>
          <w:i/>
          <w:sz w:val="22"/>
        </w:rPr>
        <w:t>Livrabile:</w:t>
      </w:r>
    </w:p>
    <w:p>
      <w:pPr>
        <w:pStyle w:val="ListBullet"/>
        <w:spacing w:after="40"/>
        <w:jc w:val="both"/>
      </w:pPr>
      <w:r>
        <w:rPr>
          <w:sz w:val="22"/>
        </w:rPr>
        <w:t>Șablon PDF profesional multilingv</w:t>
      </w:r>
    </w:p>
    <w:p>
      <w:pPr>
        <w:pStyle w:val="ListBullet"/>
        <w:spacing w:after="40"/>
        <w:jc w:val="both"/>
      </w:pPr>
      <w:r>
        <w:rPr>
          <w:sz w:val="22"/>
        </w:rPr>
        <w:t>Generare &lt; 500 ms per raport</w:t>
      </w:r>
    </w:p>
    <w:p>
      <w:pPr>
        <w:spacing w:after="120"/>
        <w:jc w:val="both"/>
      </w:pPr>
      <w:r>
        <w:rPr>
          <w:b/>
          <w:i w:val="0"/>
          <w:sz w:val="22"/>
        </w:rPr>
        <w:t>Faza 6.2 — Notificări e-mail tranzacționale</w:t>
      </w:r>
    </w:p>
    <w:p>
      <w:pPr>
        <w:spacing w:after="120"/>
        <w:jc w:val="both"/>
      </w:pPr>
      <w:r>
        <w:rPr>
          <w:b w:val="0"/>
          <w:i w:val="0"/>
          <w:sz w:val="22"/>
        </w:rPr>
        <w:t>Vor fi implementate e-mailurile tranzacționale (verificare cont, resetare parolă, raport finalizat, sold credite) printr-un relay SMTP dedicat, cu șabloane localizate și trimitere asincronă, fără blocarea experienței utilizatorului.</w:t>
      </w:r>
    </w:p>
    <w:p>
      <w:pPr>
        <w:spacing w:after="40"/>
        <w:jc w:val="both"/>
      </w:pPr>
      <w:r>
        <w:rPr>
          <w:b w:val="0"/>
          <w:i/>
          <w:sz w:val="22"/>
        </w:rPr>
        <w:t>Livrabile:</w:t>
      </w:r>
    </w:p>
    <w:p>
      <w:pPr>
        <w:pStyle w:val="ListBullet"/>
        <w:spacing w:after="40"/>
        <w:jc w:val="both"/>
      </w:pPr>
      <w:r>
        <w:rPr>
          <w:sz w:val="22"/>
        </w:rPr>
        <w:t>Set complet de șabloane e-mail în limbile active</w:t>
      </w:r>
    </w:p>
    <w:p>
      <w:pPr>
        <w:pStyle w:val="ListBullet"/>
        <w:spacing w:after="40"/>
        <w:jc w:val="both"/>
      </w:pPr>
      <w:r>
        <w:rPr>
          <w:sz w:val="22"/>
        </w:rPr>
        <w:t>Coadă de trimitere asincronă cu reîncercare</w:t>
      </w:r>
    </w:p>
    <w:p>
      <w:pPr>
        <w:spacing w:after="120"/>
        <w:jc w:val="both"/>
      </w:pPr>
      <w:r>
        <w:rPr>
          <w:b/>
          <w:i w:val="0"/>
          <w:sz w:val="22"/>
        </w:rPr>
        <w:t>Faza 6.3 — Exportul interoperabil HL7 FHIR</w:t>
      </w:r>
    </w:p>
    <w:p>
      <w:pPr>
        <w:spacing w:after="120"/>
        <w:jc w:val="both"/>
      </w:pPr>
      <w:r>
        <w:rPr>
          <w:b w:val="0"/>
          <w:i w:val="0"/>
          <w:sz w:val="22"/>
        </w:rPr>
        <w:t>Va fi dezvoltat exportul rezultatelor în format HL7 FHIR (Observation cu coduri LOINC, DiagnosticReport, Patient) — fundamentul integrărilor B2B și al conformității EHDS.</w:t>
      </w:r>
    </w:p>
    <w:p>
      <w:pPr>
        <w:spacing w:after="40"/>
        <w:jc w:val="both"/>
      </w:pPr>
      <w:r>
        <w:rPr>
          <w:b w:val="0"/>
          <w:i/>
          <w:sz w:val="22"/>
        </w:rPr>
        <w:t>Livrabile:</w:t>
      </w:r>
    </w:p>
    <w:p>
      <w:pPr>
        <w:pStyle w:val="ListBullet"/>
        <w:spacing w:after="40"/>
        <w:jc w:val="both"/>
      </w:pPr>
      <w:r>
        <w:rPr>
          <w:sz w:val="22"/>
        </w:rPr>
        <w:t>Export FHIR validat cu instrumente oficiale de conformitate</w:t>
      </w:r>
    </w:p>
    <w:p>
      <w:pPr>
        <w:spacing w:after="120"/>
        <w:jc w:val="both"/>
      </w:pPr>
      <w:r>
        <w:rPr>
          <w:b w:val="0"/>
          <w:i/>
          <w:sz w:val="22"/>
        </w:rPr>
        <w:t>Criterii de acceptanță: Resursele generate trec 100% validarea de profil FHIR.</w:t>
      </w:r>
    </w:p>
    <w:p>
      <w:pPr>
        <w:pStyle w:val="Heading3"/>
      </w:pPr>
      <w:r>
        <w:rPr>
          <w:color w:val="1F3A68"/>
        </w:rPr>
        <w:t>Etapa 7 — Localizare multilingvă (lunile 8–14)</w:t>
      </w:r>
    </w:p>
    <w:p>
      <w:pPr>
        <w:spacing w:after="120"/>
        <w:jc w:val="both"/>
      </w:pPr>
      <w:r>
        <w:rPr>
          <w:b/>
          <w:i w:val="0"/>
          <w:sz w:val="22"/>
        </w:rPr>
        <w:t>Faza 7.1 — Infrastructura de localizare</w:t>
      </w:r>
    </w:p>
    <w:p>
      <w:pPr>
        <w:spacing w:after="120"/>
        <w:jc w:val="both"/>
      </w:pPr>
      <w:r>
        <w:rPr>
          <w:b w:val="0"/>
          <w:i w:val="0"/>
          <w:sz w:val="22"/>
        </w:rPr>
        <w:t>Va fi construit sistemul de resurse lingvistice partiționat pe limbă (interfață, e-mailuri, PDF, mesaje de eroare), cu proces de traducere gestionat prin platformă dedicată și cu detectarea automată a limbii preferate.</w:t>
      </w:r>
    </w:p>
    <w:p>
      <w:pPr>
        <w:spacing w:after="40"/>
        <w:jc w:val="both"/>
      </w:pPr>
      <w:r>
        <w:rPr>
          <w:b w:val="0"/>
          <w:i/>
          <w:sz w:val="22"/>
        </w:rPr>
        <w:t>Livrabile:</w:t>
      </w:r>
    </w:p>
    <w:p>
      <w:pPr>
        <w:pStyle w:val="ListBullet"/>
        <w:spacing w:after="40"/>
        <w:jc w:val="both"/>
      </w:pPr>
      <w:r>
        <w:rPr>
          <w:sz w:val="22"/>
        </w:rPr>
        <w:t>Sistem de localizare cu acoperire 100% a șirurilor</w:t>
      </w:r>
    </w:p>
    <w:p>
      <w:pPr>
        <w:pStyle w:val="ListBullet"/>
        <w:spacing w:after="40"/>
        <w:jc w:val="both"/>
      </w:pPr>
      <w:r>
        <w:rPr>
          <w:sz w:val="22"/>
        </w:rPr>
        <w:t>7 limbi active la MVP: română, engleză, franceză, germană, spaniolă, italiană, maghiară</w:t>
      </w:r>
    </w:p>
    <w:p>
      <w:pPr>
        <w:spacing w:after="120"/>
        <w:jc w:val="both"/>
      </w:pPr>
      <w:r>
        <w:rPr>
          <w:b/>
          <w:i w:val="0"/>
          <w:sz w:val="22"/>
        </w:rPr>
        <w:t>Faza 7.2 — Extinderea la 30 de limbi</w:t>
      </w:r>
    </w:p>
    <w:p>
      <w:pPr>
        <w:spacing w:after="120"/>
        <w:jc w:val="both"/>
      </w:pPr>
      <w:r>
        <w:rPr>
          <w:b w:val="0"/>
          <w:i w:val="0"/>
          <w:sz w:val="22"/>
        </w:rPr>
        <w:t>Acoperirea lingvistică va fi extinsă progresiv la 30 de limbi europene și internaționale, cu validare medico-lingvistică pentru terminologia fiecărei limbi și teste automate de completitudine a traducerilor.</w:t>
      </w:r>
    </w:p>
    <w:p>
      <w:pPr>
        <w:spacing w:after="40"/>
        <w:jc w:val="both"/>
      </w:pPr>
      <w:r>
        <w:rPr>
          <w:b w:val="0"/>
          <w:i/>
          <w:sz w:val="22"/>
        </w:rPr>
        <w:t>Livrabile:</w:t>
      </w:r>
    </w:p>
    <w:p>
      <w:pPr>
        <w:pStyle w:val="ListBullet"/>
        <w:spacing w:after="40"/>
        <w:jc w:val="both"/>
      </w:pPr>
      <w:r>
        <w:rPr>
          <w:sz w:val="22"/>
        </w:rPr>
        <w:t>30 de limbi active pe toate canalele (UI, interpretare, PDF, e-mail)</w:t>
      </w:r>
    </w:p>
    <w:p>
      <w:pPr>
        <w:pStyle w:val="ListBullet"/>
        <w:spacing w:after="40"/>
        <w:jc w:val="both"/>
      </w:pPr>
      <w:r>
        <w:rPr>
          <w:sz w:val="22"/>
        </w:rPr>
        <w:t>Matrice de acoperire lingvistică 100%</w:t>
      </w:r>
    </w:p>
    <w:p>
      <w:pPr>
        <w:spacing w:after="120"/>
        <w:jc w:val="both"/>
      </w:pPr>
      <w:r>
        <w:rPr>
          <w:b w:val="0"/>
          <w:i/>
          <w:sz w:val="22"/>
        </w:rPr>
        <w:t>Criterii de acceptanță: Validare medico-lingvistică documentată pentru fiecare limbă.</w:t>
      </w:r>
    </w:p>
    <w:p>
      <w:pPr>
        <w:pStyle w:val="Heading3"/>
      </w:pPr>
      <w:r>
        <w:rPr>
          <w:color w:val="1F3A68"/>
        </w:rPr>
        <w:t>Etapa 8 — Modulul B2B: Clinic Access Module (lunile 10–15)</w:t>
      </w:r>
    </w:p>
    <w:p>
      <w:pPr>
        <w:spacing w:after="120"/>
        <w:jc w:val="both"/>
      </w:pPr>
      <w:r>
        <w:rPr>
          <w:b w:val="0"/>
          <w:i w:val="0"/>
          <w:sz w:val="22"/>
        </w:rPr>
        <w:t>Etapa care deschide al doilea motor de venit. Activități principale: fundația multi-tenant cu izolare verificată; conturi de organizație cu roluri; procesarea batch asincronă cu coadă de lucru; dashboard-ul clinicii; API-ul public documentat și conectorii FHIR pentru integrarea cu sistemele partenerilor.</w:t>
      </w:r>
    </w:p>
    <w:p>
      <w:pPr>
        <w:spacing w:after="120"/>
        <w:jc w:val="both"/>
      </w:pPr>
      <w:r>
        <w:rPr>
          <w:b/>
          <w:i w:val="0"/>
          <w:sz w:val="22"/>
        </w:rPr>
        <w:t>Faza 8.1 — Arhitectura multi-tenant și conturile de organizație</w:t>
      </w:r>
    </w:p>
    <w:p>
      <w:pPr>
        <w:spacing w:after="120"/>
        <w:jc w:val="both"/>
      </w:pPr>
      <w:r>
        <w:rPr>
          <w:b w:val="0"/>
          <w:i w:val="0"/>
          <w:sz w:val="22"/>
        </w:rPr>
        <w:t>Va fi dezvoltată fundația B2B: entitatea Clinică, utilizatori cu roluri organizaționale (administrator clinică, operator), izolarea strictă a datelor per tenant, branding propriu și subdomeniu dedicat per clinică.</w:t>
      </w:r>
    </w:p>
    <w:p>
      <w:pPr>
        <w:spacing w:after="40"/>
        <w:jc w:val="both"/>
      </w:pPr>
      <w:r>
        <w:rPr>
          <w:b w:val="0"/>
          <w:i/>
          <w:sz w:val="22"/>
        </w:rPr>
        <w:t>Livrabile:</w:t>
      </w:r>
    </w:p>
    <w:p>
      <w:pPr>
        <w:pStyle w:val="ListBullet"/>
        <w:spacing w:after="40"/>
        <w:jc w:val="both"/>
      </w:pPr>
      <w:r>
        <w:rPr>
          <w:sz w:val="22"/>
        </w:rPr>
        <w:t>Multi-tenancy cu izolare verificată prin teste dedicate</w:t>
      </w:r>
    </w:p>
    <w:p>
      <w:pPr>
        <w:pStyle w:val="ListBullet"/>
        <w:spacing w:after="40"/>
        <w:jc w:val="both"/>
      </w:pPr>
      <w:r>
        <w:rPr>
          <w:sz w:val="22"/>
        </w:rPr>
        <w:t>Onboarding clinică nouă &lt; 1 zi</w:t>
      </w:r>
    </w:p>
    <w:p>
      <w:pPr>
        <w:spacing w:after="120"/>
        <w:jc w:val="both"/>
      </w:pPr>
      <w:r>
        <w:rPr>
          <w:b/>
          <w:i w:val="0"/>
          <w:sz w:val="22"/>
        </w:rPr>
        <w:t>Faza 8.2 — Procesarea batch multi-pacient</w:t>
      </w:r>
    </w:p>
    <w:p>
      <w:pPr>
        <w:spacing w:after="120"/>
        <w:jc w:val="both"/>
      </w:pPr>
      <w:r>
        <w:rPr>
          <w:b w:val="0"/>
          <w:i w:val="0"/>
          <w:sz w:val="22"/>
        </w:rPr>
        <w:t>Clinicile vor putea încărca loturi de buletine (zeci-sute de documente), procesate asincron cu progres în timp real, asocierea automată pe pacienți și raport agregat pe lot.</w:t>
      </w:r>
    </w:p>
    <w:p>
      <w:pPr>
        <w:spacing w:after="40"/>
        <w:jc w:val="both"/>
      </w:pPr>
      <w:r>
        <w:rPr>
          <w:b w:val="0"/>
          <w:i/>
          <w:sz w:val="22"/>
        </w:rPr>
        <w:t>Livrabile:</w:t>
      </w:r>
    </w:p>
    <w:p>
      <w:pPr>
        <w:pStyle w:val="ListBullet"/>
        <w:spacing w:after="40"/>
        <w:jc w:val="both"/>
      </w:pPr>
      <w:r>
        <w:rPr>
          <w:sz w:val="22"/>
        </w:rPr>
        <w:t>Procesare batch asincronă cu coadă de lucru</w:t>
      </w:r>
    </w:p>
    <w:p>
      <w:pPr>
        <w:pStyle w:val="ListBullet"/>
        <w:spacing w:after="40"/>
        <w:jc w:val="both"/>
      </w:pPr>
      <w:r>
        <w:rPr>
          <w:sz w:val="22"/>
        </w:rPr>
        <w:t>Dashboard de progres în timp real</w:t>
      </w:r>
    </w:p>
    <w:p>
      <w:pPr>
        <w:spacing w:after="120"/>
        <w:jc w:val="both"/>
      </w:pPr>
      <w:r>
        <w:rPr>
          <w:b w:val="0"/>
          <w:i/>
          <w:sz w:val="22"/>
        </w:rPr>
        <w:t>Criterii de acceptanță: Procesarea unui lot de 100 de documente &lt; 30 minute.</w:t>
      </w:r>
    </w:p>
    <w:p>
      <w:pPr>
        <w:spacing w:after="120"/>
        <w:jc w:val="both"/>
      </w:pPr>
      <w:r>
        <w:rPr>
          <w:b/>
          <w:i w:val="0"/>
          <w:sz w:val="22"/>
        </w:rPr>
        <w:t>Faza 8.3 — Dashboard-ul clinicii și rapoartele comparative</w:t>
      </w:r>
    </w:p>
    <w:p>
      <w:pPr>
        <w:spacing w:after="120"/>
        <w:jc w:val="both"/>
      </w:pPr>
      <w:r>
        <w:rPr>
          <w:b w:val="0"/>
          <w:i w:val="0"/>
          <w:sz w:val="22"/>
        </w:rPr>
        <w:t>Va fi dezvoltat panoul clinicii: volume procesate, distribuția statusurilor, rapoarte comparative multi-pacient și multi-vizită, export de date și facturare per volum.</w:t>
      </w:r>
    </w:p>
    <w:p>
      <w:pPr>
        <w:spacing w:after="40"/>
        <w:jc w:val="both"/>
      </w:pPr>
      <w:r>
        <w:rPr>
          <w:b w:val="0"/>
          <w:i/>
          <w:sz w:val="22"/>
        </w:rPr>
        <w:t>Livrabile:</w:t>
      </w:r>
    </w:p>
    <w:p>
      <w:pPr>
        <w:pStyle w:val="ListBullet"/>
        <w:spacing w:after="40"/>
        <w:jc w:val="both"/>
      </w:pPr>
      <w:r>
        <w:rPr>
          <w:sz w:val="22"/>
        </w:rPr>
        <w:t>Dashboard B2B complet</w:t>
      </w:r>
    </w:p>
    <w:p>
      <w:pPr>
        <w:pStyle w:val="ListBullet"/>
        <w:spacing w:after="40"/>
        <w:jc w:val="both"/>
      </w:pPr>
      <w:r>
        <w:rPr>
          <w:sz w:val="22"/>
        </w:rPr>
        <w:t>Rapoarte comparative exportabile</w:t>
      </w:r>
    </w:p>
    <w:p>
      <w:pPr>
        <w:spacing w:after="120"/>
        <w:jc w:val="both"/>
      </w:pPr>
      <w:r>
        <w:rPr>
          <w:b/>
          <w:i w:val="0"/>
          <w:sz w:val="22"/>
        </w:rPr>
        <w:t>Faza 8.4 — Integrări cu sistemele medicale (HIS/LIS)</w:t>
      </w:r>
    </w:p>
    <w:p>
      <w:pPr>
        <w:spacing w:after="120"/>
        <w:jc w:val="both"/>
      </w:pPr>
      <w:r>
        <w:rPr>
          <w:b w:val="0"/>
          <w:i w:val="0"/>
          <w:sz w:val="22"/>
        </w:rPr>
        <w:t>Va fi expus un API B2B documentat și conectori FHIR pentru integrarea cu sistemele informatice ale clinicilor și laboratoarelor partenere.</w:t>
      </w:r>
    </w:p>
    <w:p>
      <w:pPr>
        <w:spacing w:after="40"/>
        <w:jc w:val="both"/>
      </w:pPr>
      <w:r>
        <w:rPr>
          <w:b w:val="0"/>
          <w:i/>
          <w:sz w:val="22"/>
        </w:rPr>
        <w:t>Livrabile:</w:t>
      </w:r>
    </w:p>
    <w:p>
      <w:pPr>
        <w:pStyle w:val="ListBullet"/>
        <w:spacing w:after="40"/>
        <w:jc w:val="both"/>
      </w:pPr>
      <w:r>
        <w:rPr>
          <w:sz w:val="22"/>
        </w:rPr>
        <w:t>API B2B public documentat (OpenAPI)</w:t>
      </w:r>
    </w:p>
    <w:p>
      <w:pPr>
        <w:pStyle w:val="ListBullet"/>
        <w:spacing w:after="40"/>
        <w:jc w:val="both"/>
      </w:pPr>
      <w:r>
        <w:rPr>
          <w:sz w:val="22"/>
        </w:rPr>
        <w:t>≥ 2 integrări pilot funcționale cu parteneri</w:t>
      </w:r>
    </w:p>
    <w:p>
      <w:pPr>
        <w:pStyle w:val="Heading3"/>
      </w:pPr>
      <w:r>
        <w:rPr>
          <w:color w:val="1F3A68"/>
        </w:rPr>
        <w:t>Etapa 9 — Monetizare și plăți (lunile 11–15)</w:t>
      </w:r>
    </w:p>
    <w:p>
      <w:pPr>
        <w:spacing w:after="120"/>
        <w:jc w:val="both"/>
      </w:pPr>
      <w:r>
        <w:rPr>
          <w:b/>
          <w:i w:val="0"/>
          <w:sz w:val="22"/>
        </w:rPr>
        <w:t>Faza 9.1 — Sistemul de credite și abonamente</w:t>
      </w:r>
    </w:p>
    <w:p>
      <w:pPr>
        <w:spacing w:after="120"/>
        <w:jc w:val="both"/>
      </w:pPr>
      <w:r>
        <w:rPr>
          <w:b w:val="0"/>
          <w:i w:val="0"/>
          <w:sz w:val="22"/>
        </w:rPr>
        <w:t>Va fi implementat modelul comercial: credite gratuite la înregistrare (freemium), abonament premium B2C (4,99 EUR/lună), tiere B2B (199/499/999 EUR/lună), program de recomandare cu credite bonus și gestionarea tranzacțională a soldurilor.</w:t>
      </w:r>
    </w:p>
    <w:p>
      <w:pPr>
        <w:spacing w:after="40"/>
        <w:jc w:val="both"/>
      </w:pPr>
      <w:r>
        <w:rPr>
          <w:b w:val="0"/>
          <w:i/>
          <w:sz w:val="22"/>
        </w:rPr>
        <w:t>Livrabile:</w:t>
      </w:r>
    </w:p>
    <w:p>
      <w:pPr>
        <w:pStyle w:val="ListBullet"/>
        <w:spacing w:after="40"/>
        <w:jc w:val="both"/>
      </w:pPr>
      <w:r>
        <w:rPr>
          <w:sz w:val="22"/>
        </w:rPr>
        <w:t>Motor de credite și abonamente cu istoric complet</w:t>
      </w:r>
    </w:p>
    <w:p>
      <w:pPr>
        <w:pStyle w:val="ListBullet"/>
        <w:spacing w:after="40"/>
        <w:jc w:val="both"/>
      </w:pPr>
      <w:r>
        <w:rPr>
          <w:sz w:val="22"/>
        </w:rPr>
        <w:t>Program de recomandare funcțional</w:t>
      </w:r>
    </w:p>
    <w:p>
      <w:pPr>
        <w:spacing w:after="120"/>
        <w:jc w:val="both"/>
      </w:pPr>
      <w:r>
        <w:rPr>
          <w:b/>
          <w:i w:val="0"/>
          <w:sz w:val="22"/>
        </w:rPr>
        <w:t>Faza 9.2 — Integrarea gateway-ului de plăți și facturarea</w:t>
      </w:r>
    </w:p>
    <w:p>
      <w:pPr>
        <w:spacing w:after="120"/>
        <w:jc w:val="both"/>
      </w:pPr>
      <w:r>
        <w:rPr>
          <w:b w:val="0"/>
          <w:i w:val="0"/>
          <w:sz w:val="22"/>
        </w:rPr>
        <w:t>Va fi integrat un procesator de plăți cu suport european (plăți recurente, SCA/3-D Secure), împreună cu emiterea automată a facturilor și gestionarea TVA pentru vânzări transfrontaliere UE (OSS).</w:t>
      </w:r>
    </w:p>
    <w:p>
      <w:pPr>
        <w:spacing w:after="40"/>
        <w:jc w:val="both"/>
      </w:pPr>
      <w:r>
        <w:rPr>
          <w:b w:val="0"/>
          <w:i/>
          <w:sz w:val="22"/>
        </w:rPr>
        <w:t>Livrabile:</w:t>
      </w:r>
    </w:p>
    <w:p>
      <w:pPr>
        <w:pStyle w:val="ListBullet"/>
        <w:spacing w:after="40"/>
        <w:jc w:val="both"/>
      </w:pPr>
      <w:r>
        <w:rPr>
          <w:sz w:val="22"/>
        </w:rPr>
        <w:t>Plăți recurente funcționale în producție</w:t>
      </w:r>
    </w:p>
    <w:p>
      <w:pPr>
        <w:pStyle w:val="ListBullet"/>
        <w:spacing w:after="40"/>
        <w:jc w:val="both"/>
      </w:pPr>
      <w:r>
        <w:rPr>
          <w:sz w:val="22"/>
        </w:rPr>
        <w:t>Facturare automată conformă fiscal</w:t>
      </w:r>
    </w:p>
    <w:p>
      <w:pPr>
        <w:spacing w:after="120"/>
        <w:jc w:val="both"/>
      </w:pPr>
      <w:r>
        <w:rPr>
          <w:b w:val="0"/>
          <w:i/>
          <w:sz w:val="22"/>
        </w:rPr>
        <w:t>Criterii de acceptanță: Testare completă a ciclului de viață al abonamentului (activare, reînnoire, eșec plată, anulare, rambursare).</w:t>
      </w:r>
    </w:p>
    <w:p>
      <w:pPr>
        <w:pStyle w:val="Heading3"/>
      </w:pPr>
      <w:r>
        <w:rPr>
          <w:color w:val="1F3A68"/>
        </w:rPr>
        <w:t>Etapa 10 — Securitate, conformitate și testare finală (lunile 12–16)</w:t>
      </w:r>
    </w:p>
    <w:p>
      <w:pPr>
        <w:spacing w:after="120"/>
        <w:jc w:val="both"/>
      </w:pPr>
      <w:r>
        <w:rPr>
          <w:b/>
          <w:i w:val="0"/>
          <w:sz w:val="22"/>
        </w:rPr>
        <w:t>Faza 10.1 — Audit de securitate și test de penetrare</w:t>
      </w:r>
    </w:p>
    <w:p>
      <w:pPr>
        <w:spacing w:after="120"/>
        <w:jc w:val="both"/>
      </w:pPr>
      <w:r>
        <w:rPr>
          <w:b w:val="0"/>
          <w:i w:val="0"/>
          <w:sz w:val="22"/>
        </w:rPr>
        <w:t>Un furnizor extern specializat va efectua testarea de penetrare a întregii platforme (aplicație web, API-uri, microserviciu, infrastructură), iar constatările vor fi remediate și retestate.</w:t>
      </w:r>
    </w:p>
    <w:p>
      <w:pPr>
        <w:spacing w:after="40"/>
        <w:jc w:val="both"/>
      </w:pPr>
      <w:r>
        <w:rPr>
          <w:b w:val="0"/>
          <w:i/>
          <w:sz w:val="22"/>
        </w:rPr>
        <w:t>Livrabile:</w:t>
      </w:r>
    </w:p>
    <w:p>
      <w:pPr>
        <w:pStyle w:val="ListBullet"/>
        <w:spacing w:after="40"/>
        <w:jc w:val="both"/>
      </w:pPr>
      <w:r>
        <w:rPr>
          <w:sz w:val="22"/>
        </w:rPr>
        <w:t>Raport de penetrare + dovada remedierii</w:t>
      </w:r>
    </w:p>
    <w:p>
      <w:pPr>
        <w:spacing w:after="120"/>
        <w:jc w:val="both"/>
      </w:pPr>
      <w:r>
        <w:rPr>
          <w:b w:val="0"/>
          <w:i/>
          <w:sz w:val="22"/>
        </w:rPr>
        <w:t>Criterii de acceptanță: 0 vulnerabilități critice sau ridicate rămase deschise.</w:t>
      </w:r>
    </w:p>
    <w:p>
      <w:pPr>
        <w:spacing w:after="120"/>
        <w:jc w:val="both"/>
      </w:pPr>
      <w:r>
        <w:rPr>
          <w:b/>
          <w:i w:val="0"/>
          <w:sz w:val="22"/>
        </w:rPr>
        <w:t>Faza 10.2 — Conformitate GDPR și evaluarea de impact (DPIA)</w:t>
      </w:r>
    </w:p>
    <w:p>
      <w:pPr>
        <w:spacing w:after="120"/>
        <w:jc w:val="both"/>
      </w:pPr>
      <w:r>
        <w:rPr>
          <w:b w:val="0"/>
          <w:i w:val="0"/>
          <w:sz w:val="22"/>
        </w:rPr>
        <w:t>Va fi finalizată evaluarea de impact asupra protecției datelor (obligatorie pentru prelucrarea datelor de sănătate la scară largă), registrul de prelucrări, procedurile pentru drepturile persoanelor vizate (acces, portabilitate, ștergere) și acordurile de prelucrare cu toți sub-procesatorii.</w:t>
      </w:r>
    </w:p>
    <w:p>
      <w:pPr>
        <w:spacing w:after="40"/>
        <w:jc w:val="both"/>
      </w:pPr>
      <w:r>
        <w:rPr>
          <w:b w:val="0"/>
          <w:i/>
          <w:sz w:val="22"/>
        </w:rPr>
        <w:t>Livrabile:</w:t>
      </w:r>
    </w:p>
    <w:p>
      <w:pPr>
        <w:pStyle w:val="ListBullet"/>
        <w:spacing w:after="40"/>
        <w:jc w:val="both"/>
      </w:pPr>
      <w:r>
        <w:rPr>
          <w:sz w:val="22"/>
        </w:rPr>
        <w:t>DPIA aprobată</w:t>
      </w:r>
    </w:p>
    <w:p>
      <w:pPr>
        <w:pStyle w:val="ListBullet"/>
        <w:spacing w:after="40"/>
        <w:jc w:val="both"/>
      </w:pPr>
      <w:r>
        <w:rPr>
          <w:sz w:val="22"/>
        </w:rPr>
        <w:t>Proceduri DSAR operaționale (termen ≤ 30 zile)</w:t>
      </w:r>
    </w:p>
    <w:p>
      <w:pPr>
        <w:spacing w:after="120"/>
        <w:jc w:val="both"/>
      </w:pPr>
      <w:r>
        <w:rPr>
          <w:b/>
          <w:i w:val="0"/>
          <w:sz w:val="22"/>
        </w:rPr>
        <w:t>Faza 10.3 — Testarea de performanță și fiabilitate</w:t>
      </w:r>
    </w:p>
    <w:p>
      <w:pPr>
        <w:spacing w:after="120"/>
        <w:jc w:val="both"/>
      </w:pPr>
      <w:r>
        <w:rPr>
          <w:b w:val="0"/>
          <w:i w:val="0"/>
          <w:sz w:val="22"/>
        </w:rPr>
        <w:t>Vor fi executate teste de încărcare (500 procesări simultane), teste de anduranță și exerciții de recuperare în caz de dezastru (RPO 1 oră, RTO 4 ore).</w:t>
      </w:r>
    </w:p>
    <w:p>
      <w:pPr>
        <w:spacing w:after="40"/>
        <w:jc w:val="both"/>
      </w:pPr>
      <w:r>
        <w:rPr>
          <w:b w:val="0"/>
          <w:i/>
          <w:sz w:val="22"/>
        </w:rPr>
        <w:t>Livrabile:</w:t>
      </w:r>
    </w:p>
    <w:p>
      <w:pPr>
        <w:pStyle w:val="ListBullet"/>
        <w:spacing w:after="40"/>
        <w:jc w:val="both"/>
      </w:pPr>
      <w:r>
        <w:rPr>
          <w:sz w:val="22"/>
        </w:rPr>
        <w:t>Rapoarte de performanță la țintele NFR</w:t>
      </w:r>
    </w:p>
    <w:p>
      <w:pPr>
        <w:pStyle w:val="ListBullet"/>
        <w:spacing w:after="40"/>
        <w:jc w:val="both"/>
      </w:pPr>
      <w:r>
        <w:rPr>
          <w:sz w:val="22"/>
        </w:rPr>
        <w:t>Exercițiu DR documentat și reușit</w:t>
      </w:r>
    </w:p>
    <w:p>
      <w:pPr>
        <w:spacing w:after="120"/>
        <w:jc w:val="both"/>
      </w:pPr>
      <w:r>
        <w:rPr>
          <w:b w:val="0"/>
          <w:i/>
          <w:sz w:val="22"/>
        </w:rPr>
        <w:t>Criterii de acceptanță: Timp de răspuns end-to-end &lt; 15 secunde per raport (percentila 95).</w:t>
      </w:r>
    </w:p>
    <w:p>
      <w:pPr>
        <w:pStyle w:val="Heading3"/>
      </w:pPr>
      <w:r>
        <w:rPr>
          <w:color w:val="1F3A68"/>
        </w:rPr>
        <w:t>Etapa 11 — Pilotare, marketing și lansare comercială (lunile 14–18)</w:t>
      </w:r>
    </w:p>
    <w:p>
      <w:pPr>
        <w:spacing w:after="120"/>
        <w:jc w:val="both"/>
      </w:pPr>
      <w:r>
        <w:rPr>
          <w:b/>
          <w:i w:val="0"/>
          <w:sz w:val="22"/>
        </w:rPr>
        <w:t>Faza 11.1 — Programul pilot</w:t>
      </w:r>
    </w:p>
    <w:p>
      <w:pPr>
        <w:spacing w:after="120"/>
        <w:jc w:val="both"/>
      </w:pPr>
      <w:r>
        <w:rPr>
          <w:b w:val="0"/>
          <w:i w:val="0"/>
          <w:sz w:val="22"/>
        </w:rPr>
        <w:t>Platforma va fi operată în regim pilot cu 5 clinici partenere și cu utilizatorii din lista de așteptare (beta privat), cu colectarea structurată a feedback-ului și iterații rapide.</w:t>
      </w:r>
    </w:p>
    <w:p>
      <w:pPr>
        <w:spacing w:after="40"/>
        <w:jc w:val="both"/>
      </w:pPr>
      <w:r>
        <w:rPr>
          <w:b w:val="0"/>
          <w:i/>
          <w:sz w:val="22"/>
        </w:rPr>
        <w:t>Livrabile:</w:t>
      </w:r>
    </w:p>
    <w:p>
      <w:pPr>
        <w:pStyle w:val="ListBullet"/>
        <w:spacing w:after="40"/>
        <w:jc w:val="both"/>
      </w:pPr>
      <w:r>
        <w:rPr>
          <w:sz w:val="22"/>
        </w:rPr>
        <w:t>5 clinici pilot active</w:t>
      </w:r>
    </w:p>
    <w:p>
      <w:pPr>
        <w:pStyle w:val="ListBullet"/>
        <w:spacing w:after="40"/>
        <w:jc w:val="both"/>
      </w:pPr>
      <w:r>
        <w:rPr>
          <w:sz w:val="22"/>
        </w:rPr>
        <w:t>Beta privat ≥ 1.000 utilizatori</w:t>
      </w:r>
    </w:p>
    <w:p>
      <w:pPr>
        <w:pStyle w:val="ListBullet"/>
        <w:spacing w:after="40"/>
        <w:jc w:val="both"/>
      </w:pPr>
      <w:r>
        <w:rPr>
          <w:sz w:val="22"/>
        </w:rPr>
        <w:t>Scrisori de intenție comercială de la partenerii pilot</w:t>
      </w:r>
    </w:p>
    <w:p>
      <w:pPr>
        <w:spacing w:after="120"/>
        <w:jc w:val="both"/>
      </w:pPr>
      <w:r>
        <w:rPr>
          <w:b/>
          <w:i w:val="0"/>
          <w:sz w:val="22"/>
        </w:rPr>
        <w:t>Faza 11.2 — Lansarea comercială</w:t>
      </w:r>
    </w:p>
    <w:p>
      <w:pPr>
        <w:spacing w:after="120"/>
        <w:jc w:val="both"/>
      </w:pPr>
      <w:r>
        <w:rPr>
          <w:b w:val="0"/>
          <w:i w:val="0"/>
          <w:sz w:val="22"/>
        </w:rPr>
        <w:t>Lansarea publică B2C și B2B pe piața românească și deschiderea vânzărilor pe piețele UE acoperite lingvistic, susținută de campaniile din strategia de marketing (C.7).</w:t>
      </w:r>
    </w:p>
    <w:p>
      <w:pPr>
        <w:spacing w:after="40"/>
        <w:jc w:val="both"/>
      </w:pPr>
      <w:r>
        <w:rPr>
          <w:b w:val="0"/>
          <w:i/>
          <w:sz w:val="22"/>
        </w:rPr>
        <w:t>Livrabile:</w:t>
      </w:r>
    </w:p>
    <w:p>
      <w:pPr>
        <w:pStyle w:val="ListBullet"/>
        <w:spacing w:after="40"/>
        <w:jc w:val="both"/>
      </w:pPr>
      <w:r>
        <w:rPr>
          <w:sz w:val="22"/>
        </w:rPr>
        <w:t>Platformă live în producție cu plăți active</w:t>
      </w:r>
    </w:p>
    <w:p>
      <w:pPr>
        <w:pStyle w:val="ListBullet"/>
        <w:spacing w:after="40"/>
        <w:jc w:val="both"/>
      </w:pPr>
      <w:r>
        <w:rPr>
          <w:sz w:val="22"/>
        </w:rPr>
        <w:t>≥ 5.000 utilizatori înregistrați și ≥ 10 contracte B2B în primele 3 luni de la lansare</w:t>
      </w:r>
    </w:p>
    <w:p>
      <w:pPr>
        <w:spacing w:after="120"/>
        <w:jc w:val="both"/>
      </w:pPr>
      <w:r>
        <w:rPr>
          <w:b w:val="0"/>
          <w:i/>
          <w:sz w:val="22"/>
        </w:rPr>
        <w:t>Criterii de acceptanță: MRR ≥ 8.000 EUR la finalul lunii 18.</w:t>
      </w:r>
    </w:p>
    <w:p>
      <w:r>
        <w:br w:type="page"/>
      </w:r>
    </w:p>
    <w:p>
      <w:pPr>
        <w:pStyle w:val="Heading2"/>
      </w:pPr>
      <w:r>
        <w:rPr>
          <w:color w:val="1F3A68"/>
        </w:rPr>
        <w:t>C.4.5. Fluxul de date al platformei (data flow)</w:t>
      </w:r>
    </w:p>
    <w:p>
      <w:pPr>
        <w:spacing w:after="120"/>
        <w:jc w:val="both"/>
      </w:pPr>
      <w:r>
        <w:rPr>
          <w:b w:val="0"/>
          <w:i w:val="0"/>
          <w:sz w:val="22"/>
        </w:rPr>
        <w:t>Fluxul complet de procesare a unui buletin de analize, așa cum va fi implementat, parcurge următorii pași (tranzițiile sincron/asincron marcate explicit):</w:t>
      </w:r>
    </w:p>
    <w:p>
      <w:pPr>
        <w:pStyle w:val="ListNumber"/>
        <w:spacing w:after="40"/>
        <w:jc w:val="both"/>
      </w:pPr>
      <w:r>
        <w:rPr>
          <w:sz w:val="22"/>
        </w:rPr>
        <w:t>Utilizatorul autentificat încarcă documentul PDF prin interfața web; validare pe client (dimensiune, tip) înainte de transmitere;</w:t>
      </w:r>
    </w:p>
    <w:p>
      <w:pPr>
        <w:pStyle w:val="ListNumber"/>
        <w:spacing w:after="40"/>
        <w:jc w:val="both"/>
      </w:pPr>
      <w:r>
        <w:rPr>
          <w:sz w:val="22"/>
        </w:rPr>
        <w:t>Serverul validează suplimentar (dimensiune ≤ 10 MB, tip MIME, semnătura binară %PDF-), verifică soldul de credite și calculează amprenta SHA-256 pentru deduplicare;</w:t>
      </w:r>
    </w:p>
    <w:p>
      <w:pPr>
        <w:pStyle w:val="ListNumber"/>
        <w:spacing w:after="40"/>
        <w:jc w:val="both"/>
      </w:pPr>
      <w:r>
        <w:rPr>
          <w:sz w:val="22"/>
        </w:rPr>
        <w:t>Dacă amprenta există deja → utilizatorul este informat și poate alege reprocesarea contra cost; dacă este nouă → continuă;</w:t>
      </w:r>
    </w:p>
    <w:p>
      <w:pPr>
        <w:pStyle w:val="ListNumber"/>
        <w:spacing w:after="40"/>
        <w:jc w:val="both"/>
      </w:pPr>
      <w:r>
        <w:rPr>
          <w:sz w:val="22"/>
        </w:rPr>
        <w:t>Serviciul de interpretare AI transmite documentul pe dublu canal (PDF vizual + text extras) către modelul LLM multimodal, cu schema strictă de răspuns;</w:t>
      </w:r>
    </w:p>
    <w:p>
      <w:pPr>
        <w:pStyle w:val="ListNumber"/>
        <w:spacing w:after="40"/>
        <w:jc w:val="both"/>
      </w:pPr>
      <w:r>
        <w:rPr>
          <w:sz w:val="22"/>
        </w:rPr>
        <w:t>Răspunsul JSON este validat structural; la eșec se aplică repararea tolerantă, apoi escaladarea către modelul superior;</w:t>
      </w:r>
    </w:p>
    <w:p>
      <w:pPr>
        <w:pStyle w:val="ListNumber"/>
        <w:spacing w:after="40"/>
        <w:jc w:val="both"/>
      </w:pPr>
      <w:r>
        <w:rPr>
          <w:sz w:val="22"/>
        </w:rPr>
        <w:t>Validatorul clinic determinist recalculează statusul fiecărui parametru; auditorul de completitudine verifică pragul de 95%;</w:t>
      </w:r>
    </w:p>
    <w:p>
      <w:pPr>
        <w:pStyle w:val="ListNumber"/>
        <w:spacing w:after="40"/>
        <w:jc w:val="both"/>
      </w:pPr>
      <w:r>
        <w:rPr>
          <w:sz w:val="22"/>
        </w:rPr>
        <w:t>Clientul de codificare apelează în paralel microserviciul LOINC pentru fiecare analit; codurile, scorurile și sursele deciziilor sunt atașate rezultatelor;</w:t>
      </w:r>
    </w:p>
    <w:p>
      <w:pPr>
        <w:pStyle w:val="ListNumber"/>
        <w:spacing w:after="40"/>
        <w:jc w:val="both"/>
      </w:pPr>
      <w:r>
        <w:rPr>
          <w:sz w:val="22"/>
        </w:rPr>
        <w:t>Rezultatul final este persistat (JSON complet + rezultate-cheie denormalizate + metadate de consum AI);</w:t>
      </w:r>
    </w:p>
    <w:p>
      <w:pPr>
        <w:pStyle w:val="ListNumber"/>
        <w:spacing w:after="40"/>
        <w:jc w:val="both"/>
      </w:pPr>
      <w:r>
        <w:rPr>
          <w:sz w:val="22"/>
        </w:rPr>
        <w:t>Generatorul PDF produce raportul final (sincron, sub 500 ms);</w:t>
      </w:r>
    </w:p>
    <w:p>
      <w:pPr>
        <w:pStyle w:val="ListNumber"/>
        <w:spacing w:after="40"/>
        <w:jc w:val="both"/>
      </w:pPr>
      <w:r>
        <w:rPr>
          <w:sz w:val="22"/>
        </w:rPr>
        <w:t>Notificarea e-mail se trimite asincron, fără blocarea utilizatorului;</w:t>
      </w:r>
    </w:p>
    <w:p>
      <w:pPr>
        <w:pStyle w:val="ListNumber"/>
        <w:spacing w:after="40"/>
        <w:jc w:val="both"/>
      </w:pPr>
      <w:r>
        <w:rPr>
          <w:sz w:val="22"/>
        </w:rPr>
        <w:t>Utilizatorul este redirecționat către dashboard, unde raportul este disponibil imediat pentru vizualizare și descărcare.</w:t>
      </w:r>
    </w:p>
    <w:p>
      <w:pPr>
        <w:pStyle w:val="Heading2"/>
      </w:pPr>
      <w:r>
        <w:rPr>
          <w:color w:val="1F3A68"/>
        </w:rPr>
        <w:t>C.4.6. Specificații funcționale și non-funcționale</w:t>
      </w:r>
    </w:p>
    <w:p>
      <w:pPr>
        <w:spacing w:after="120"/>
        <w:jc w:val="both"/>
      </w:pPr>
      <w:r>
        <w:rPr>
          <w:b/>
          <w:i w:val="0"/>
          <w:sz w:val="22"/>
        </w:rPr>
        <w:t>Cerințe funcționale principale (FR):</w:t>
      </w:r>
    </w:p>
    <w:p>
      <w:pPr>
        <w:pStyle w:val="ListBullet"/>
        <w:spacing w:after="40"/>
        <w:jc w:val="both"/>
      </w:pPr>
      <w:r>
        <w:rPr>
          <w:sz w:val="22"/>
        </w:rPr>
        <w:t>FR-01: Înregistrare cu verificare e-mail și consimțământ GDPR granular; autentificare cu remember-me și resetare parolă;</w:t>
      </w:r>
    </w:p>
    <w:p>
      <w:pPr>
        <w:pStyle w:val="ListBullet"/>
        <w:spacing w:after="40"/>
        <w:jc w:val="both"/>
      </w:pPr>
      <w:r>
        <w:rPr>
          <w:sz w:val="22"/>
        </w:rPr>
        <w:t>FR-02: Încărcare PDF (max 10 MB) cu deduplicare SHA-256 și gestionare credite;</w:t>
      </w:r>
    </w:p>
    <w:p>
      <w:pPr>
        <w:pStyle w:val="ListBullet"/>
        <w:spacing w:after="40"/>
        <w:jc w:val="both"/>
      </w:pPr>
      <w:r>
        <w:rPr>
          <w:sz w:val="22"/>
        </w:rPr>
        <w:t>FR-03: Extragere structurată automată cu completitudine ≥ 95% față de conținutul documentului;</w:t>
      </w:r>
    </w:p>
    <w:p>
      <w:pPr>
        <w:pStyle w:val="ListBullet"/>
        <w:spacing w:after="40"/>
        <w:jc w:val="both"/>
      </w:pPr>
      <w:r>
        <w:rPr>
          <w:sz w:val="22"/>
        </w:rPr>
        <w:t>FR-04: Codificare LOINC automată cu precizie ≥ 96% pe eșantionul de validare de 10.000 rapoarte;</w:t>
      </w:r>
    </w:p>
    <w:p>
      <w:pPr>
        <w:pStyle w:val="ListBullet"/>
        <w:spacing w:after="40"/>
        <w:jc w:val="both"/>
      </w:pPr>
      <w:r>
        <w:rPr>
          <w:sz w:val="22"/>
        </w:rPr>
        <w:t>FR-05: Interpretare narativă în limba pacientului (7 limbi la MVP, 30 la finalul proiectului);</w:t>
      </w:r>
    </w:p>
    <w:p>
      <w:pPr>
        <w:pStyle w:val="ListBullet"/>
        <w:spacing w:after="40"/>
        <w:jc w:val="both"/>
      </w:pPr>
      <w:r>
        <w:rPr>
          <w:sz w:val="22"/>
        </w:rPr>
        <w:t>FR-06: Raport PDF cu grupare pe panele, statusuri vizuale și cod LOINC per analit;</w:t>
      </w:r>
    </w:p>
    <w:p>
      <w:pPr>
        <w:pStyle w:val="ListBullet"/>
        <w:spacing w:after="40"/>
        <w:jc w:val="both"/>
      </w:pPr>
      <w:r>
        <w:rPr>
          <w:sz w:val="22"/>
        </w:rPr>
        <w:t>FR-07: Istoric per profil de pacient (max 5 profiluri premium) și evoluție grafică multi-vizită pe același parametru;</w:t>
      </w:r>
    </w:p>
    <w:p>
      <w:pPr>
        <w:pStyle w:val="ListBullet"/>
        <w:spacing w:after="40"/>
        <w:jc w:val="both"/>
      </w:pPr>
      <w:r>
        <w:rPr>
          <w:sz w:val="22"/>
        </w:rPr>
        <w:t>FR-08: Trimiterea raportului prin e-mail;</w:t>
      </w:r>
    </w:p>
    <w:p>
      <w:pPr>
        <w:pStyle w:val="ListBullet"/>
        <w:spacing w:after="40"/>
        <w:jc w:val="both"/>
      </w:pPr>
      <w:r>
        <w:rPr>
          <w:sz w:val="22"/>
        </w:rPr>
        <w:t>FR-09: Export HL7 FHIR (Observation, DiagnosticReport, Patient);</w:t>
      </w:r>
    </w:p>
    <w:p>
      <w:pPr>
        <w:pStyle w:val="ListBullet"/>
        <w:spacing w:after="40"/>
        <w:jc w:val="both"/>
      </w:pPr>
      <w:r>
        <w:rPr>
          <w:sz w:val="22"/>
        </w:rPr>
        <w:t>FR-10: Modul B2B multi-tenant cu procesare batch, dashboard și facturare per volum;</w:t>
      </w:r>
    </w:p>
    <w:p>
      <w:pPr>
        <w:pStyle w:val="ListBullet"/>
        <w:spacing w:after="40"/>
        <w:jc w:val="both"/>
      </w:pPr>
      <w:r>
        <w:rPr>
          <w:sz w:val="22"/>
        </w:rPr>
        <w:t>FR-11: Plăți recurente (abonamente B2C/B2B) cu facturare automată.</w:t>
      </w:r>
    </w:p>
    <w:p>
      <w:pPr>
        <w:spacing w:after="120"/>
        <w:jc w:val="both"/>
      </w:pPr>
      <w:r>
        <w:rPr>
          <w:b/>
          <w:i w:val="0"/>
          <w:sz w:val="22"/>
        </w:rPr>
        <w:t>Cerințe non-funcționale (NFR):</w:t>
      </w:r>
    </w:p>
    <w:p>
      <w:pPr>
        <w:pStyle w:val="ListBullet"/>
        <w:spacing w:after="40"/>
        <w:jc w:val="both"/>
      </w:pPr>
      <w:r>
        <w:rPr>
          <w:sz w:val="22"/>
        </w:rPr>
        <w:t>NFR-01: Disponibilitate țintă 99,9% (SLA B2B), infrastructură redundantă;</w:t>
      </w:r>
    </w:p>
    <w:p>
      <w:pPr>
        <w:pStyle w:val="ListBullet"/>
        <w:spacing w:after="40"/>
        <w:jc w:val="both"/>
      </w:pPr>
      <w:r>
        <w:rPr>
          <w:sz w:val="22"/>
        </w:rPr>
        <w:t>NFR-02: Timp de răspuns end-to-end &lt; 15 secunde per raport (percentila 95), &lt; 8 secunde median;</w:t>
      </w:r>
    </w:p>
    <w:p>
      <w:pPr>
        <w:pStyle w:val="ListBullet"/>
        <w:spacing w:after="40"/>
        <w:jc w:val="both"/>
      </w:pPr>
      <w:r>
        <w:rPr>
          <w:sz w:val="22"/>
        </w:rPr>
        <w:t>NFR-03: Scalare orizontală automată la vârfuri de trafic;</w:t>
      </w:r>
    </w:p>
    <w:p>
      <w:pPr>
        <w:pStyle w:val="ListBullet"/>
        <w:spacing w:after="40"/>
        <w:jc w:val="both"/>
      </w:pPr>
      <w:r>
        <w:rPr>
          <w:sz w:val="22"/>
        </w:rPr>
        <w:t>NFR-04: Securitate — TLS 1.3, secrete în seif dedicat, parole Argon2id, limitare de rată per IP, protecție CSRF/XSS;</w:t>
      </w:r>
    </w:p>
    <w:p>
      <w:pPr>
        <w:pStyle w:val="ListBullet"/>
        <w:spacing w:after="40"/>
        <w:jc w:val="both"/>
      </w:pPr>
      <w:r>
        <w:rPr>
          <w:sz w:val="22"/>
        </w:rPr>
        <w:t>NFR-05: Conformitate GDPR — DPIA, drept la ștergere (soft-delete 30 zile + hard-delete), export DSAR ≤ 30 zile;</w:t>
      </w:r>
    </w:p>
    <w:p>
      <w:pPr>
        <w:pStyle w:val="ListBullet"/>
        <w:spacing w:after="40"/>
        <w:jc w:val="both"/>
      </w:pPr>
      <w:r>
        <w:rPr>
          <w:sz w:val="22"/>
        </w:rPr>
        <w:t>NFR-06: Jurnalizare centralizată — 90 zile operațional, 7 ani audit medical;</w:t>
      </w:r>
    </w:p>
    <w:p>
      <w:pPr>
        <w:pStyle w:val="ListBullet"/>
        <w:spacing w:after="40"/>
        <w:jc w:val="both"/>
      </w:pPr>
      <w:r>
        <w:rPr>
          <w:sz w:val="22"/>
        </w:rPr>
        <w:t>NFR-07: Backup automat al bazei de date la 6 ore, retenție 35 zile;</w:t>
      </w:r>
    </w:p>
    <w:p>
      <w:pPr>
        <w:pStyle w:val="ListBullet"/>
        <w:spacing w:after="40"/>
        <w:jc w:val="both"/>
      </w:pPr>
      <w:r>
        <w:rPr>
          <w:sz w:val="22"/>
        </w:rPr>
        <w:t>NFR-08: Recuperare în caz de dezastru — RPO 1 oră, RTO 4 ore;</w:t>
      </w:r>
    </w:p>
    <w:p>
      <w:pPr>
        <w:pStyle w:val="ListBullet"/>
        <w:spacing w:after="40"/>
        <w:jc w:val="both"/>
      </w:pPr>
      <w:r>
        <w:rPr>
          <w:sz w:val="22"/>
        </w:rPr>
        <w:t>NFR-09: Accesibilitate WCAG 2.1 nivel AA;</w:t>
      </w:r>
    </w:p>
    <w:p>
      <w:pPr>
        <w:pStyle w:val="ListBullet"/>
        <w:spacing w:after="40"/>
        <w:jc w:val="both"/>
      </w:pPr>
      <w:r>
        <w:rPr>
          <w:sz w:val="22"/>
        </w:rPr>
        <w:t>NFR-10: Localizare completă (UI, interpretare, PDF, e-mail, erori) pentru toate limbile active.</w:t>
      </w:r>
    </w:p>
    <w:p>
      <w:pPr>
        <w:pStyle w:val="Heading2"/>
      </w:pPr>
      <w:r>
        <w:rPr>
          <w:color w:val="1F3A68"/>
        </w:rPr>
        <w:t>C.4.7. Securitatea cibernetică a soluției</w:t>
      </w:r>
    </w:p>
    <w:p>
      <w:pPr>
        <w:spacing w:after="120"/>
        <w:jc w:val="both"/>
      </w:pPr>
      <w:r>
        <w:rPr>
          <w:b w:val="0"/>
          <w:i w:val="0"/>
          <w:sz w:val="22"/>
        </w:rPr>
        <w:t>Securitatea va fi proiectată de la început (security by design), conform ISO/IEC 27001:2022 și OWASP Top 10:</w:t>
      </w:r>
    </w:p>
    <w:p>
      <w:pPr>
        <w:pStyle w:val="ListBullet"/>
        <w:spacing w:after="40"/>
        <w:jc w:val="both"/>
      </w:pPr>
      <w:r>
        <w:rPr>
          <w:sz w:val="22"/>
        </w:rPr>
        <w:t>Autentificare: parole cu hash Argon2id (parametri memory-hard), sesiuni securizate cu rotație, fundație MFA (TOTP), blocare progresivă anti brute-force;</w:t>
      </w:r>
    </w:p>
    <w:p>
      <w:pPr>
        <w:pStyle w:val="ListBullet"/>
        <w:spacing w:after="40"/>
        <w:jc w:val="both"/>
      </w:pPr>
      <w:r>
        <w:rPr>
          <w:sz w:val="22"/>
        </w:rPr>
        <w:t>Autorizare: control de acces pe roluri ierarhice (utilizator, premium, administrator clinică, operator, suport, administrator platformă) și izolare de tenant pentru B2B;</w:t>
      </w:r>
    </w:p>
    <w:p>
      <w:pPr>
        <w:pStyle w:val="ListBullet"/>
        <w:spacing w:after="40"/>
        <w:jc w:val="both"/>
      </w:pPr>
      <w:r>
        <w:rPr>
          <w:sz w:val="22"/>
        </w:rPr>
        <w:t>Date în tranzit: TLS 1.3 obligatoriu, HSTS, certificate reînnoite automat;</w:t>
      </w:r>
    </w:p>
    <w:p>
      <w:pPr>
        <w:pStyle w:val="ListBullet"/>
        <w:spacing w:after="40"/>
        <w:jc w:val="both"/>
      </w:pPr>
      <w:r>
        <w:rPr>
          <w:sz w:val="22"/>
        </w:rPr>
        <w:t>Date la repaus: criptare transparentă a bazei de date (TDE), criptarea stocării de obiecte, secrete exclusiv în seiful dedicat (fără chei în cod sau configurații);</w:t>
      </w:r>
    </w:p>
    <w:p>
      <w:pPr>
        <w:pStyle w:val="ListBullet"/>
        <w:spacing w:after="40"/>
        <w:jc w:val="both"/>
      </w:pPr>
      <w:r>
        <w:rPr>
          <w:sz w:val="22"/>
        </w:rPr>
        <w:t>Protecții aplicative: interogări parametrizate (anti SQL injection), auto-encoding și Content Security Policy strictă (anti XSS), token anti-CSRF, validarea tuturor intrărilor, limitare de rată;</w:t>
      </w:r>
    </w:p>
    <w:p>
      <w:pPr>
        <w:pStyle w:val="ListBullet"/>
        <w:spacing w:after="40"/>
        <w:jc w:val="both"/>
      </w:pPr>
      <w:r>
        <w:rPr>
          <w:sz w:val="22"/>
        </w:rPr>
        <w:t>Audit: jurnalizarea acțiunilor sensibile cu retenție 7 ani;</w:t>
      </w:r>
    </w:p>
    <w:p>
      <w:pPr>
        <w:pStyle w:val="ListBullet"/>
        <w:spacing w:after="40"/>
        <w:jc w:val="both"/>
      </w:pPr>
      <w:r>
        <w:rPr>
          <w:sz w:val="22"/>
        </w:rPr>
        <w:t>Monitorizare: alerte automate pentru tipare anormale (brute-force, anomalii geografice, rafale de upload).</w:t>
      </w:r>
    </w:p>
    <w:p>
      <w:pPr>
        <w:pStyle w:val="Heading2"/>
      </w:pPr>
      <w:r>
        <w:rPr>
          <w:color w:val="1F3A68"/>
        </w:rPr>
        <w:t>C.4.8. Integrările externe planificate</w:t>
      </w:r>
    </w:p>
    <w:tbl>
      <w:tblPr>
        <w:tblStyle w:val="LightGrid-Accent1"/>
        <w:tblW w:type="auto" w:w="0"/>
        <w:tblLook w:firstColumn="1" w:firstRow="1" w:lastColumn="0" w:lastRow="0" w:noHBand="0" w:noVBand="1" w:val="04A0"/>
      </w:tblPr>
      <w:tblGrid>
        <w:gridCol w:w="3249"/>
        <w:gridCol w:w="3249"/>
        <w:gridCol w:w="3249"/>
      </w:tblGrid>
      <w:tr>
        <w:tc>
          <w:tcPr>
            <w:tcW w:type="dxa" w:w="2608"/>
            <w:shd w:val="clear" w:color="auto" w:fill="1F3A68"/>
          </w:tcPr>
          <w:p>
            <w:r>
              <w:rPr>
                <w:color w:val="FFFFFF"/>
              </w:rPr>
            </w:r>
            <w:r>
              <w:rPr>
                <w:b/>
                <w:color w:val="FFFFFF"/>
                <w:sz w:val="20"/>
              </w:rPr>
              <w:t>Integrare</w:t>
            </w:r>
          </w:p>
        </w:tc>
        <w:tc>
          <w:tcPr>
            <w:tcW w:type="dxa" w:w="3061"/>
            <w:shd w:val="clear" w:color="auto" w:fill="1F3A68"/>
          </w:tcPr>
          <w:p>
            <w:r>
              <w:rPr>
                <w:color w:val="FFFFFF"/>
              </w:rPr>
            </w:r>
            <w:r>
              <w:rPr>
                <w:b/>
                <w:color w:val="FFFFFF"/>
                <w:sz w:val="20"/>
              </w:rPr>
              <w:t>Rol</w:t>
            </w:r>
          </w:p>
        </w:tc>
        <w:tc>
          <w:tcPr>
            <w:tcW w:type="dxa" w:w="3515"/>
            <w:shd w:val="clear" w:color="auto" w:fill="1F3A68"/>
          </w:tcPr>
          <w:p>
            <w:r>
              <w:rPr>
                <w:color w:val="FFFFFF"/>
              </w:rPr>
            </w:r>
            <w:r>
              <w:rPr>
                <w:b/>
                <w:color w:val="FFFFFF"/>
                <w:sz w:val="20"/>
              </w:rPr>
              <w:t>Observații</w:t>
            </w:r>
          </w:p>
        </w:tc>
      </w:tr>
      <w:tr>
        <w:tc>
          <w:tcPr>
            <w:tcW w:type="dxa" w:w="2608"/>
          </w:tcPr>
          <w:p>
            <w:r/>
            <w:r>
              <w:rPr>
                <w:sz w:val="20"/>
              </w:rPr>
              <w:t>API LLM multimodal (familia Google Gemini)</w:t>
            </w:r>
          </w:p>
        </w:tc>
        <w:tc>
          <w:tcPr>
            <w:tcW w:type="dxa" w:w="3061"/>
          </w:tcPr>
          <w:p>
            <w:r/>
            <w:r>
              <w:rPr>
                <w:sz w:val="20"/>
              </w:rPr>
              <w:t>Extragerea structurată din PDF și interpretarea narativă</w:t>
            </w:r>
          </w:p>
        </w:tc>
        <w:tc>
          <w:tcPr>
            <w:tcW w:type="dxa" w:w="3515"/>
          </w:tcPr>
          <w:p>
            <w:r/>
            <w:r>
              <w:rPr>
                <w:sz w:val="20"/>
              </w:rPr>
              <w:t>Apel REST cu schemă strictă de răspuns; politici de reîncercare; escaladare adaptivă între modele</w:t>
            </w:r>
          </w:p>
        </w:tc>
      </w:tr>
      <w:tr>
        <w:tc>
          <w:tcPr>
            <w:tcW w:type="dxa" w:w="2608"/>
          </w:tcPr>
          <w:p>
            <w:r/>
            <w:r>
              <w:rPr>
                <w:sz w:val="20"/>
              </w:rPr>
              <w:t>Nomenclatorul LOINC (Regenstrief Institute)</w:t>
            </w:r>
          </w:p>
        </w:tc>
        <w:tc>
          <w:tcPr>
            <w:tcW w:type="dxa" w:w="3061"/>
          </w:tcPr>
          <w:p>
            <w:r/>
            <w:r>
              <w:rPr>
                <w:sz w:val="20"/>
              </w:rPr>
              <w:t>Baza terminologică a codificării</w:t>
            </w:r>
          </w:p>
        </w:tc>
        <w:tc>
          <w:tcPr>
            <w:tcW w:type="dxa" w:w="3515"/>
          </w:tcPr>
          <w:p>
            <w:r/>
            <w:r>
              <w:rPr>
                <w:sz w:val="20"/>
              </w:rPr>
              <w:t>Licențiere conform termenilor oficiali; actualizări semestriale versionate</w:t>
            </w:r>
          </w:p>
        </w:tc>
      </w:tr>
      <w:tr>
        <w:tc>
          <w:tcPr>
            <w:tcW w:type="dxa" w:w="2608"/>
          </w:tcPr>
          <w:p>
            <w:r/>
            <w:r>
              <w:rPr>
                <w:sz w:val="20"/>
              </w:rPr>
              <w:t>Relay SMTP tranzacțional</w:t>
            </w:r>
          </w:p>
        </w:tc>
        <w:tc>
          <w:tcPr>
            <w:tcW w:type="dxa" w:w="3061"/>
          </w:tcPr>
          <w:p>
            <w:r/>
            <w:r>
              <w:rPr>
                <w:sz w:val="20"/>
              </w:rPr>
              <w:t>E-mailuri de sistem (verificare, resetare, rapoarte)</w:t>
            </w:r>
          </w:p>
        </w:tc>
        <w:tc>
          <w:tcPr>
            <w:tcW w:type="dxa" w:w="3515"/>
          </w:tcPr>
          <w:p>
            <w:r/>
            <w:r>
              <w:rPr>
                <w:sz w:val="20"/>
              </w:rPr>
              <w:t>Trimitere asincronă; domeniu dedicat cu SPF/DKIM/DMARC</w:t>
            </w:r>
          </w:p>
        </w:tc>
      </w:tr>
      <w:tr>
        <w:tc>
          <w:tcPr>
            <w:tcW w:type="dxa" w:w="2608"/>
          </w:tcPr>
          <w:p>
            <w:r/>
            <w:r>
              <w:rPr>
                <w:sz w:val="20"/>
              </w:rPr>
              <w:t>Gateway de plăți european</w:t>
            </w:r>
          </w:p>
        </w:tc>
        <w:tc>
          <w:tcPr>
            <w:tcW w:type="dxa" w:w="3061"/>
          </w:tcPr>
          <w:p>
            <w:r/>
            <w:r>
              <w:rPr>
                <w:sz w:val="20"/>
              </w:rPr>
              <w:t>Abonamente recurente B2C/B2B, SCA/3-D Secure</w:t>
            </w:r>
          </w:p>
        </w:tc>
        <w:tc>
          <w:tcPr>
            <w:tcW w:type="dxa" w:w="3515"/>
          </w:tcPr>
          <w:p>
            <w:r/>
            <w:r>
              <w:rPr>
                <w:sz w:val="20"/>
              </w:rPr>
              <w:t>Facturare automată, TVA OSS pentru vânzări UE</w:t>
            </w:r>
          </w:p>
        </w:tc>
      </w:tr>
      <w:tr>
        <w:tc>
          <w:tcPr>
            <w:tcW w:type="dxa" w:w="2608"/>
          </w:tcPr>
          <w:p>
            <w:r/>
            <w:r>
              <w:rPr>
                <w:sz w:val="20"/>
              </w:rPr>
              <w:t>Seif de secrete și telemetrie cloud</w:t>
            </w:r>
          </w:p>
        </w:tc>
        <w:tc>
          <w:tcPr>
            <w:tcW w:type="dxa" w:w="3061"/>
          </w:tcPr>
          <w:p>
            <w:r/>
            <w:r>
              <w:rPr>
                <w:sz w:val="20"/>
              </w:rPr>
              <w:t>Gestiunea credențialelor și observabilitate</w:t>
            </w:r>
          </w:p>
        </w:tc>
        <w:tc>
          <w:tcPr>
            <w:tcW w:type="dxa" w:w="3515"/>
          </w:tcPr>
          <w:p>
            <w:r/>
            <w:r>
              <w:rPr>
                <w:sz w:val="20"/>
              </w:rPr>
              <w:t>Identități gestionate, fără secrete în cod</w:t>
            </w:r>
          </w:p>
        </w:tc>
      </w:tr>
      <w:tr>
        <w:tc>
          <w:tcPr>
            <w:tcW w:type="dxa" w:w="2608"/>
          </w:tcPr>
          <w:p>
            <w:r/>
            <w:r>
              <w:rPr>
                <w:sz w:val="20"/>
              </w:rPr>
              <w:t>HL7 FHIR (conectori B2B)</w:t>
            </w:r>
          </w:p>
        </w:tc>
        <w:tc>
          <w:tcPr>
            <w:tcW w:type="dxa" w:w="3061"/>
          </w:tcPr>
          <w:p>
            <w:r/>
            <w:r>
              <w:rPr>
                <w:sz w:val="20"/>
              </w:rPr>
              <w:t>Interoperabilitate cu HIS/LIS și pregătire EHDS</w:t>
            </w:r>
          </w:p>
        </w:tc>
        <w:tc>
          <w:tcPr>
            <w:tcW w:type="dxa" w:w="3515"/>
          </w:tcPr>
          <w:p>
            <w:r/>
            <w:r>
              <w:rPr>
                <w:sz w:val="20"/>
              </w:rPr>
              <w:t>Resurse Observation/DiagnosticReport/Patient cu coduri LOINC</w:t>
            </w:r>
          </w:p>
        </w:tc>
      </w:tr>
    </w:tbl>
    <w:p>
      <w:pPr>
        <w:pStyle w:val="Heading2"/>
      </w:pPr>
      <w:r>
        <w:rPr>
          <w:color w:val="1F3A68"/>
        </w:rPr>
        <w:t>C.4.9. Metodologia de dezvoltare și asigurarea calității</w:t>
      </w:r>
    </w:p>
    <w:p>
      <w:pPr>
        <w:spacing w:after="120"/>
        <w:jc w:val="both"/>
      </w:pPr>
      <w:r>
        <w:rPr>
          <w:b w:val="0"/>
          <w:i w:val="0"/>
          <w:sz w:val="22"/>
        </w:rPr>
        <w:t>Dezvoltarea va urma metodologia Agile-Scrum cu sprinturi de două săptămâni, planificare pe releases aliniate etapelor E1–E11, demonstrații la finalul fiecărui sprint și retrospective. Asigurarea calității este integrată în procesul de livrare:</w:t>
      </w:r>
    </w:p>
    <w:p>
      <w:pPr>
        <w:pStyle w:val="ListBullet"/>
        <w:spacing w:after="40"/>
        <w:jc w:val="both"/>
      </w:pPr>
      <w:r>
        <w:rPr>
          <w:sz w:val="22"/>
        </w:rPr>
        <w:t>Piramidă de teste: unitare (țintă ≥ 70% acoperire pe nucleul de business), de integrare (fluxuri API end-to-end), de interfață (scenarii critice automatizate) și suita de regresie a acurateței LOINC/AI rulată pe corpusul de validare;</w:t>
      </w:r>
    </w:p>
    <w:p>
      <w:pPr>
        <w:pStyle w:val="ListBullet"/>
        <w:spacing w:after="40"/>
        <w:jc w:val="both"/>
      </w:pPr>
      <w:r>
        <w:rPr>
          <w:sz w:val="22"/>
        </w:rPr>
        <w:t>Revizuire de cod obligatorie (four-eyes) pentru fiecare modificare; analiză statică și scanare de dependențe în CI;</w:t>
      </w:r>
    </w:p>
    <w:p>
      <w:pPr>
        <w:pStyle w:val="ListBullet"/>
        <w:spacing w:after="40"/>
        <w:jc w:val="both"/>
      </w:pPr>
      <w:r>
        <w:rPr>
          <w:sz w:val="22"/>
        </w:rPr>
        <w:t>Definition of Done formalizată: cod revizuit, teste trecute, documentație actualizată, criterii de acceptanță ale fazei îndeplinite;</w:t>
      </w:r>
    </w:p>
    <w:p>
      <w:pPr>
        <w:pStyle w:val="ListBullet"/>
        <w:spacing w:after="40"/>
        <w:jc w:val="both"/>
      </w:pPr>
      <w:r>
        <w:rPr>
          <w:sz w:val="22"/>
        </w:rPr>
        <w:t>Gestiunea versiunilor semantică și jurnal de modificări per release;</w:t>
      </w:r>
    </w:p>
    <w:p>
      <w:pPr>
        <w:pStyle w:val="ListBullet"/>
        <w:spacing w:after="40"/>
        <w:jc w:val="both"/>
      </w:pPr>
      <w:r>
        <w:rPr>
          <w:sz w:val="22"/>
        </w:rPr>
        <w:t>Managementul configurației prin infrastructură-sub-formă-de-cod, cu medii reproductibile.</w:t>
      </w:r>
    </w:p>
    <w:p>
      <w:pPr>
        <w:spacing w:after="120"/>
        <w:jc w:val="both"/>
      </w:pPr>
      <w:r>
        <w:rPr>
          <w:b w:val="0"/>
          <w:i w:val="0"/>
          <w:sz w:val="22"/>
        </w:rPr>
        <w:t>Trasabilitatea cerințelor va fi menținută pe întreg lanțul specificație → fază de dezvoltare → test → criteriu de acceptanță, astfel încât fiecare cerință funcțională din C.4.6 să fie verificabilă la recepția etapei corespunzătoare.</w:t>
      </w:r>
    </w:p>
    <w:p>
      <w:r>
        <w:br w:type="page"/>
      </w:r>
    </w:p>
    <w:p>
      <w:pPr>
        <w:pStyle w:val="Heading2"/>
      </w:pPr>
      <w:r>
        <w:rPr>
          <w:color w:val="1F3A68"/>
        </w:rPr>
        <w:t>C.4.10. Inventarul ecranelor și al fluxurilor de interfață</w:t>
      </w:r>
    </w:p>
    <w:p>
      <w:pPr>
        <w:spacing w:after="120"/>
        <w:jc w:val="both"/>
      </w:pPr>
      <w:r>
        <w:rPr>
          <w:b w:val="0"/>
          <w:i w:val="0"/>
          <w:sz w:val="22"/>
        </w:rPr>
        <w:t>Pentru dimensionarea corectă a efortului de dezvoltare și pentru trasabilitatea completă a livrabilelor de interfață, au fost inventariate toate ecranele aplicației care vor fi proiectate și dezvoltate în cadrul etapelor E1 (design) și E3–E9 (implementare). Inventarul este organizat pe zone funcționale:</w:t>
      </w:r>
    </w:p>
    <w:p>
      <w:pPr>
        <w:spacing w:after="120"/>
        <w:jc w:val="both"/>
      </w:pPr>
      <w:r>
        <w:rPr>
          <w:b/>
          <w:i w:val="0"/>
          <w:sz w:val="22"/>
        </w:rPr>
        <w:t>(A) Zona publică (fără autentificare):</w:t>
      </w:r>
    </w:p>
    <w:tbl>
      <w:tblPr>
        <w:tblStyle w:val="LightGrid-Accent1"/>
        <w:tblW w:type="auto" w:w="0"/>
        <w:tblLook w:firstColumn="1" w:firstRow="1" w:lastColumn="0" w:lastRow="0" w:noHBand="0" w:noVBand="1" w:val="04A0"/>
      </w:tblPr>
      <w:tblGrid>
        <w:gridCol w:w="3249"/>
        <w:gridCol w:w="3249"/>
        <w:gridCol w:w="3249"/>
      </w:tblGrid>
      <w:tr>
        <w:tc>
          <w:tcPr>
            <w:tcW w:type="dxa" w:w="2154"/>
            <w:shd w:val="clear" w:color="auto" w:fill="1F3A68"/>
          </w:tcPr>
          <w:p>
            <w:r>
              <w:rPr>
                <w:color w:val="FFFFFF"/>
              </w:rPr>
            </w:r>
            <w:r>
              <w:rPr>
                <w:b/>
                <w:color w:val="FFFFFF"/>
                <w:sz w:val="20"/>
              </w:rPr>
              <w:t>Ecran</w:t>
            </w:r>
          </w:p>
        </w:tc>
        <w:tc>
          <w:tcPr>
            <w:tcW w:type="dxa" w:w="5896"/>
            <w:shd w:val="clear" w:color="auto" w:fill="1F3A68"/>
          </w:tcPr>
          <w:p>
            <w:r>
              <w:rPr>
                <w:color w:val="FFFFFF"/>
              </w:rPr>
            </w:r>
            <w:r>
              <w:rPr>
                <w:b/>
                <w:color w:val="FFFFFF"/>
                <w:sz w:val="20"/>
              </w:rPr>
              <w:t>Descriere funcțională</w:t>
            </w:r>
          </w:p>
        </w:tc>
        <w:tc>
          <w:tcPr>
            <w:tcW w:type="dxa" w:w="907"/>
            <w:shd w:val="clear" w:color="auto" w:fill="1F3A68"/>
          </w:tcPr>
          <w:p>
            <w:r>
              <w:rPr>
                <w:color w:val="FFFFFF"/>
              </w:rPr>
            </w:r>
            <w:r>
              <w:rPr>
                <w:b/>
                <w:color w:val="FFFFFF"/>
                <w:sz w:val="20"/>
              </w:rPr>
              <w:t>Etapa</w:t>
            </w:r>
          </w:p>
        </w:tc>
      </w:tr>
      <w:tr>
        <w:tc>
          <w:tcPr>
            <w:tcW w:type="dxa" w:w="2154"/>
          </w:tcPr>
          <w:p>
            <w:r/>
            <w:r>
              <w:rPr>
                <w:sz w:val="20"/>
              </w:rPr>
              <w:t>Landing page</w:t>
            </w:r>
          </w:p>
        </w:tc>
        <w:tc>
          <w:tcPr>
            <w:tcW w:type="dxa" w:w="5896"/>
          </w:tcPr>
          <w:p>
            <w:r/>
            <w:r>
              <w:rPr>
                <w:sz w:val="20"/>
              </w:rPr>
              <w:t>Prezentarea propunerii de valoare, modul de funcționare pas cu pas, capturi de produs, testimoniale, apeluri la acțiune către înregistrare</w:t>
            </w:r>
          </w:p>
        </w:tc>
        <w:tc>
          <w:tcPr>
            <w:tcW w:type="dxa" w:w="907"/>
          </w:tcPr>
          <w:p>
            <w:r/>
            <w:r>
              <w:rPr>
                <w:sz w:val="20"/>
              </w:rPr>
              <w:t>F3.1</w:t>
            </w:r>
          </w:p>
        </w:tc>
      </w:tr>
      <w:tr>
        <w:tc>
          <w:tcPr>
            <w:tcW w:type="dxa" w:w="2154"/>
          </w:tcPr>
          <w:p>
            <w:r/>
            <w:r>
              <w:rPr>
                <w:sz w:val="20"/>
              </w:rPr>
              <w:t>Pagina de prețuri</w:t>
            </w:r>
          </w:p>
        </w:tc>
        <w:tc>
          <w:tcPr>
            <w:tcW w:type="dxa" w:w="5896"/>
          </w:tcPr>
          <w:p>
            <w:r/>
            <w:r>
              <w:rPr>
                <w:sz w:val="20"/>
              </w:rPr>
              <w:t>Compararea planurilor freemium/premium și a tierelor B2B, întrebări frecvente despre facturare</w:t>
            </w:r>
          </w:p>
        </w:tc>
        <w:tc>
          <w:tcPr>
            <w:tcW w:type="dxa" w:w="907"/>
          </w:tcPr>
          <w:p>
            <w:r/>
            <w:r>
              <w:rPr>
                <w:sz w:val="20"/>
              </w:rPr>
              <w:t>F3.1</w:t>
            </w:r>
          </w:p>
        </w:tc>
      </w:tr>
      <w:tr>
        <w:tc>
          <w:tcPr>
            <w:tcW w:type="dxa" w:w="2154"/>
          </w:tcPr>
          <w:p>
            <w:r/>
            <w:r>
              <w:rPr>
                <w:sz w:val="20"/>
              </w:rPr>
              <w:t>Pagina B2B pentru clinici</w:t>
            </w:r>
          </w:p>
        </w:tc>
        <w:tc>
          <w:tcPr>
            <w:tcW w:type="dxa" w:w="5896"/>
          </w:tcPr>
          <w:p>
            <w:r/>
            <w:r>
              <w:rPr>
                <w:sz w:val="20"/>
              </w:rPr>
              <w:t>Beneficii dedicate clinicilor, calculator de economie de timp, formular de solicitare demo</w:t>
            </w:r>
          </w:p>
        </w:tc>
        <w:tc>
          <w:tcPr>
            <w:tcW w:type="dxa" w:w="907"/>
          </w:tcPr>
          <w:p>
            <w:r/>
            <w:r>
              <w:rPr>
                <w:sz w:val="20"/>
              </w:rPr>
              <w:t>F3.1</w:t>
            </w:r>
          </w:p>
        </w:tc>
      </w:tr>
      <w:tr>
        <w:tc>
          <w:tcPr>
            <w:tcW w:type="dxa" w:w="2154"/>
          </w:tcPr>
          <w:p>
            <w:r/>
            <w:r>
              <w:rPr>
                <w:sz w:val="20"/>
              </w:rPr>
              <w:t>Întrebări frecvente (FAQ)</w:t>
            </w:r>
          </w:p>
        </w:tc>
        <w:tc>
          <w:tcPr>
            <w:tcW w:type="dxa" w:w="5896"/>
          </w:tcPr>
          <w:p>
            <w:r/>
            <w:r>
              <w:rPr>
                <w:sz w:val="20"/>
              </w:rPr>
              <w:t>Răspunsuri structurate pe categorii: produs, date personale, plăți, limitări medicale</w:t>
            </w:r>
          </w:p>
        </w:tc>
        <w:tc>
          <w:tcPr>
            <w:tcW w:type="dxa" w:w="907"/>
          </w:tcPr>
          <w:p>
            <w:r/>
            <w:r>
              <w:rPr>
                <w:sz w:val="20"/>
              </w:rPr>
              <w:t>F3.1</w:t>
            </w:r>
          </w:p>
        </w:tc>
      </w:tr>
      <w:tr>
        <w:tc>
          <w:tcPr>
            <w:tcW w:type="dxa" w:w="2154"/>
          </w:tcPr>
          <w:p>
            <w:r/>
            <w:r>
              <w:rPr>
                <w:sz w:val="20"/>
              </w:rPr>
              <w:t>Pagini legale</w:t>
            </w:r>
          </w:p>
        </w:tc>
        <w:tc>
          <w:tcPr>
            <w:tcW w:type="dxa" w:w="5896"/>
          </w:tcPr>
          <w:p>
            <w:r/>
            <w:r>
              <w:rPr>
                <w:sz w:val="20"/>
              </w:rPr>
              <w:t>Termeni și condiții, politica de confidențialitate, politica cookie cu gestionarea consimțământului</w:t>
            </w:r>
          </w:p>
        </w:tc>
        <w:tc>
          <w:tcPr>
            <w:tcW w:type="dxa" w:w="907"/>
          </w:tcPr>
          <w:p>
            <w:r/>
            <w:r>
              <w:rPr>
                <w:sz w:val="20"/>
              </w:rPr>
              <w:t>F3.1</w:t>
            </w:r>
          </w:p>
        </w:tc>
      </w:tr>
      <w:tr>
        <w:tc>
          <w:tcPr>
            <w:tcW w:type="dxa" w:w="2154"/>
          </w:tcPr>
          <w:p>
            <w:r/>
            <w:r>
              <w:rPr>
                <w:sz w:val="20"/>
              </w:rPr>
              <w:t>Formular de contact</w:t>
            </w:r>
          </w:p>
        </w:tc>
        <w:tc>
          <w:tcPr>
            <w:tcW w:type="dxa" w:w="5896"/>
          </w:tcPr>
          <w:p>
            <w:r/>
            <w:r>
              <w:rPr>
                <w:sz w:val="20"/>
              </w:rPr>
              <w:t>Mesaje către echipă, cu protecție anti-spam</w:t>
            </w:r>
          </w:p>
        </w:tc>
        <w:tc>
          <w:tcPr>
            <w:tcW w:type="dxa" w:w="907"/>
          </w:tcPr>
          <w:p>
            <w:r/>
            <w:r>
              <w:rPr>
                <w:sz w:val="20"/>
              </w:rPr>
              <w:t>F3.1</w:t>
            </w:r>
          </w:p>
        </w:tc>
      </w:tr>
      <w:tr>
        <w:tc>
          <w:tcPr>
            <w:tcW w:type="dxa" w:w="2154"/>
          </w:tcPr>
          <w:p>
            <w:r/>
            <w:r>
              <w:rPr>
                <w:sz w:val="20"/>
              </w:rPr>
              <w:t>Lista de așteptare (waitlist)</w:t>
            </w:r>
          </w:p>
        </w:tc>
        <w:tc>
          <w:tcPr>
            <w:tcW w:type="dxa" w:w="5896"/>
          </w:tcPr>
          <w:p>
            <w:r/>
            <w:r>
              <w:rPr>
                <w:sz w:val="20"/>
              </w:rPr>
              <w:t>Înscriere pre-lansare cu dublu opt-in și contor social</w:t>
            </w:r>
          </w:p>
        </w:tc>
        <w:tc>
          <w:tcPr>
            <w:tcW w:type="dxa" w:w="907"/>
          </w:tcPr>
          <w:p>
            <w:r/>
            <w:r>
              <w:rPr>
                <w:sz w:val="20"/>
              </w:rPr>
              <w:t>F3.1</w:t>
            </w:r>
          </w:p>
        </w:tc>
      </w:tr>
    </w:tbl>
    <w:p>
      <w:pPr>
        <w:spacing w:after="120"/>
        <w:jc w:val="both"/>
      </w:pPr>
      <w:r>
        <w:rPr>
          <w:b/>
          <w:i w:val="0"/>
          <w:sz w:val="22"/>
        </w:rPr>
        <w:t>(B) Zona de cont și autentificare:</w:t>
      </w:r>
    </w:p>
    <w:tbl>
      <w:tblPr>
        <w:tblStyle w:val="LightGrid-Accent1"/>
        <w:tblW w:type="auto" w:w="0"/>
        <w:tblLook w:firstColumn="1" w:firstRow="1" w:lastColumn="0" w:lastRow="0" w:noHBand="0" w:noVBand="1" w:val="04A0"/>
      </w:tblPr>
      <w:tblGrid>
        <w:gridCol w:w="3249"/>
        <w:gridCol w:w="3249"/>
        <w:gridCol w:w="3249"/>
      </w:tblGrid>
      <w:tr>
        <w:tc>
          <w:tcPr>
            <w:tcW w:type="dxa" w:w="2154"/>
            <w:shd w:val="clear" w:color="auto" w:fill="1F3A68"/>
          </w:tcPr>
          <w:p>
            <w:r>
              <w:rPr>
                <w:color w:val="FFFFFF"/>
              </w:rPr>
            </w:r>
            <w:r>
              <w:rPr>
                <w:b/>
                <w:color w:val="FFFFFF"/>
                <w:sz w:val="20"/>
              </w:rPr>
              <w:t>Ecran</w:t>
            </w:r>
          </w:p>
        </w:tc>
        <w:tc>
          <w:tcPr>
            <w:tcW w:type="dxa" w:w="5896"/>
            <w:shd w:val="clear" w:color="auto" w:fill="1F3A68"/>
          </w:tcPr>
          <w:p>
            <w:r>
              <w:rPr>
                <w:color w:val="FFFFFF"/>
              </w:rPr>
            </w:r>
            <w:r>
              <w:rPr>
                <w:b/>
                <w:color w:val="FFFFFF"/>
                <w:sz w:val="20"/>
              </w:rPr>
              <w:t>Descriere funcțională</w:t>
            </w:r>
          </w:p>
        </w:tc>
        <w:tc>
          <w:tcPr>
            <w:tcW w:type="dxa" w:w="907"/>
            <w:shd w:val="clear" w:color="auto" w:fill="1F3A68"/>
          </w:tcPr>
          <w:p>
            <w:r>
              <w:rPr>
                <w:color w:val="FFFFFF"/>
              </w:rPr>
            </w:r>
            <w:r>
              <w:rPr>
                <w:b/>
                <w:color w:val="FFFFFF"/>
                <w:sz w:val="20"/>
              </w:rPr>
              <w:t>Etapa</w:t>
            </w:r>
          </w:p>
        </w:tc>
      </w:tr>
      <w:tr>
        <w:tc>
          <w:tcPr>
            <w:tcW w:type="dxa" w:w="2154"/>
          </w:tcPr>
          <w:p>
            <w:r/>
            <w:r>
              <w:rPr>
                <w:sz w:val="20"/>
              </w:rPr>
              <w:t>Înregistrare</w:t>
            </w:r>
          </w:p>
        </w:tc>
        <w:tc>
          <w:tcPr>
            <w:tcW w:type="dxa" w:w="5896"/>
          </w:tcPr>
          <w:p>
            <w:r/>
            <w:r>
              <w:rPr>
                <w:sz w:val="20"/>
              </w:rPr>
              <w:t>Formular cu validare în timp real, indicator de putere a parolei, consimțăminte GDPR granulare</w:t>
            </w:r>
          </w:p>
        </w:tc>
        <w:tc>
          <w:tcPr>
            <w:tcW w:type="dxa" w:w="907"/>
          </w:tcPr>
          <w:p>
            <w:r/>
            <w:r>
              <w:rPr>
                <w:sz w:val="20"/>
              </w:rPr>
              <w:t>F3.2</w:t>
            </w:r>
          </w:p>
        </w:tc>
      </w:tr>
      <w:tr>
        <w:tc>
          <w:tcPr>
            <w:tcW w:type="dxa" w:w="2154"/>
          </w:tcPr>
          <w:p>
            <w:r/>
            <w:r>
              <w:rPr>
                <w:sz w:val="20"/>
              </w:rPr>
              <w:t>Verificare e-mail</w:t>
            </w:r>
          </w:p>
        </w:tc>
        <w:tc>
          <w:tcPr>
            <w:tcW w:type="dxa" w:w="5896"/>
          </w:tcPr>
          <w:p>
            <w:r/>
            <w:r>
              <w:rPr>
                <w:sz w:val="20"/>
              </w:rPr>
              <w:t>Confirmarea adresei prin link cu expirare; retrimitere controlată</w:t>
            </w:r>
          </w:p>
        </w:tc>
        <w:tc>
          <w:tcPr>
            <w:tcW w:type="dxa" w:w="907"/>
          </w:tcPr>
          <w:p>
            <w:r/>
            <w:r>
              <w:rPr>
                <w:sz w:val="20"/>
              </w:rPr>
              <w:t>F3.2</w:t>
            </w:r>
          </w:p>
        </w:tc>
      </w:tr>
      <w:tr>
        <w:tc>
          <w:tcPr>
            <w:tcW w:type="dxa" w:w="2154"/>
          </w:tcPr>
          <w:p>
            <w:r/>
            <w:r>
              <w:rPr>
                <w:sz w:val="20"/>
              </w:rPr>
              <w:t>Onboarding ghidat</w:t>
            </w:r>
          </w:p>
        </w:tc>
        <w:tc>
          <w:tcPr>
            <w:tcW w:type="dxa" w:w="5896"/>
          </w:tcPr>
          <w:p>
            <w:r/>
            <w:r>
              <w:rPr>
                <w:sz w:val="20"/>
              </w:rPr>
              <w:t>Pași interactivi la primul login: crearea primului profil, explicarea creditelor gratuite, primul upload</w:t>
            </w:r>
          </w:p>
        </w:tc>
        <w:tc>
          <w:tcPr>
            <w:tcW w:type="dxa" w:w="907"/>
          </w:tcPr>
          <w:p>
            <w:r/>
            <w:r>
              <w:rPr>
                <w:sz w:val="20"/>
              </w:rPr>
              <w:t>F3.2</w:t>
            </w:r>
          </w:p>
        </w:tc>
      </w:tr>
      <w:tr>
        <w:tc>
          <w:tcPr>
            <w:tcW w:type="dxa" w:w="2154"/>
          </w:tcPr>
          <w:p>
            <w:r/>
            <w:r>
              <w:rPr>
                <w:sz w:val="20"/>
              </w:rPr>
              <w:t>Autentificare</w:t>
            </w:r>
          </w:p>
        </w:tc>
        <w:tc>
          <w:tcPr>
            <w:tcW w:type="dxa" w:w="5896"/>
          </w:tcPr>
          <w:p>
            <w:r/>
            <w:r>
              <w:rPr>
                <w:sz w:val="20"/>
              </w:rPr>
              <w:t>Login cu e-mail și parolă, opțiunea „ține-mă minte” (30 zile), mesaje de eroare sigure</w:t>
            </w:r>
          </w:p>
        </w:tc>
        <w:tc>
          <w:tcPr>
            <w:tcW w:type="dxa" w:w="907"/>
          </w:tcPr>
          <w:p>
            <w:r/>
            <w:r>
              <w:rPr>
                <w:sz w:val="20"/>
              </w:rPr>
              <w:t>F3.3</w:t>
            </w:r>
          </w:p>
        </w:tc>
      </w:tr>
      <w:tr>
        <w:tc>
          <w:tcPr>
            <w:tcW w:type="dxa" w:w="2154"/>
          </w:tcPr>
          <w:p>
            <w:r/>
            <w:r>
              <w:rPr>
                <w:sz w:val="20"/>
              </w:rPr>
              <w:t>Recuperare parolă</w:t>
            </w:r>
          </w:p>
        </w:tc>
        <w:tc>
          <w:tcPr>
            <w:tcW w:type="dxa" w:w="5896"/>
          </w:tcPr>
          <w:p>
            <w:r/>
            <w:r>
              <w:rPr>
                <w:sz w:val="20"/>
              </w:rPr>
              <w:t>Solicitare + setare parolă nouă prin token cu unică folosință</w:t>
            </w:r>
          </w:p>
        </w:tc>
        <w:tc>
          <w:tcPr>
            <w:tcW w:type="dxa" w:w="907"/>
          </w:tcPr>
          <w:p>
            <w:r/>
            <w:r>
              <w:rPr>
                <w:sz w:val="20"/>
              </w:rPr>
              <w:t>F3.3</w:t>
            </w:r>
          </w:p>
        </w:tc>
      </w:tr>
      <w:tr>
        <w:tc>
          <w:tcPr>
            <w:tcW w:type="dxa" w:w="2154"/>
          </w:tcPr>
          <w:p>
            <w:r/>
            <w:r>
              <w:rPr>
                <w:sz w:val="20"/>
              </w:rPr>
              <w:t>Setările contului</w:t>
            </w:r>
          </w:p>
        </w:tc>
        <w:tc>
          <w:tcPr>
            <w:tcW w:type="dxa" w:w="5896"/>
          </w:tcPr>
          <w:p>
            <w:r/>
            <w:r>
              <w:rPr>
                <w:sz w:val="20"/>
              </w:rPr>
              <w:t>Date personale, limba preferată, schimbarea parolei, gestiunea consimțămintelor, ștergerea contului (GDPR)</w:t>
            </w:r>
          </w:p>
        </w:tc>
        <w:tc>
          <w:tcPr>
            <w:tcW w:type="dxa" w:w="907"/>
          </w:tcPr>
          <w:p>
            <w:r/>
            <w:r>
              <w:rPr>
                <w:sz w:val="20"/>
              </w:rPr>
              <w:t>F3.3</w:t>
            </w:r>
          </w:p>
        </w:tc>
      </w:tr>
    </w:tbl>
    <w:p>
      <w:pPr>
        <w:spacing w:after="120"/>
        <w:jc w:val="both"/>
      </w:pPr>
      <w:r>
        <w:rPr>
          <w:b/>
          <w:i w:val="0"/>
          <w:sz w:val="22"/>
        </w:rPr>
        <w:t>(C) Zona B2C (utilizator autentificat):</w:t>
      </w:r>
    </w:p>
    <w:tbl>
      <w:tblPr>
        <w:tblStyle w:val="LightGrid-Accent1"/>
        <w:tblW w:type="auto" w:w="0"/>
        <w:tblLook w:firstColumn="1" w:firstRow="1" w:lastColumn="0" w:lastRow="0" w:noHBand="0" w:noVBand="1" w:val="04A0"/>
      </w:tblPr>
      <w:tblGrid>
        <w:gridCol w:w="3249"/>
        <w:gridCol w:w="3249"/>
        <w:gridCol w:w="3249"/>
      </w:tblGrid>
      <w:tr>
        <w:tc>
          <w:tcPr>
            <w:tcW w:type="dxa" w:w="2154"/>
            <w:shd w:val="clear" w:color="auto" w:fill="1F3A68"/>
          </w:tcPr>
          <w:p>
            <w:r>
              <w:rPr>
                <w:color w:val="FFFFFF"/>
              </w:rPr>
            </w:r>
            <w:r>
              <w:rPr>
                <w:b/>
                <w:color w:val="FFFFFF"/>
                <w:sz w:val="20"/>
              </w:rPr>
              <w:t>Ecran</w:t>
            </w:r>
          </w:p>
        </w:tc>
        <w:tc>
          <w:tcPr>
            <w:tcW w:type="dxa" w:w="5896"/>
            <w:shd w:val="clear" w:color="auto" w:fill="1F3A68"/>
          </w:tcPr>
          <w:p>
            <w:r>
              <w:rPr>
                <w:color w:val="FFFFFF"/>
              </w:rPr>
            </w:r>
            <w:r>
              <w:rPr>
                <w:b/>
                <w:color w:val="FFFFFF"/>
                <w:sz w:val="20"/>
              </w:rPr>
              <w:t>Descriere funcțională</w:t>
            </w:r>
          </w:p>
        </w:tc>
        <w:tc>
          <w:tcPr>
            <w:tcW w:type="dxa" w:w="907"/>
            <w:shd w:val="clear" w:color="auto" w:fill="1F3A68"/>
          </w:tcPr>
          <w:p>
            <w:r>
              <w:rPr>
                <w:color w:val="FFFFFF"/>
              </w:rPr>
            </w:r>
            <w:r>
              <w:rPr>
                <w:b/>
                <w:color w:val="FFFFFF"/>
                <w:sz w:val="20"/>
              </w:rPr>
              <w:t>Etapa</w:t>
            </w:r>
          </w:p>
        </w:tc>
      </w:tr>
      <w:tr>
        <w:tc>
          <w:tcPr>
            <w:tcW w:type="dxa" w:w="2154"/>
          </w:tcPr>
          <w:p>
            <w:r/>
            <w:r>
              <w:rPr>
                <w:sz w:val="20"/>
              </w:rPr>
              <w:t>Dashboard principal</w:t>
            </w:r>
          </w:p>
        </w:tc>
        <w:tc>
          <w:tcPr>
            <w:tcW w:type="dxa" w:w="5896"/>
          </w:tcPr>
          <w:p>
            <w:r/>
            <w:r>
              <w:rPr>
                <w:sz w:val="20"/>
              </w:rPr>
              <w:t>Sinteza ultimelor interpretări, sold credite, acces rapid la upload și profiluri</w:t>
            </w:r>
          </w:p>
        </w:tc>
        <w:tc>
          <w:tcPr>
            <w:tcW w:type="dxa" w:w="907"/>
          </w:tcPr>
          <w:p>
            <w:r/>
            <w:r>
              <w:rPr>
                <w:sz w:val="20"/>
              </w:rPr>
              <w:t>F3.6</w:t>
            </w:r>
          </w:p>
        </w:tc>
      </w:tr>
      <w:tr>
        <w:tc>
          <w:tcPr>
            <w:tcW w:type="dxa" w:w="2154"/>
          </w:tcPr>
          <w:p>
            <w:r/>
            <w:r>
              <w:rPr>
                <w:sz w:val="20"/>
              </w:rPr>
              <w:t>Gestiunea profilurilor</w:t>
            </w:r>
          </w:p>
        </w:tc>
        <w:tc>
          <w:tcPr>
            <w:tcW w:type="dxa" w:w="5896"/>
          </w:tcPr>
          <w:p>
            <w:r/>
            <w:r>
              <w:rPr>
                <w:sz w:val="20"/>
              </w:rPr>
              <w:t>Lista profilurilor de familie, adăugare/editare/ștergere cu limite per tier</w:t>
            </w:r>
          </w:p>
        </w:tc>
        <w:tc>
          <w:tcPr>
            <w:tcW w:type="dxa" w:w="907"/>
          </w:tcPr>
          <w:p>
            <w:r/>
            <w:r>
              <w:rPr>
                <w:sz w:val="20"/>
              </w:rPr>
              <w:t>F3.4</w:t>
            </w:r>
          </w:p>
        </w:tc>
      </w:tr>
      <w:tr>
        <w:tc>
          <w:tcPr>
            <w:tcW w:type="dxa" w:w="2154"/>
          </w:tcPr>
          <w:p>
            <w:r/>
            <w:r>
              <w:rPr>
                <w:sz w:val="20"/>
              </w:rPr>
              <w:t>Încărcare document</w:t>
            </w:r>
          </w:p>
        </w:tc>
        <w:tc>
          <w:tcPr>
            <w:tcW w:type="dxa" w:w="5896"/>
          </w:tcPr>
          <w:p>
            <w:r/>
            <w:r>
              <w:rPr>
                <w:sz w:val="20"/>
              </w:rPr>
              <w:t>Zonă drag-and-drop, progres pe segmente, validări, detectarea duplicatelor</w:t>
            </w:r>
          </w:p>
        </w:tc>
        <w:tc>
          <w:tcPr>
            <w:tcW w:type="dxa" w:w="907"/>
          </w:tcPr>
          <w:p>
            <w:r/>
            <w:r>
              <w:rPr>
                <w:sz w:val="20"/>
              </w:rPr>
              <w:t>F3.5</w:t>
            </w:r>
          </w:p>
        </w:tc>
      </w:tr>
      <w:tr>
        <w:tc>
          <w:tcPr>
            <w:tcW w:type="dxa" w:w="2154"/>
          </w:tcPr>
          <w:p>
            <w:r/>
            <w:r>
              <w:rPr>
                <w:sz w:val="20"/>
              </w:rPr>
              <w:t>Procesare în curs</w:t>
            </w:r>
          </w:p>
        </w:tc>
        <w:tc>
          <w:tcPr>
            <w:tcW w:type="dxa" w:w="5896"/>
          </w:tcPr>
          <w:p>
            <w:r/>
            <w:r>
              <w:rPr>
                <w:sz w:val="20"/>
              </w:rPr>
              <w:t>Stări în timp real: extragere → validare → codificare → raport</w:t>
            </w:r>
          </w:p>
        </w:tc>
        <w:tc>
          <w:tcPr>
            <w:tcW w:type="dxa" w:w="907"/>
          </w:tcPr>
          <w:p>
            <w:r/>
            <w:r>
              <w:rPr>
                <w:sz w:val="20"/>
              </w:rPr>
              <w:t>F3.5</w:t>
            </w:r>
          </w:p>
        </w:tc>
      </w:tr>
      <w:tr>
        <w:tc>
          <w:tcPr>
            <w:tcW w:type="dxa" w:w="2154"/>
          </w:tcPr>
          <w:p>
            <w:r/>
            <w:r>
              <w:rPr>
                <w:sz w:val="20"/>
              </w:rPr>
              <w:t>Raport interpretat</w:t>
            </w:r>
          </w:p>
        </w:tc>
        <w:tc>
          <w:tcPr>
            <w:tcW w:type="dxa" w:w="5896"/>
          </w:tcPr>
          <w:p>
            <w:r/>
            <w:r>
              <w:rPr>
                <w:sz w:val="20"/>
              </w:rPr>
              <w:t>Rezultatele grupate pe panele, statusuri vizuale, explicații per analit, cod LOINC, descărcare PDF</w:t>
            </w:r>
          </w:p>
        </w:tc>
        <w:tc>
          <w:tcPr>
            <w:tcW w:type="dxa" w:w="907"/>
          </w:tcPr>
          <w:p>
            <w:r/>
            <w:r>
              <w:rPr>
                <w:sz w:val="20"/>
              </w:rPr>
              <w:t>F3.6</w:t>
            </w:r>
          </w:p>
        </w:tc>
      </w:tr>
      <w:tr>
        <w:tc>
          <w:tcPr>
            <w:tcW w:type="dxa" w:w="2154"/>
          </w:tcPr>
          <w:p>
            <w:r/>
            <w:r>
              <w:rPr>
                <w:sz w:val="20"/>
              </w:rPr>
              <w:t>Istoric interpretări</w:t>
            </w:r>
          </w:p>
        </w:tc>
        <w:tc>
          <w:tcPr>
            <w:tcW w:type="dxa" w:w="5896"/>
          </w:tcPr>
          <w:p>
            <w:r/>
            <w:r>
              <w:rPr>
                <w:sz w:val="20"/>
              </w:rPr>
              <w:t>Filtrare pe profil/perioadă/status, căutare, acces la rapoartele anterioare</w:t>
            </w:r>
          </w:p>
        </w:tc>
        <w:tc>
          <w:tcPr>
            <w:tcW w:type="dxa" w:w="907"/>
          </w:tcPr>
          <w:p>
            <w:r/>
            <w:r>
              <w:rPr>
                <w:sz w:val="20"/>
              </w:rPr>
              <w:t>F3.6</w:t>
            </w:r>
          </w:p>
        </w:tc>
      </w:tr>
      <w:tr>
        <w:tc>
          <w:tcPr>
            <w:tcW w:type="dxa" w:w="2154"/>
          </w:tcPr>
          <w:p>
            <w:r/>
            <w:r>
              <w:rPr>
                <w:sz w:val="20"/>
              </w:rPr>
              <w:t>Evoluție grafică</w:t>
            </w:r>
          </w:p>
        </w:tc>
        <w:tc>
          <w:tcPr>
            <w:tcW w:type="dxa" w:w="5896"/>
          </w:tcPr>
          <w:p>
            <w:r/>
            <w:r>
              <w:rPr>
                <w:sz w:val="20"/>
              </w:rPr>
              <w:t>Grafic temporal per parametru (LOINC-based), comparație între vizite și laboratoare diferite</w:t>
            </w:r>
          </w:p>
        </w:tc>
        <w:tc>
          <w:tcPr>
            <w:tcW w:type="dxa" w:w="907"/>
          </w:tcPr>
          <w:p>
            <w:r/>
            <w:r>
              <w:rPr>
                <w:sz w:val="20"/>
              </w:rPr>
              <w:t>F3.6</w:t>
            </w:r>
          </w:p>
        </w:tc>
      </w:tr>
      <w:tr>
        <w:tc>
          <w:tcPr>
            <w:tcW w:type="dxa" w:w="2154"/>
          </w:tcPr>
          <w:p>
            <w:r/>
            <w:r>
              <w:rPr>
                <w:sz w:val="20"/>
              </w:rPr>
              <w:t>Abonament și credite</w:t>
            </w:r>
          </w:p>
        </w:tc>
        <w:tc>
          <w:tcPr>
            <w:tcW w:type="dxa" w:w="5896"/>
          </w:tcPr>
          <w:p>
            <w:r/>
            <w:r>
              <w:rPr>
                <w:sz w:val="20"/>
              </w:rPr>
              <w:t>Upgrade la premium, istoric plăți, facturi, cod de recomandare</w:t>
            </w:r>
          </w:p>
        </w:tc>
        <w:tc>
          <w:tcPr>
            <w:tcW w:type="dxa" w:w="907"/>
          </w:tcPr>
          <w:p>
            <w:r/>
            <w:r>
              <w:rPr>
                <w:sz w:val="20"/>
              </w:rPr>
              <w:t>F9.1</w:t>
            </w:r>
          </w:p>
        </w:tc>
      </w:tr>
    </w:tbl>
    <w:p>
      <w:pPr>
        <w:spacing w:after="120"/>
        <w:jc w:val="both"/>
      </w:pPr>
      <w:r>
        <w:rPr>
          <w:b/>
          <w:i w:val="0"/>
          <w:sz w:val="22"/>
        </w:rPr>
        <w:t>(D) Zona B2B (Clinic Access Module):</w:t>
      </w:r>
    </w:p>
    <w:tbl>
      <w:tblPr>
        <w:tblStyle w:val="LightGrid-Accent1"/>
        <w:tblW w:type="auto" w:w="0"/>
        <w:tblLook w:firstColumn="1" w:firstRow="1" w:lastColumn="0" w:lastRow="0" w:noHBand="0" w:noVBand="1" w:val="04A0"/>
      </w:tblPr>
      <w:tblGrid>
        <w:gridCol w:w="3249"/>
        <w:gridCol w:w="3249"/>
        <w:gridCol w:w="3249"/>
      </w:tblGrid>
      <w:tr>
        <w:tc>
          <w:tcPr>
            <w:tcW w:type="dxa" w:w="2154"/>
            <w:shd w:val="clear" w:color="auto" w:fill="1F3A68"/>
          </w:tcPr>
          <w:p>
            <w:r>
              <w:rPr>
                <w:color w:val="FFFFFF"/>
              </w:rPr>
            </w:r>
            <w:r>
              <w:rPr>
                <w:b/>
                <w:color w:val="FFFFFF"/>
                <w:sz w:val="20"/>
              </w:rPr>
              <w:t>Ecran</w:t>
            </w:r>
          </w:p>
        </w:tc>
        <w:tc>
          <w:tcPr>
            <w:tcW w:type="dxa" w:w="5896"/>
            <w:shd w:val="clear" w:color="auto" w:fill="1F3A68"/>
          </w:tcPr>
          <w:p>
            <w:r>
              <w:rPr>
                <w:color w:val="FFFFFF"/>
              </w:rPr>
            </w:r>
            <w:r>
              <w:rPr>
                <w:b/>
                <w:color w:val="FFFFFF"/>
                <w:sz w:val="20"/>
              </w:rPr>
              <w:t>Descriere funcțională</w:t>
            </w:r>
          </w:p>
        </w:tc>
        <w:tc>
          <w:tcPr>
            <w:tcW w:type="dxa" w:w="907"/>
            <w:shd w:val="clear" w:color="auto" w:fill="1F3A68"/>
          </w:tcPr>
          <w:p>
            <w:r>
              <w:rPr>
                <w:color w:val="FFFFFF"/>
              </w:rPr>
            </w:r>
            <w:r>
              <w:rPr>
                <w:b/>
                <w:color w:val="FFFFFF"/>
                <w:sz w:val="20"/>
              </w:rPr>
              <w:t>Etapa</w:t>
            </w:r>
          </w:p>
        </w:tc>
      </w:tr>
      <w:tr>
        <w:tc>
          <w:tcPr>
            <w:tcW w:type="dxa" w:w="2154"/>
          </w:tcPr>
          <w:p>
            <w:r/>
            <w:r>
              <w:rPr>
                <w:sz w:val="20"/>
              </w:rPr>
              <w:t>Dashboard clinică</w:t>
            </w:r>
          </w:p>
        </w:tc>
        <w:tc>
          <w:tcPr>
            <w:tcW w:type="dxa" w:w="5896"/>
          </w:tcPr>
          <w:p>
            <w:r/>
            <w:r>
              <w:rPr>
                <w:sz w:val="20"/>
              </w:rPr>
              <w:t>Volume procesate, distribuția statusurilor, consum și facturare curentă</w:t>
            </w:r>
          </w:p>
        </w:tc>
        <w:tc>
          <w:tcPr>
            <w:tcW w:type="dxa" w:w="907"/>
          </w:tcPr>
          <w:p>
            <w:r/>
            <w:r>
              <w:rPr>
                <w:sz w:val="20"/>
              </w:rPr>
              <w:t>F8.3</w:t>
            </w:r>
          </w:p>
        </w:tc>
      </w:tr>
      <w:tr>
        <w:tc>
          <w:tcPr>
            <w:tcW w:type="dxa" w:w="2154"/>
          </w:tcPr>
          <w:p>
            <w:r/>
            <w:r>
              <w:rPr>
                <w:sz w:val="20"/>
              </w:rPr>
              <w:t>Încărcare batch</w:t>
            </w:r>
          </w:p>
        </w:tc>
        <w:tc>
          <w:tcPr>
            <w:tcW w:type="dxa" w:w="5896"/>
          </w:tcPr>
          <w:p>
            <w:r/>
            <w:r>
              <w:rPr>
                <w:sz w:val="20"/>
              </w:rPr>
              <w:t>Upload multiplu (zeci–sute de documente), asociere pe pacienți, progres per lot</w:t>
            </w:r>
          </w:p>
        </w:tc>
        <w:tc>
          <w:tcPr>
            <w:tcW w:type="dxa" w:w="907"/>
          </w:tcPr>
          <w:p>
            <w:r/>
            <w:r>
              <w:rPr>
                <w:sz w:val="20"/>
              </w:rPr>
              <w:t>F8.2</w:t>
            </w:r>
          </w:p>
        </w:tc>
      </w:tr>
      <w:tr>
        <w:tc>
          <w:tcPr>
            <w:tcW w:type="dxa" w:w="2154"/>
          </w:tcPr>
          <w:p>
            <w:r/>
            <w:r>
              <w:rPr>
                <w:sz w:val="20"/>
              </w:rPr>
              <w:t>Rezultate lot</w:t>
            </w:r>
          </w:p>
        </w:tc>
        <w:tc>
          <w:tcPr>
            <w:tcW w:type="dxa" w:w="5896"/>
          </w:tcPr>
          <w:p>
            <w:r/>
            <w:r>
              <w:rPr>
                <w:sz w:val="20"/>
              </w:rPr>
              <w:t>Tabel agregat cu toți pacienții lotului, semnalarea valorilor patologice, export</w:t>
            </w:r>
          </w:p>
        </w:tc>
        <w:tc>
          <w:tcPr>
            <w:tcW w:type="dxa" w:w="907"/>
          </w:tcPr>
          <w:p>
            <w:r/>
            <w:r>
              <w:rPr>
                <w:sz w:val="20"/>
              </w:rPr>
              <w:t>F8.2</w:t>
            </w:r>
          </w:p>
        </w:tc>
      </w:tr>
      <w:tr>
        <w:tc>
          <w:tcPr>
            <w:tcW w:type="dxa" w:w="2154"/>
          </w:tcPr>
          <w:p>
            <w:r/>
            <w:r>
              <w:rPr>
                <w:sz w:val="20"/>
              </w:rPr>
              <w:t>Raport comparativ</w:t>
            </w:r>
          </w:p>
        </w:tc>
        <w:tc>
          <w:tcPr>
            <w:tcW w:type="dxa" w:w="5896"/>
          </w:tcPr>
          <w:p>
            <w:r/>
            <w:r>
              <w:rPr>
                <w:sz w:val="20"/>
              </w:rPr>
              <w:t>Comparații multi-pacient și multi-vizită pe parametri selectați</w:t>
            </w:r>
          </w:p>
        </w:tc>
        <w:tc>
          <w:tcPr>
            <w:tcW w:type="dxa" w:w="907"/>
          </w:tcPr>
          <w:p>
            <w:r/>
            <w:r>
              <w:rPr>
                <w:sz w:val="20"/>
              </w:rPr>
              <w:t>F8.3</w:t>
            </w:r>
          </w:p>
        </w:tc>
      </w:tr>
      <w:tr>
        <w:tc>
          <w:tcPr>
            <w:tcW w:type="dxa" w:w="2154"/>
          </w:tcPr>
          <w:p>
            <w:r/>
            <w:r>
              <w:rPr>
                <w:sz w:val="20"/>
              </w:rPr>
              <w:t>Administrare organizație</w:t>
            </w:r>
          </w:p>
        </w:tc>
        <w:tc>
          <w:tcPr>
            <w:tcW w:type="dxa" w:w="5896"/>
          </w:tcPr>
          <w:p>
            <w:r/>
            <w:r>
              <w:rPr>
                <w:sz w:val="20"/>
              </w:rPr>
              <w:t>Utilizatori și roluri, branding propriu, subdomeniu, setări de facturare</w:t>
            </w:r>
          </w:p>
        </w:tc>
        <w:tc>
          <w:tcPr>
            <w:tcW w:type="dxa" w:w="907"/>
          </w:tcPr>
          <w:p>
            <w:r/>
            <w:r>
              <w:rPr>
                <w:sz w:val="20"/>
              </w:rPr>
              <w:t>F8.1</w:t>
            </w:r>
          </w:p>
        </w:tc>
      </w:tr>
      <w:tr>
        <w:tc>
          <w:tcPr>
            <w:tcW w:type="dxa" w:w="2154"/>
          </w:tcPr>
          <w:p>
            <w:r/>
            <w:r>
              <w:rPr>
                <w:sz w:val="20"/>
              </w:rPr>
              <w:t>Integrare API</w:t>
            </w:r>
          </w:p>
        </w:tc>
        <w:tc>
          <w:tcPr>
            <w:tcW w:type="dxa" w:w="5896"/>
          </w:tcPr>
          <w:p>
            <w:r/>
            <w:r>
              <w:rPr>
                <w:sz w:val="20"/>
              </w:rPr>
              <w:t>Chei API, documentație interactivă, jurnalul apelurilor</w:t>
            </w:r>
          </w:p>
        </w:tc>
        <w:tc>
          <w:tcPr>
            <w:tcW w:type="dxa" w:w="907"/>
          </w:tcPr>
          <w:p>
            <w:r/>
            <w:r>
              <w:rPr>
                <w:sz w:val="20"/>
              </w:rPr>
              <w:t>F8.4</w:t>
            </w:r>
          </w:p>
        </w:tc>
      </w:tr>
    </w:tbl>
    <w:p>
      <w:pPr>
        <w:spacing w:after="120"/>
        <w:jc w:val="both"/>
      </w:pPr>
      <w:r>
        <w:rPr>
          <w:b/>
          <w:i w:val="0"/>
          <w:sz w:val="22"/>
        </w:rPr>
        <w:t>(E) Zona de administrare a platformei (back-office):</w:t>
      </w:r>
    </w:p>
    <w:tbl>
      <w:tblPr>
        <w:tblStyle w:val="LightGrid-Accent1"/>
        <w:tblW w:type="auto" w:w="0"/>
        <w:tblLook w:firstColumn="1" w:firstRow="1" w:lastColumn="0" w:lastRow="0" w:noHBand="0" w:noVBand="1" w:val="04A0"/>
      </w:tblPr>
      <w:tblGrid>
        <w:gridCol w:w="3249"/>
        <w:gridCol w:w="3249"/>
        <w:gridCol w:w="3249"/>
      </w:tblGrid>
      <w:tr>
        <w:tc>
          <w:tcPr>
            <w:tcW w:type="dxa" w:w="2154"/>
            <w:shd w:val="clear" w:color="auto" w:fill="1F3A68"/>
          </w:tcPr>
          <w:p>
            <w:r>
              <w:rPr>
                <w:color w:val="FFFFFF"/>
              </w:rPr>
            </w:r>
            <w:r>
              <w:rPr>
                <w:b/>
                <w:color w:val="FFFFFF"/>
                <w:sz w:val="20"/>
              </w:rPr>
              <w:t>Ecran</w:t>
            </w:r>
          </w:p>
        </w:tc>
        <w:tc>
          <w:tcPr>
            <w:tcW w:type="dxa" w:w="5896"/>
            <w:shd w:val="clear" w:color="auto" w:fill="1F3A68"/>
          </w:tcPr>
          <w:p>
            <w:r>
              <w:rPr>
                <w:color w:val="FFFFFF"/>
              </w:rPr>
            </w:r>
            <w:r>
              <w:rPr>
                <w:b/>
                <w:color w:val="FFFFFF"/>
                <w:sz w:val="20"/>
              </w:rPr>
              <w:t>Descriere funcțională</w:t>
            </w:r>
          </w:p>
        </w:tc>
        <w:tc>
          <w:tcPr>
            <w:tcW w:type="dxa" w:w="907"/>
            <w:shd w:val="clear" w:color="auto" w:fill="1F3A68"/>
          </w:tcPr>
          <w:p>
            <w:r>
              <w:rPr>
                <w:color w:val="FFFFFF"/>
              </w:rPr>
            </w:r>
            <w:r>
              <w:rPr>
                <w:b/>
                <w:color w:val="FFFFFF"/>
                <w:sz w:val="20"/>
              </w:rPr>
              <w:t>Etapa</w:t>
            </w:r>
          </w:p>
        </w:tc>
      </w:tr>
      <w:tr>
        <w:tc>
          <w:tcPr>
            <w:tcW w:type="dxa" w:w="2154"/>
          </w:tcPr>
          <w:p>
            <w:r/>
            <w:r>
              <w:rPr>
                <w:sz w:val="20"/>
              </w:rPr>
              <w:t>Panou operațional</w:t>
            </w:r>
          </w:p>
        </w:tc>
        <w:tc>
          <w:tcPr>
            <w:tcW w:type="dxa" w:w="5896"/>
          </w:tcPr>
          <w:p>
            <w:r/>
            <w:r>
              <w:rPr>
                <w:sz w:val="20"/>
              </w:rPr>
              <w:t>Indicatori de sănătate a platformei: procesări, erori, cost AI per document, latențe</w:t>
            </w:r>
          </w:p>
        </w:tc>
        <w:tc>
          <w:tcPr>
            <w:tcW w:type="dxa" w:w="907"/>
          </w:tcPr>
          <w:p>
            <w:r/>
            <w:r>
              <w:rPr>
                <w:sz w:val="20"/>
              </w:rPr>
              <w:t>E4/E10</w:t>
            </w:r>
          </w:p>
        </w:tc>
      </w:tr>
      <w:tr>
        <w:tc>
          <w:tcPr>
            <w:tcW w:type="dxa" w:w="2154"/>
          </w:tcPr>
          <w:p>
            <w:r/>
            <w:r>
              <w:rPr>
                <w:sz w:val="20"/>
              </w:rPr>
              <w:t>Gestiunea utilizatorilor</w:t>
            </w:r>
          </w:p>
        </w:tc>
        <w:tc>
          <w:tcPr>
            <w:tcW w:type="dxa" w:w="5896"/>
          </w:tcPr>
          <w:p>
            <w:r/>
            <w:r>
              <w:rPr>
                <w:sz w:val="20"/>
              </w:rPr>
              <w:t>Căutare, suport, ajustare credite, blocare conturi abuzive, jurnal de audit</w:t>
            </w:r>
          </w:p>
        </w:tc>
        <w:tc>
          <w:tcPr>
            <w:tcW w:type="dxa" w:w="907"/>
          </w:tcPr>
          <w:p>
            <w:r/>
            <w:r>
              <w:rPr>
                <w:sz w:val="20"/>
              </w:rPr>
              <w:t>E3</w:t>
            </w:r>
          </w:p>
        </w:tc>
      </w:tr>
      <w:tr>
        <w:tc>
          <w:tcPr>
            <w:tcW w:type="dxa" w:w="2154"/>
          </w:tcPr>
          <w:p>
            <w:r/>
            <w:r>
              <w:rPr>
                <w:sz w:val="20"/>
              </w:rPr>
              <w:t>Gestiunea clinicilor</w:t>
            </w:r>
          </w:p>
        </w:tc>
        <w:tc>
          <w:tcPr>
            <w:tcW w:type="dxa" w:w="5896"/>
          </w:tcPr>
          <w:p>
            <w:r/>
            <w:r>
              <w:rPr>
                <w:sz w:val="20"/>
              </w:rPr>
              <w:t>Onboarding tenant nou, configurare tarife, monitorizare SLA</w:t>
            </w:r>
          </w:p>
        </w:tc>
        <w:tc>
          <w:tcPr>
            <w:tcW w:type="dxa" w:w="907"/>
          </w:tcPr>
          <w:p>
            <w:r/>
            <w:r>
              <w:rPr>
                <w:sz w:val="20"/>
              </w:rPr>
              <w:t>E8</w:t>
            </w:r>
          </w:p>
        </w:tc>
      </w:tr>
      <w:tr>
        <w:tc>
          <w:tcPr>
            <w:tcW w:type="dxa" w:w="2154"/>
          </w:tcPr>
          <w:p>
            <w:r/>
            <w:r>
              <w:rPr>
                <w:sz w:val="20"/>
              </w:rPr>
              <w:t>Calitatea codificării</w:t>
            </w:r>
          </w:p>
        </w:tc>
        <w:tc>
          <w:tcPr>
            <w:tcW w:type="dxa" w:w="5896"/>
          </w:tcPr>
          <w:p>
            <w:r/>
            <w:r>
              <w:rPr>
                <w:sz w:val="20"/>
              </w:rPr>
              <w:t>Rapoarte de acuratețe LOINC per versiune, cazuri cu scor scăzut pentru revizuire medicală</w:t>
            </w:r>
          </w:p>
        </w:tc>
        <w:tc>
          <w:tcPr>
            <w:tcW w:type="dxa" w:w="907"/>
          </w:tcPr>
          <w:p>
            <w:r/>
            <w:r>
              <w:rPr>
                <w:sz w:val="20"/>
              </w:rPr>
              <w:t>F5.4</w:t>
            </w:r>
          </w:p>
        </w:tc>
      </w:tr>
    </w:tbl>
    <w:p>
      <w:pPr>
        <w:spacing w:after="120"/>
        <w:jc w:val="both"/>
      </w:pPr>
      <w:r>
        <w:rPr>
          <w:b w:val="0"/>
          <w:i/>
          <w:sz w:val="22"/>
        </w:rPr>
        <w:t>Total: peste 30 de ecrane distincte, fiecare cu variante responsive (desktop/tabletă/mobil) și localizate în toate limbile active — dimensiune care fundamentează efortul alocat etapelor de design (F1.3) și dezvoltare frontend.</w:t>
      </w:r>
    </w:p>
    <w:p>
      <w:r>
        <w:br w:type="page"/>
      </w:r>
    </w:p>
    <w:p>
      <w:pPr>
        <w:pStyle w:val="Heading2"/>
      </w:pPr>
      <w:r>
        <w:rPr>
          <w:color w:val="1F3A68"/>
        </w:rPr>
        <w:t>C.4.11. Dicționarul de date (data dictionary)</w:t>
      </w:r>
    </w:p>
    <w:p>
      <w:pPr>
        <w:spacing w:after="120"/>
        <w:jc w:val="both"/>
      </w:pPr>
      <w:r>
        <w:rPr>
          <w:b w:val="0"/>
          <w:i w:val="0"/>
          <w:sz w:val="22"/>
        </w:rPr>
        <w:t>Pentru rigoare tehnică, se prezintă dicționarul de date al entităților principale proiectate, cu tipurile și rolul fiecărui atribut esențial. Schema completă va fi menținută prin migrări versionate (Code-First).</w:t>
      </w:r>
    </w:p>
    <w:p>
      <w:pPr>
        <w:spacing w:after="120"/>
        <w:jc w:val="both"/>
      </w:pPr>
      <w:r>
        <w:rPr>
          <w:b/>
          <w:i w:val="0"/>
          <w:sz w:val="22"/>
        </w:rPr>
        <w:t>Entitatea Utilizator (Users):</w:t>
      </w:r>
    </w:p>
    <w:tbl>
      <w:tblPr>
        <w:tblStyle w:val="LightGrid-Accent1"/>
        <w:tblW w:type="auto" w:w="0"/>
        <w:tblLook w:firstColumn="1" w:firstRow="1" w:lastColumn="0" w:lastRow="0" w:noHBand="0" w:noVBand="1" w:val="04A0"/>
      </w:tblPr>
      <w:tblGrid>
        <w:gridCol w:w="3249"/>
        <w:gridCol w:w="3249"/>
        <w:gridCol w:w="3249"/>
      </w:tblGrid>
      <w:tr>
        <w:tc>
          <w:tcPr>
            <w:tcW w:type="dxa" w:w="2381"/>
            <w:shd w:val="clear" w:color="auto" w:fill="1F3A68"/>
          </w:tcPr>
          <w:p>
            <w:r>
              <w:rPr>
                <w:color w:val="FFFFFF"/>
              </w:rPr>
            </w:r>
            <w:r>
              <w:rPr>
                <w:b/>
                <w:color w:val="FFFFFF"/>
                <w:sz w:val="18"/>
              </w:rPr>
              <w:t>Atribut</w:t>
            </w:r>
          </w:p>
        </w:tc>
        <w:tc>
          <w:tcPr>
            <w:tcW w:type="dxa" w:w="1814"/>
            <w:shd w:val="clear" w:color="auto" w:fill="1F3A68"/>
          </w:tcPr>
          <w:p>
            <w:r>
              <w:rPr>
                <w:color w:val="FFFFFF"/>
              </w:rPr>
            </w:r>
            <w:r>
              <w:rPr>
                <w:b/>
                <w:color w:val="FFFFFF"/>
                <w:sz w:val="18"/>
              </w:rPr>
              <w:t>Tip</w:t>
            </w:r>
          </w:p>
        </w:tc>
        <w:tc>
          <w:tcPr>
            <w:tcW w:type="dxa" w:w="4762"/>
            <w:shd w:val="clear" w:color="auto" w:fill="1F3A68"/>
          </w:tcPr>
          <w:p>
            <w:r>
              <w:rPr>
                <w:color w:val="FFFFFF"/>
              </w:rPr>
            </w:r>
            <w:r>
              <w:rPr>
                <w:b/>
                <w:color w:val="FFFFFF"/>
                <w:sz w:val="18"/>
              </w:rPr>
              <w:t>Descriere</w:t>
            </w:r>
          </w:p>
        </w:tc>
      </w:tr>
      <w:tr>
        <w:tc>
          <w:tcPr>
            <w:tcW w:type="dxa" w:w="2381"/>
          </w:tcPr>
          <w:p>
            <w:r/>
            <w:r>
              <w:rPr>
                <w:sz w:val="18"/>
              </w:rPr>
              <w:t>Email (PK)</w:t>
            </w:r>
          </w:p>
        </w:tc>
        <w:tc>
          <w:tcPr>
            <w:tcW w:type="dxa" w:w="1814"/>
          </w:tcPr>
          <w:p>
            <w:r/>
            <w:r>
              <w:rPr>
                <w:sz w:val="18"/>
              </w:rPr>
              <w:t>nvarchar(256)</w:t>
            </w:r>
          </w:p>
        </w:tc>
        <w:tc>
          <w:tcPr>
            <w:tcW w:type="dxa" w:w="4762"/>
          </w:tcPr>
          <w:p>
            <w:r/>
            <w:r>
              <w:rPr>
                <w:sz w:val="18"/>
              </w:rPr>
              <w:t>Identificator unic; verificat prin e-mail</w:t>
            </w:r>
          </w:p>
        </w:tc>
      </w:tr>
      <w:tr>
        <w:tc>
          <w:tcPr>
            <w:tcW w:type="dxa" w:w="2381"/>
          </w:tcPr>
          <w:p>
            <w:r/>
            <w:r>
              <w:rPr>
                <w:sz w:val="18"/>
              </w:rPr>
              <w:t>PasswordHash</w:t>
            </w:r>
          </w:p>
        </w:tc>
        <w:tc>
          <w:tcPr>
            <w:tcW w:type="dxa" w:w="1814"/>
          </w:tcPr>
          <w:p>
            <w:r/>
            <w:r>
              <w:rPr>
                <w:sz w:val="18"/>
              </w:rPr>
              <w:t>nvarchar(512)</w:t>
            </w:r>
          </w:p>
        </w:tc>
        <w:tc>
          <w:tcPr>
            <w:tcW w:type="dxa" w:w="4762"/>
          </w:tcPr>
          <w:p>
            <w:r/>
            <w:r>
              <w:rPr>
                <w:sz w:val="18"/>
              </w:rPr>
              <w:t>Hash Argon2id al parolei</w:t>
            </w:r>
          </w:p>
        </w:tc>
      </w:tr>
      <w:tr>
        <w:tc>
          <w:tcPr>
            <w:tcW w:type="dxa" w:w="2381"/>
          </w:tcPr>
          <w:p>
            <w:r/>
            <w:r>
              <w:rPr>
                <w:sz w:val="18"/>
              </w:rPr>
              <w:t>EmailVerifiedAt</w:t>
            </w:r>
          </w:p>
        </w:tc>
        <w:tc>
          <w:tcPr>
            <w:tcW w:type="dxa" w:w="1814"/>
          </w:tcPr>
          <w:p>
            <w:r/>
            <w:r>
              <w:rPr>
                <w:sz w:val="18"/>
              </w:rPr>
              <w:t>datetime2</w:t>
            </w:r>
          </w:p>
        </w:tc>
        <w:tc>
          <w:tcPr>
            <w:tcW w:type="dxa" w:w="4762"/>
          </w:tcPr>
          <w:p>
            <w:r/>
            <w:r>
              <w:rPr>
                <w:sz w:val="18"/>
              </w:rPr>
              <w:t>Momentul confirmării adresei</w:t>
            </w:r>
          </w:p>
        </w:tc>
      </w:tr>
      <w:tr>
        <w:tc>
          <w:tcPr>
            <w:tcW w:type="dxa" w:w="2381"/>
          </w:tcPr>
          <w:p>
            <w:r/>
            <w:r>
              <w:rPr>
                <w:sz w:val="18"/>
              </w:rPr>
              <w:t>CreditsAvailable</w:t>
            </w:r>
          </w:p>
        </w:tc>
        <w:tc>
          <w:tcPr>
            <w:tcW w:type="dxa" w:w="1814"/>
          </w:tcPr>
          <w:p>
            <w:r/>
            <w:r>
              <w:rPr>
                <w:sz w:val="18"/>
              </w:rPr>
              <w:t>int</w:t>
            </w:r>
          </w:p>
        </w:tc>
        <w:tc>
          <w:tcPr>
            <w:tcW w:type="dxa" w:w="4762"/>
          </w:tcPr>
          <w:p>
            <w:r/>
            <w:r>
              <w:rPr>
                <w:sz w:val="18"/>
              </w:rPr>
              <w:t>Credite de procesare disponibile</w:t>
            </w:r>
          </w:p>
        </w:tc>
      </w:tr>
      <w:tr>
        <w:tc>
          <w:tcPr>
            <w:tcW w:type="dxa" w:w="2381"/>
          </w:tcPr>
          <w:p>
            <w:r/>
            <w:r>
              <w:rPr>
                <w:sz w:val="18"/>
              </w:rPr>
              <w:t>CreditsUsed</w:t>
            </w:r>
          </w:p>
        </w:tc>
        <w:tc>
          <w:tcPr>
            <w:tcW w:type="dxa" w:w="1814"/>
          </w:tcPr>
          <w:p>
            <w:r/>
            <w:r>
              <w:rPr>
                <w:sz w:val="18"/>
              </w:rPr>
              <w:t>int</w:t>
            </w:r>
          </w:p>
        </w:tc>
        <w:tc>
          <w:tcPr>
            <w:tcW w:type="dxa" w:w="4762"/>
          </w:tcPr>
          <w:p>
            <w:r/>
            <w:r>
              <w:rPr>
                <w:sz w:val="18"/>
              </w:rPr>
              <w:t>Credite consumate (istoric)</w:t>
            </w:r>
          </w:p>
        </w:tc>
      </w:tr>
      <w:tr>
        <w:tc>
          <w:tcPr>
            <w:tcW w:type="dxa" w:w="2381"/>
          </w:tcPr>
          <w:p>
            <w:r/>
            <w:r>
              <w:rPr>
                <w:sz w:val="18"/>
              </w:rPr>
              <w:t>BonusCredits</w:t>
            </w:r>
          </w:p>
        </w:tc>
        <w:tc>
          <w:tcPr>
            <w:tcW w:type="dxa" w:w="1814"/>
          </w:tcPr>
          <w:p>
            <w:r/>
            <w:r>
              <w:rPr>
                <w:sz w:val="18"/>
              </w:rPr>
              <w:t>int</w:t>
            </w:r>
          </w:p>
        </w:tc>
        <w:tc>
          <w:tcPr>
            <w:tcW w:type="dxa" w:w="4762"/>
          </w:tcPr>
          <w:p>
            <w:r/>
            <w:r>
              <w:rPr>
                <w:sz w:val="18"/>
              </w:rPr>
              <w:t>Credite din programul de recomandare</w:t>
            </w:r>
          </w:p>
        </w:tc>
      </w:tr>
      <w:tr>
        <w:tc>
          <w:tcPr>
            <w:tcW w:type="dxa" w:w="2381"/>
          </w:tcPr>
          <w:p>
            <w:r/>
            <w:r>
              <w:rPr>
                <w:sz w:val="18"/>
              </w:rPr>
              <w:t>PreferredLanguage</w:t>
            </w:r>
          </w:p>
        </w:tc>
        <w:tc>
          <w:tcPr>
            <w:tcW w:type="dxa" w:w="1814"/>
          </w:tcPr>
          <w:p>
            <w:r/>
            <w:r>
              <w:rPr>
                <w:sz w:val="18"/>
              </w:rPr>
              <w:t>nvarchar(8)</w:t>
            </w:r>
          </w:p>
        </w:tc>
        <w:tc>
          <w:tcPr>
            <w:tcW w:type="dxa" w:w="4762"/>
          </w:tcPr>
          <w:p>
            <w:r/>
            <w:r>
              <w:rPr>
                <w:sz w:val="18"/>
              </w:rPr>
              <w:t>Limba interfeței și a interpretărilor</w:t>
            </w:r>
          </w:p>
        </w:tc>
      </w:tr>
      <w:tr>
        <w:tc>
          <w:tcPr>
            <w:tcW w:type="dxa" w:w="2381"/>
          </w:tcPr>
          <w:p>
            <w:r/>
            <w:r>
              <w:rPr>
                <w:sz w:val="18"/>
              </w:rPr>
              <w:t>PremiumUntil</w:t>
            </w:r>
          </w:p>
        </w:tc>
        <w:tc>
          <w:tcPr>
            <w:tcW w:type="dxa" w:w="1814"/>
          </w:tcPr>
          <w:p>
            <w:r/>
            <w:r>
              <w:rPr>
                <w:sz w:val="18"/>
              </w:rPr>
              <w:t>datetime2</w:t>
            </w:r>
          </w:p>
        </w:tc>
        <w:tc>
          <w:tcPr>
            <w:tcW w:type="dxa" w:w="4762"/>
          </w:tcPr>
          <w:p>
            <w:r/>
            <w:r>
              <w:rPr>
                <w:sz w:val="18"/>
              </w:rPr>
              <w:t>Valabilitatea abonamentului premium</w:t>
            </w:r>
          </w:p>
        </w:tc>
      </w:tr>
      <w:tr>
        <w:tc>
          <w:tcPr>
            <w:tcW w:type="dxa" w:w="2381"/>
          </w:tcPr>
          <w:p>
            <w:r/>
            <w:r>
              <w:rPr>
                <w:sz w:val="18"/>
              </w:rPr>
              <w:t>CreatedAt / DeletedAt</w:t>
            </w:r>
          </w:p>
        </w:tc>
        <w:tc>
          <w:tcPr>
            <w:tcW w:type="dxa" w:w="1814"/>
          </w:tcPr>
          <w:p>
            <w:r/>
            <w:r>
              <w:rPr>
                <w:sz w:val="18"/>
              </w:rPr>
              <w:t>datetime2</w:t>
            </w:r>
          </w:p>
        </w:tc>
        <w:tc>
          <w:tcPr>
            <w:tcW w:type="dxa" w:w="4762"/>
          </w:tcPr>
          <w:p>
            <w:r/>
            <w:r>
              <w:rPr>
                <w:sz w:val="18"/>
              </w:rPr>
              <w:t>Audit + soft-delete GDPR (30 zile)</w:t>
            </w:r>
          </w:p>
        </w:tc>
      </w:tr>
    </w:tbl>
    <w:p>
      <w:pPr>
        <w:spacing w:after="120"/>
        <w:jc w:val="both"/>
      </w:pPr>
      <w:r>
        <w:rPr>
          <w:b/>
          <w:i w:val="0"/>
          <w:sz w:val="22"/>
        </w:rPr>
        <w:t>Entitatea Profil pacient (Profiles):</w:t>
      </w:r>
    </w:p>
    <w:tbl>
      <w:tblPr>
        <w:tblStyle w:val="LightGrid-Accent1"/>
        <w:tblW w:type="auto" w:w="0"/>
        <w:tblLook w:firstColumn="1" w:firstRow="1" w:lastColumn="0" w:lastRow="0" w:noHBand="0" w:noVBand="1" w:val="04A0"/>
      </w:tblPr>
      <w:tblGrid>
        <w:gridCol w:w="3249"/>
        <w:gridCol w:w="3249"/>
        <w:gridCol w:w="3249"/>
      </w:tblGrid>
      <w:tr>
        <w:tc>
          <w:tcPr>
            <w:tcW w:type="dxa" w:w="2381"/>
            <w:shd w:val="clear" w:color="auto" w:fill="1F3A68"/>
          </w:tcPr>
          <w:p>
            <w:r>
              <w:rPr>
                <w:color w:val="FFFFFF"/>
              </w:rPr>
            </w:r>
            <w:r>
              <w:rPr>
                <w:b/>
                <w:color w:val="FFFFFF"/>
                <w:sz w:val="18"/>
              </w:rPr>
              <w:t>Atribut</w:t>
            </w:r>
          </w:p>
        </w:tc>
        <w:tc>
          <w:tcPr>
            <w:tcW w:type="dxa" w:w="1814"/>
            <w:shd w:val="clear" w:color="auto" w:fill="1F3A68"/>
          </w:tcPr>
          <w:p>
            <w:r>
              <w:rPr>
                <w:color w:val="FFFFFF"/>
              </w:rPr>
            </w:r>
            <w:r>
              <w:rPr>
                <w:b/>
                <w:color w:val="FFFFFF"/>
                <w:sz w:val="18"/>
              </w:rPr>
              <w:t>Tip</w:t>
            </w:r>
          </w:p>
        </w:tc>
        <w:tc>
          <w:tcPr>
            <w:tcW w:type="dxa" w:w="4762"/>
            <w:shd w:val="clear" w:color="auto" w:fill="1F3A68"/>
          </w:tcPr>
          <w:p>
            <w:r>
              <w:rPr>
                <w:color w:val="FFFFFF"/>
              </w:rPr>
            </w:r>
            <w:r>
              <w:rPr>
                <w:b/>
                <w:color w:val="FFFFFF"/>
                <w:sz w:val="18"/>
              </w:rPr>
              <w:t>Descriere</w:t>
            </w:r>
          </w:p>
        </w:tc>
      </w:tr>
      <w:tr>
        <w:tc>
          <w:tcPr>
            <w:tcW w:type="dxa" w:w="2381"/>
          </w:tcPr>
          <w:p>
            <w:r/>
            <w:r>
              <w:rPr>
                <w:sz w:val="18"/>
              </w:rPr>
              <w:t>Id (PK)</w:t>
            </w:r>
          </w:p>
        </w:tc>
        <w:tc>
          <w:tcPr>
            <w:tcW w:type="dxa" w:w="1814"/>
          </w:tcPr>
          <w:p>
            <w:r/>
            <w:r>
              <w:rPr>
                <w:sz w:val="18"/>
              </w:rPr>
              <w:t>int identity</w:t>
            </w:r>
          </w:p>
        </w:tc>
        <w:tc>
          <w:tcPr>
            <w:tcW w:type="dxa" w:w="4762"/>
          </w:tcPr>
          <w:p>
            <w:r/>
            <w:r>
              <w:rPr>
                <w:sz w:val="18"/>
              </w:rPr>
              <w:t>Identificator profil</w:t>
            </w:r>
          </w:p>
        </w:tc>
      </w:tr>
      <w:tr>
        <w:tc>
          <w:tcPr>
            <w:tcW w:type="dxa" w:w="2381"/>
          </w:tcPr>
          <w:p>
            <w:r/>
            <w:r>
              <w:rPr>
                <w:sz w:val="18"/>
              </w:rPr>
              <w:t>UserEmail (FK)</w:t>
            </w:r>
          </w:p>
        </w:tc>
        <w:tc>
          <w:tcPr>
            <w:tcW w:type="dxa" w:w="1814"/>
          </w:tcPr>
          <w:p>
            <w:r/>
            <w:r>
              <w:rPr>
                <w:sz w:val="18"/>
              </w:rPr>
              <w:t>nvarchar(256)</w:t>
            </w:r>
          </w:p>
        </w:tc>
        <w:tc>
          <w:tcPr>
            <w:tcW w:type="dxa" w:w="4762"/>
          </w:tcPr>
          <w:p>
            <w:r/>
            <w:r>
              <w:rPr>
                <w:sz w:val="18"/>
              </w:rPr>
              <w:t>Contul proprietar</w:t>
            </w:r>
          </w:p>
        </w:tc>
      </w:tr>
      <w:tr>
        <w:tc>
          <w:tcPr>
            <w:tcW w:type="dxa" w:w="2381"/>
          </w:tcPr>
          <w:p>
            <w:r/>
            <w:r>
              <w:rPr>
                <w:sz w:val="18"/>
              </w:rPr>
              <w:t>DisplayName</w:t>
            </w:r>
          </w:p>
        </w:tc>
        <w:tc>
          <w:tcPr>
            <w:tcW w:type="dxa" w:w="1814"/>
          </w:tcPr>
          <w:p>
            <w:r/>
            <w:r>
              <w:rPr>
                <w:sz w:val="18"/>
              </w:rPr>
              <w:t>nvarchar(100)</w:t>
            </w:r>
          </w:p>
        </w:tc>
        <w:tc>
          <w:tcPr>
            <w:tcW w:type="dxa" w:w="4762"/>
          </w:tcPr>
          <w:p>
            <w:r/>
            <w:r>
              <w:rPr>
                <w:sz w:val="18"/>
              </w:rPr>
              <w:t>Numele afișat al profilului</w:t>
            </w:r>
          </w:p>
        </w:tc>
      </w:tr>
      <w:tr>
        <w:tc>
          <w:tcPr>
            <w:tcW w:type="dxa" w:w="2381"/>
          </w:tcPr>
          <w:p>
            <w:r/>
            <w:r>
              <w:rPr>
                <w:sz w:val="18"/>
              </w:rPr>
              <w:t>BirthYear</w:t>
            </w:r>
          </w:p>
        </w:tc>
        <w:tc>
          <w:tcPr>
            <w:tcW w:type="dxa" w:w="1814"/>
          </w:tcPr>
          <w:p>
            <w:r/>
            <w:r>
              <w:rPr>
                <w:sz w:val="18"/>
              </w:rPr>
              <w:t>int</w:t>
            </w:r>
          </w:p>
        </w:tc>
        <w:tc>
          <w:tcPr>
            <w:tcW w:type="dxa" w:w="4762"/>
          </w:tcPr>
          <w:p>
            <w:r/>
            <w:r>
              <w:rPr>
                <w:sz w:val="18"/>
              </w:rPr>
              <w:t>Anul nașterii (intervale de referință)</w:t>
            </w:r>
          </w:p>
        </w:tc>
      </w:tr>
      <w:tr>
        <w:tc>
          <w:tcPr>
            <w:tcW w:type="dxa" w:w="2381"/>
          </w:tcPr>
          <w:p>
            <w:r/>
            <w:r>
              <w:rPr>
                <w:sz w:val="18"/>
              </w:rPr>
              <w:t>Sex</w:t>
            </w:r>
          </w:p>
        </w:tc>
        <w:tc>
          <w:tcPr>
            <w:tcW w:type="dxa" w:w="1814"/>
          </w:tcPr>
          <w:p>
            <w:r/>
            <w:r>
              <w:rPr>
                <w:sz w:val="18"/>
              </w:rPr>
              <w:t>char(1)</w:t>
            </w:r>
          </w:p>
        </w:tc>
        <w:tc>
          <w:tcPr>
            <w:tcW w:type="dxa" w:w="4762"/>
          </w:tcPr>
          <w:p>
            <w:r/>
            <w:r>
              <w:rPr>
                <w:sz w:val="18"/>
              </w:rPr>
              <w:t>M/F — necesar intervalelelor diferențiate</w:t>
            </w:r>
          </w:p>
        </w:tc>
      </w:tr>
      <w:tr>
        <w:tc>
          <w:tcPr>
            <w:tcW w:type="dxa" w:w="2381"/>
          </w:tcPr>
          <w:p>
            <w:r/>
            <w:r>
              <w:rPr>
                <w:sz w:val="18"/>
              </w:rPr>
              <w:t>IsDefault</w:t>
            </w:r>
          </w:p>
        </w:tc>
        <w:tc>
          <w:tcPr>
            <w:tcW w:type="dxa" w:w="1814"/>
          </w:tcPr>
          <w:p>
            <w:r/>
            <w:r>
              <w:rPr>
                <w:sz w:val="18"/>
              </w:rPr>
              <w:t>bit</w:t>
            </w:r>
          </w:p>
        </w:tc>
        <w:tc>
          <w:tcPr>
            <w:tcW w:type="dxa" w:w="4762"/>
          </w:tcPr>
          <w:p>
            <w:r/>
            <w:r>
              <w:rPr>
                <w:sz w:val="18"/>
              </w:rPr>
              <w:t>Profilul implicit al contului</w:t>
            </w:r>
          </w:p>
        </w:tc>
      </w:tr>
    </w:tbl>
    <w:p>
      <w:pPr>
        <w:spacing w:after="120"/>
        <w:jc w:val="both"/>
      </w:pPr>
      <w:r>
        <w:rPr>
          <w:b/>
          <w:i w:val="0"/>
          <w:sz w:val="22"/>
        </w:rPr>
        <w:t>Entitatea Interpretare (InterpretationHistories):</w:t>
      </w:r>
    </w:p>
    <w:tbl>
      <w:tblPr>
        <w:tblStyle w:val="LightGrid-Accent1"/>
        <w:tblW w:type="auto" w:w="0"/>
        <w:tblLook w:firstColumn="1" w:firstRow="1" w:lastColumn="0" w:lastRow="0" w:noHBand="0" w:noVBand="1" w:val="04A0"/>
      </w:tblPr>
      <w:tblGrid>
        <w:gridCol w:w="3249"/>
        <w:gridCol w:w="3249"/>
        <w:gridCol w:w="3249"/>
      </w:tblGrid>
      <w:tr>
        <w:tc>
          <w:tcPr>
            <w:tcW w:type="dxa" w:w="2381"/>
            <w:shd w:val="clear" w:color="auto" w:fill="1F3A68"/>
          </w:tcPr>
          <w:p>
            <w:r>
              <w:rPr>
                <w:color w:val="FFFFFF"/>
              </w:rPr>
            </w:r>
            <w:r>
              <w:rPr>
                <w:b/>
                <w:color w:val="FFFFFF"/>
                <w:sz w:val="18"/>
              </w:rPr>
              <w:t>Atribut</w:t>
            </w:r>
          </w:p>
        </w:tc>
        <w:tc>
          <w:tcPr>
            <w:tcW w:type="dxa" w:w="1814"/>
            <w:shd w:val="clear" w:color="auto" w:fill="1F3A68"/>
          </w:tcPr>
          <w:p>
            <w:r>
              <w:rPr>
                <w:color w:val="FFFFFF"/>
              </w:rPr>
            </w:r>
            <w:r>
              <w:rPr>
                <w:b/>
                <w:color w:val="FFFFFF"/>
                <w:sz w:val="18"/>
              </w:rPr>
              <w:t>Tip</w:t>
            </w:r>
          </w:p>
        </w:tc>
        <w:tc>
          <w:tcPr>
            <w:tcW w:type="dxa" w:w="4762"/>
            <w:shd w:val="clear" w:color="auto" w:fill="1F3A68"/>
          </w:tcPr>
          <w:p>
            <w:r>
              <w:rPr>
                <w:color w:val="FFFFFF"/>
              </w:rPr>
            </w:r>
            <w:r>
              <w:rPr>
                <w:b/>
                <w:color w:val="FFFFFF"/>
                <w:sz w:val="18"/>
              </w:rPr>
              <w:t>Descriere</w:t>
            </w:r>
          </w:p>
        </w:tc>
      </w:tr>
      <w:tr>
        <w:tc>
          <w:tcPr>
            <w:tcW w:type="dxa" w:w="2381"/>
          </w:tcPr>
          <w:p>
            <w:r/>
            <w:r>
              <w:rPr>
                <w:sz w:val="18"/>
              </w:rPr>
              <w:t>Id (PK)</w:t>
            </w:r>
          </w:p>
        </w:tc>
        <w:tc>
          <w:tcPr>
            <w:tcW w:type="dxa" w:w="1814"/>
          </w:tcPr>
          <w:p>
            <w:r/>
            <w:r>
              <w:rPr>
                <w:sz w:val="18"/>
              </w:rPr>
              <w:t>int identity</w:t>
            </w:r>
          </w:p>
        </w:tc>
        <w:tc>
          <w:tcPr>
            <w:tcW w:type="dxa" w:w="4762"/>
          </w:tcPr>
          <w:p>
            <w:r/>
            <w:r>
              <w:rPr>
                <w:sz w:val="18"/>
              </w:rPr>
              <w:t>Identificator interpretare</w:t>
            </w:r>
          </w:p>
        </w:tc>
      </w:tr>
      <w:tr>
        <w:tc>
          <w:tcPr>
            <w:tcW w:type="dxa" w:w="2381"/>
          </w:tcPr>
          <w:p>
            <w:r/>
            <w:r>
              <w:rPr>
                <w:sz w:val="18"/>
              </w:rPr>
              <w:t>ProfileId (FK)</w:t>
            </w:r>
          </w:p>
        </w:tc>
        <w:tc>
          <w:tcPr>
            <w:tcW w:type="dxa" w:w="1814"/>
          </w:tcPr>
          <w:p>
            <w:r/>
            <w:r>
              <w:rPr>
                <w:sz w:val="18"/>
              </w:rPr>
              <w:t>int</w:t>
            </w:r>
          </w:p>
        </w:tc>
        <w:tc>
          <w:tcPr>
            <w:tcW w:type="dxa" w:w="4762"/>
          </w:tcPr>
          <w:p>
            <w:r/>
            <w:r>
              <w:rPr>
                <w:sz w:val="18"/>
              </w:rPr>
              <w:t>Profilul pacientului</w:t>
            </w:r>
          </w:p>
        </w:tc>
      </w:tr>
      <w:tr>
        <w:tc>
          <w:tcPr>
            <w:tcW w:type="dxa" w:w="2381"/>
          </w:tcPr>
          <w:p>
            <w:r/>
            <w:r>
              <w:rPr>
                <w:sz w:val="18"/>
              </w:rPr>
              <w:t>PdfSha256</w:t>
            </w:r>
          </w:p>
        </w:tc>
        <w:tc>
          <w:tcPr>
            <w:tcW w:type="dxa" w:w="1814"/>
          </w:tcPr>
          <w:p>
            <w:r/>
            <w:r>
              <w:rPr>
                <w:sz w:val="18"/>
              </w:rPr>
              <w:t>char(64)</w:t>
            </w:r>
          </w:p>
        </w:tc>
        <w:tc>
          <w:tcPr>
            <w:tcW w:type="dxa" w:w="4762"/>
          </w:tcPr>
          <w:p>
            <w:r/>
            <w:r>
              <w:rPr>
                <w:sz w:val="18"/>
              </w:rPr>
              <w:t>Amprenta documentului (deduplicare)</w:t>
            </w:r>
          </w:p>
        </w:tc>
      </w:tr>
      <w:tr>
        <w:tc>
          <w:tcPr>
            <w:tcW w:type="dxa" w:w="2381"/>
          </w:tcPr>
          <w:p>
            <w:r/>
            <w:r>
              <w:rPr>
                <w:sz w:val="18"/>
              </w:rPr>
              <w:t>RawJsonResult</w:t>
            </w:r>
          </w:p>
        </w:tc>
        <w:tc>
          <w:tcPr>
            <w:tcW w:type="dxa" w:w="1814"/>
          </w:tcPr>
          <w:p>
            <w:r/>
            <w:r>
              <w:rPr>
                <w:sz w:val="18"/>
              </w:rPr>
              <w:t>nvarchar(max)</w:t>
            </w:r>
          </w:p>
        </w:tc>
        <w:tc>
          <w:tcPr>
            <w:tcW w:type="dxa" w:w="4762"/>
          </w:tcPr>
          <w:p>
            <w:r/>
            <w:r>
              <w:rPr>
                <w:sz w:val="18"/>
              </w:rPr>
              <w:t>Rezultatul complet structurat (JSON)</w:t>
            </w:r>
          </w:p>
        </w:tc>
      </w:tr>
      <w:tr>
        <w:tc>
          <w:tcPr>
            <w:tcW w:type="dxa" w:w="2381"/>
          </w:tcPr>
          <w:p>
            <w:r/>
            <w:r>
              <w:rPr>
                <w:sz w:val="18"/>
              </w:rPr>
              <w:t>ModelUsed</w:t>
            </w:r>
          </w:p>
        </w:tc>
        <w:tc>
          <w:tcPr>
            <w:tcW w:type="dxa" w:w="1814"/>
          </w:tcPr>
          <w:p>
            <w:r/>
            <w:r>
              <w:rPr>
                <w:sz w:val="18"/>
              </w:rPr>
              <w:t>nvarchar(64)</w:t>
            </w:r>
          </w:p>
        </w:tc>
        <w:tc>
          <w:tcPr>
            <w:tcW w:type="dxa" w:w="4762"/>
          </w:tcPr>
          <w:p>
            <w:r/>
            <w:r>
              <w:rPr>
                <w:sz w:val="18"/>
              </w:rPr>
              <w:t>Modelul AI folosit (economic/performant)</w:t>
            </w:r>
          </w:p>
        </w:tc>
      </w:tr>
      <w:tr>
        <w:tc>
          <w:tcPr>
            <w:tcW w:type="dxa" w:w="2381"/>
          </w:tcPr>
          <w:p>
            <w:r/>
            <w:r>
              <w:rPr>
                <w:sz w:val="18"/>
              </w:rPr>
              <w:t>InputTokens / OutputTokens</w:t>
            </w:r>
          </w:p>
        </w:tc>
        <w:tc>
          <w:tcPr>
            <w:tcW w:type="dxa" w:w="1814"/>
          </w:tcPr>
          <w:p>
            <w:r/>
            <w:r>
              <w:rPr>
                <w:sz w:val="18"/>
              </w:rPr>
              <w:t>int</w:t>
            </w:r>
          </w:p>
        </w:tc>
        <w:tc>
          <w:tcPr>
            <w:tcW w:type="dxa" w:w="4762"/>
          </w:tcPr>
          <w:p>
            <w:r/>
            <w:r>
              <w:rPr>
                <w:sz w:val="18"/>
              </w:rPr>
              <w:t>Consum AI pentru controlul costului</w:t>
            </w:r>
          </w:p>
        </w:tc>
      </w:tr>
      <w:tr>
        <w:tc>
          <w:tcPr>
            <w:tcW w:type="dxa" w:w="2381"/>
          </w:tcPr>
          <w:p>
            <w:r/>
            <w:r>
              <w:rPr>
                <w:sz w:val="18"/>
              </w:rPr>
              <w:t>Language</w:t>
            </w:r>
          </w:p>
        </w:tc>
        <w:tc>
          <w:tcPr>
            <w:tcW w:type="dxa" w:w="1814"/>
          </w:tcPr>
          <w:p>
            <w:r/>
            <w:r>
              <w:rPr>
                <w:sz w:val="18"/>
              </w:rPr>
              <w:t>nvarchar(8)</w:t>
            </w:r>
          </w:p>
        </w:tc>
        <w:tc>
          <w:tcPr>
            <w:tcW w:type="dxa" w:w="4762"/>
          </w:tcPr>
          <w:p>
            <w:r/>
            <w:r>
              <w:rPr>
                <w:sz w:val="18"/>
              </w:rPr>
              <w:t>Limba interpretării generate</w:t>
            </w:r>
          </w:p>
        </w:tc>
      </w:tr>
      <w:tr>
        <w:tc>
          <w:tcPr>
            <w:tcW w:type="dxa" w:w="2381"/>
          </w:tcPr>
          <w:p>
            <w:r/>
            <w:r>
              <w:rPr>
                <w:sz w:val="18"/>
              </w:rPr>
              <w:t>CreatedAt</w:t>
            </w:r>
          </w:p>
        </w:tc>
        <w:tc>
          <w:tcPr>
            <w:tcW w:type="dxa" w:w="1814"/>
          </w:tcPr>
          <w:p>
            <w:r/>
            <w:r>
              <w:rPr>
                <w:sz w:val="18"/>
              </w:rPr>
              <w:t>datetime2</w:t>
            </w:r>
          </w:p>
        </w:tc>
        <w:tc>
          <w:tcPr>
            <w:tcW w:type="dxa" w:w="4762"/>
          </w:tcPr>
          <w:p>
            <w:r/>
            <w:r>
              <w:rPr>
                <w:sz w:val="18"/>
              </w:rPr>
              <w:t>Momentul procesării</w:t>
            </w:r>
          </w:p>
        </w:tc>
      </w:tr>
    </w:tbl>
    <w:p>
      <w:pPr>
        <w:spacing w:after="120"/>
        <w:jc w:val="both"/>
      </w:pPr>
      <w:r>
        <w:rPr>
          <w:b/>
          <w:i w:val="0"/>
          <w:sz w:val="22"/>
        </w:rPr>
        <w:t>Entitatea Rezultat-cheie (KeyResults, denormalizată):</w:t>
      </w:r>
    </w:p>
    <w:tbl>
      <w:tblPr>
        <w:tblStyle w:val="LightGrid-Accent1"/>
        <w:tblW w:type="auto" w:w="0"/>
        <w:tblLook w:firstColumn="1" w:firstRow="1" w:lastColumn="0" w:lastRow="0" w:noHBand="0" w:noVBand="1" w:val="04A0"/>
      </w:tblPr>
      <w:tblGrid>
        <w:gridCol w:w="3249"/>
        <w:gridCol w:w="3249"/>
        <w:gridCol w:w="3249"/>
      </w:tblGrid>
      <w:tr>
        <w:tc>
          <w:tcPr>
            <w:tcW w:type="dxa" w:w="2608"/>
            <w:shd w:val="clear" w:color="auto" w:fill="1F3A68"/>
          </w:tcPr>
          <w:p>
            <w:r>
              <w:rPr>
                <w:color w:val="FFFFFF"/>
              </w:rPr>
            </w:r>
            <w:r>
              <w:rPr>
                <w:b/>
                <w:color w:val="FFFFFF"/>
                <w:sz w:val="18"/>
              </w:rPr>
              <w:t>Atribut</w:t>
            </w:r>
          </w:p>
        </w:tc>
        <w:tc>
          <w:tcPr>
            <w:tcW w:type="dxa" w:w="1814"/>
            <w:shd w:val="clear" w:color="auto" w:fill="1F3A68"/>
          </w:tcPr>
          <w:p>
            <w:r>
              <w:rPr>
                <w:color w:val="FFFFFF"/>
              </w:rPr>
            </w:r>
            <w:r>
              <w:rPr>
                <w:b/>
                <w:color w:val="FFFFFF"/>
                <w:sz w:val="18"/>
              </w:rPr>
              <w:t>Tip</w:t>
            </w:r>
          </w:p>
        </w:tc>
        <w:tc>
          <w:tcPr>
            <w:tcW w:type="dxa" w:w="4535"/>
            <w:shd w:val="clear" w:color="auto" w:fill="1F3A68"/>
          </w:tcPr>
          <w:p>
            <w:r>
              <w:rPr>
                <w:color w:val="FFFFFF"/>
              </w:rPr>
            </w:r>
            <w:r>
              <w:rPr>
                <w:b/>
                <w:color w:val="FFFFFF"/>
                <w:sz w:val="18"/>
              </w:rPr>
              <w:t>Descriere</w:t>
            </w:r>
          </w:p>
        </w:tc>
      </w:tr>
      <w:tr>
        <w:tc>
          <w:tcPr>
            <w:tcW w:type="dxa" w:w="2608"/>
          </w:tcPr>
          <w:p>
            <w:r/>
            <w:r>
              <w:rPr>
                <w:sz w:val="18"/>
              </w:rPr>
              <w:t>Id (PK)</w:t>
            </w:r>
          </w:p>
        </w:tc>
        <w:tc>
          <w:tcPr>
            <w:tcW w:type="dxa" w:w="1814"/>
          </w:tcPr>
          <w:p>
            <w:r/>
            <w:r>
              <w:rPr>
                <w:sz w:val="18"/>
              </w:rPr>
              <w:t>bigint identity</w:t>
            </w:r>
          </w:p>
        </w:tc>
        <w:tc>
          <w:tcPr>
            <w:tcW w:type="dxa" w:w="4535"/>
          </w:tcPr>
          <w:p>
            <w:r/>
            <w:r>
              <w:rPr>
                <w:sz w:val="18"/>
              </w:rPr>
              <w:t>Identificator rând</w:t>
            </w:r>
          </w:p>
        </w:tc>
      </w:tr>
      <w:tr>
        <w:tc>
          <w:tcPr>
            <w:tcW w:type="dxa" w:w="2608"/>
          </w:tcPr>
          <w:p>
            <w:r/>
            <w:r>
              <w:rPr>
                <w:sz w:val="18"/>
              </w:rPr>
              <w:t>InterpretationId (FK)</w:t>
            </w:r>
          </w:p>
        </w:tc>
        <w:tc>
          <w:tcPr>
            <w:tcW w:type="dxa" w:w="1814"/>
          </w:tcPr>
          <w:p>
            <w:r/>
            <w:r>
              <w:rPr>
                <w:sz w:val="18"/>
              </w:rPr>
              <w:t>int</w:t>
            </w:r>
          </w:p>
        </w:tc>
        <w:tc>
          <w:tcPr>
            <w:tcW w:type="dxa" w:w="4535"/>
          </w:tcPr>
          <w:p>
            <w:r/>
            <w:r>
              <w:rPr>
                <w:sz w:val="18"/>
              </w:rPr>
              <w:t>Interpretarea sursă</w:t>
            </w:r>
          </w:p>
        </w:tc>
      </w:tr>
      <w:tr>
        <w:tc>
          <w:tcPr>
            <w:tcW w:type="dxa" w:w="2608"/>
          </w:tcPr>
          <w:p>
            <w:r/>
            <w:r>
              <w:rPr>
                <w:sz w:val="18"/>
              </w:rPr>
              <w:t>ParameterRaw</w:t>
            </w:r>
          </w:p>
        </w:tc>
        <w:tc>
          <w:tcPr>
            <w:tcW w:type="dxa" w:w="1814"/>
          </w:tcPr>
          <w:p>
            <w:r/>
            <w:r>
              <w:rPr>
                <w:sz w:val="18"/>
              </w:rPr>
              <w:t>nvarchar(256)</w:t>
            </w:r>
          </w:p>
        </w:tc>
        <w:tc>
          <w:tcPr>
            <w:tcW w:type="dxa" w:w="4535"/>
          </w:tcPr>
          <w:p>
            <w:r/>
            <w:r>
              <w:rPr>
                <w:sz w:val="18"/>
              </w:rPr>
              <w:t>Denumirea brută din buletin</w:t>
            </w:r>
          </w:p>
        </w:tc>
      </w:tr>
      <w:tr>
        <w:tc>
          <w:tcPr>
            <w:tcW w:type="dxa" w:w="2608"/>
          </w:tcPr>
          <w:p>
            <w:r/>
            <w:r>
              <w:rPr>
                <w:sz w:val="18"/>
              </w:rPr>
              <w:t>ParameterNormalizedEn</w:t>
            </w:r>
          </w:p>
        </w:tc>
        <w:tc>
          <w:tcPr>
            <w:tcW w:type="dxa" w:w="1814"/>
          </w:tcPr>
          <w:p>
            <w:r/>
            <w:r>
              <w:rPr>
                <w:sz w:val="18"/>
              </w:rPr>
              <w:t>nvarchar(256)</w:t>
            </w:r>
          </w:p>
        </w:tc>
        <w:tc>
          <w:tcPr>
            <w:tcW w:type="dxa" w:w="4535"/>
          </w:tcPr>
          <w:p>
            <w:r/>
            <w:r>
              <w:rPr>
                <w:sz w:val="18"/>
              </w:rPr>
              <w:t>Denumirea canonică (terminologie LOINC)</w:t>
            </w:r>
          </w:p>
        </w:tc>
      </w:tr>
      <w:tr>
        <w:tc>
          <w:tcPr>
            <w:tcW w:type="dxa" w:w="2608"/>
          </w:tcPr>
          <w:p>
            <w:r/>
            <w:r>
              <w:rPr>
                <w:sz w:val="18"/>
              </w:rPr>
              <w:t>PanelHeaderRaw</w:t>
            </w:r>
          </w:p>
        </w:tc>
        <w:tc>
          <w:tcPr>
            <w:tcW w:type="dxa" w:w="1814"/>
          </w:tcPr>
          <w:p>
            <w:r/>
            <w:r>
              <w:rPr>
                <w:sz w:val="18"/>
              </w:rPr>
              <w:t>nvarchar(512)</w:t>
            </w:r>
          </w:p>
        </w:tc>
        <w:tc>
          <w:tcPr>
            <w:tcW w:type="dxa" w:w="4535"/>
          </w:tcPr>
          <w:p>
            <w:r/>
            <w:r>
              <w:rPr>
                <w:sz w:val="18"/>
              </w:rPr>
              <w:t>Antetul ierarhic de panel (context sursă)</w:t>
            </w:r>
          </w:p>
        </w:tc>
      </w:tr>
      <w:tr>
        <w:tc>
          <w:tcPr>
            <w:tcW w:type="dxa" w:w="2608"/>
          </w:tcPr>
          <w:p>
            <w:r/>
            <w:r>
              <w:rPr>
                <w:sz w:val="18"/>
              </w:rPr>
              <w:t>AnalyteLineRaw</w:t>
            </w:r>
          </w:p>
        </w:tc>
        <w:tc>
          <w:tcPr>
            <w:tcW w:type="dxa" w:w="1814"/>
          </w:tcPr>
          <w:p>
            <w:r/>
            <w:r>
              <w:rPr>
                <w:sz w:val="18"/>
              </w:rPr>
              <w:t>nvarchar(1024)</w:t>
            </w:r>
          </w:p>
        </w:tc>
        <w:tc>
          <w:tcPr>
            <w:tcW w:type="dxa" w:w="4535"/>
          </w:tcPr>
          <w:p>
            <w:r/>
            <w:r>
              <w:rPr>
                <w:sz w:val="18"/>
              </w:rPr>
              <w:t>Linia brută integrală a analitului</w:t>
            </w:r>
          </w:p>
        </w:tc>
      </w:tr>
      <w:tr>
        <w:tc>
          <w:tcPr>
            <w:tcW w:type="dxa" w:w="2608"/>
          </w:tcPr>
          <w:p>
            <w:r/>
            <w:r>
              <w:rPr>
                <w:sz w:val="18"/>
              </w:rPr>
              <w:t>Value / Unit</w:t>
            </w:r>
          </w:p>
        </w:tc>
        <w:tc>
          <w:tcPr>
            <w:tcW w:type="dxa" w:w="1814"/>
          </w:tcPr>
          <w:p>
            <w:r/>
            <w:r>
              <w:rPr>
                <w:sz w:val="18"/>
              </w:rPr>
              <w:t>nvarchar</w:t>
            </w:r>
          </w:p>
        </w:tc>
        <w:tc>
          <w:tcPr>
            <w:tcW w:type="dxa" w:w="4535"/>
          </w:tcPr>
          <w:p>
            <w:r/>
            <w:r>
              <w:rPr>
                <w:sz w:val="18"/>
              </w:rPr>
              <w:t>Valoarea măsurată și unitatea</w:t>
            </w:r>
          </w:p>
        </w:tc>
      </w:tr>
      <w:tr>
        <w:tc>
          <w:tcPr>
            <w:tcW w:type="dxa" w:w="2608"/>
          </w:tcPr>
          <w:p>
            <w:r/>
            <w:r>
              <w:rPr>
                <w:sz w:val="18"/>
              </w:rPr>
              <w:t>ReferenceRange</w:t>
            </w:r>
          </w:p>
        </w:tc>
        <w:tc>
          <w:tcPr>
            <w:tcW w:type="dxa" w:w="1814"/>
          </w:tcPr>
          <w:p>
            <w:r/>
            <w:r>
              <w:rPr>
                <w:sz w:val="18"/>
              </w:rPr>
              <w:t>nvarchar(128)</w:t>
            </w:r>
          </w:p>
        </w:tc>
        <w:tc>
          <w:tcPr>
            <w:tcW w:type="dxa" w:w="4535"/>
          </w:tcPr>
          <w:p>
            <w:r/>
            <w:r>
              <w:rPr>
                <w:sz w:val="18"/>
              </w:rPr>
              <w:t>Intervalul de referință raportat</w:t>
            </w:r>
          </w:p>
        </w:tc>
      </w:tr>
      <w:tr>
        <w:tc>
          <w:tcPr>
            <w:tcW w:type="dxa" w:w="2608"/>
          </w:tcPr>
          <w:p>
            <w:r/>
            <w:r>
              <w:rPr>
                <w:sz w:val="18"/>
              </w:rPr>
              <w:t>Status</w:t>
            </w:r>
          </w:p>
        </w:tc>
        <w:tc>
          <w:tcPr>
            <w:tcW w:type="dxa" w:w="1814"/>
          </w:tcPr>
          <w:p>
            <w:r/>
            <w:r>
              <w:rPr>
                <w:sz w:val="18"/>
              </w:rPr>
              <w:t>nvarchar(16)</w:t>
            </w:r>
          </w:p>
        </w:tc>
        <w:tc>
          <w:tcPr>
            <w:tcW w:type="dxa" w:w="4535"/>
          </w:tcPr>
          <w:p>
            <w:r/>
            <w:r>
              <w:rPr>
                <w:sz w:val="18"/>
              </w:rPr>
              <w:t>Normal/High/Low/Borderline (determinist)</w:t>
            </w:r>
          </w:p>
        </w:tc>
      </w:tr>
      <w:tr>
        <w:tc>
          <w:tcPr>
            <w:tcW w:type="dxa" w:w="2608"/>
          </w:tcPr>
          <w:p>
            <w:r/>
            <w:r>
              <w:rPr>
                <w:sz w:val="18"/>
              </w:rPr>
              <w:t>LoincCode</w:t>
            </w:r>
          </w:p>
        </w:tc>
        <w:tc>
          <w:tcPr>
            <w:tcW w:type="dxa" w:w="1814"/>
          </w:tcPr>
          <w:p>
            <w:r/>
            <w:r>
              <w:rPr>
                <w:sz w:val="18"/>
              </w:rPr>
              <w:t>nvarchar(16)</w:t>
            </w:r>
          </w:p>
        </w:tc>
        <w:tc>
          <w:tcPr>
            <w:tcW w:type="dxa" w:w="4535"/>
          </w:tcPr>
          <w:p>
            <w:r/>
            <w:r>
              <w:rPr>
                <w:sz w:val="18"/>
              </w:rPr>
              <w:t>Codul LOINC atribuit</w:t>
            </w:r>
          </w:p>
        </w:tc>
      </w:tr>
      <w:tr>
        <w:tc>
          <w:tcPr>
            <w:tcW w:type="dxa" w:w="2608"/>
          </w:tcPr>
          <w:p>
            <w:r/>
            <w:r>
              <w:rPr>
                <w:sz w:val="18"/>
              </w:rPr>
              <w:t>LoincConfidence / LoincSource</w:t>
            </w:r>
          </w:p>
        </w:tc>
        <w:tc>
          <w:tcPr>
            <w:tcW w:type="dxa" w:w="1814"/>
          </w:tcPr>
          <w:p>
            <w:r/>
            <w:r>
              <w:rPr>
                <w:sz w:val="18"/>
              </w:rPr>
              <w:t>float / nvarchar</w:t>
            </w:r>
          </w:p>
        </w:tc>
        <w:tc>
          <w:tcPr>
            <w:tcW w:type="dxa" w:w="4535"/>
          </w:tcPr>
          <w:p>
            <w:r/>
            <w:r>
              <w:rPr>
                <w:sz w:val="18"/>
              </w:rPr>
              <w:t>Scorul și stratul care a decis (ancoră/semantic/fuzzy/reguli)</w:t>
            </w:r>
          </w:p>
        </w:tc>
      </w:tr>
    </w:tbl>
    <w:p>
      <w:pPr>
        <w:spacing w:after="120"/>
        <w:jc w:val="both"/>
      </w:pPr>
      <w:r>
        <w:rPr>
          <w:b/>
          <w:i w:val="0"/>
          <w:sz w:val="22"/>
        </w:rPr>
        <w:t>Entități B2B și de audit:</w:t>
      </w:r>
    </w:p>
    <w:tbl>
      <w:tblPr>
        <w:tblStyle w:val="LightGrid-Accent1"/>
        <w:tblW w:type="auto" w:w="0"/>
        <w:tblLook w:firstColumn="1" w:firstRow="1" w:lastColumn="0" w:lastRow="0" w:noHBand="0" w:noVBand="1" w:val="04A0"/>
      </w:tblPr>
      <w:tblGrid>
        <w:gridCol w:w="3249"/>
        <w:gridCol w:w="3249"/>
        <w:gridCol w:w="3249"/>
      </w:tblGrid>
      <w:tr>
        <w:tc>
          <w:tcPr>
            <w:tcW w:type="dxa" w:w="1928"/>
            <w:shd w:val="clear" w:color="auto" w:fill="1F3A68"/>
          </w:tcPr>
          <w:p>
            <w:r>
              <w:rPr>
                <w:color w:val="FFFFFF"/>
              </w:rPr>
            </w:r>
            <w:r>
              <w:rPr>
                <w:b/>
                <w:color w:val="FFFFFF"/>
                <w:sz w:val="18"/>
              </w:rPr>
              <w:t>Entitate</w:t>
            </w:r>
          </w:p>
        </w:tc>
        <w:tc>
          <w:tcPr>
            <w:tcW w:type="dxa" w:w="4195"/>
            <w:shd w:val="clear" w:color="auto" w:fill="1F3A68"/>
          </w:tcPr>
          <w:p>
            <w:r>
              <w:rPr>
                <w:color w:val="FFFFFF"/>
              </w:rPr>
            </w:r>
            <w:r>
              <w:rPr>
                <w:b/>
                <w:color w:val="FFFFFF"/>
                <w:sz w:val="18"/>
              </w:rPr>
              <w:t>Atribute esențiale</w:t>
            </w:r>
          </w:p>
        </w:tc>
        <w:tc>
          <w:tcPr>
            <w:tcW w:type="dxa" w:w="2835"/>
            <w:shd w:val="clear" w:color="auto" w:fill="1F3A68"/>
          </w:tcPr>
          <w:p>
            <w:r>
              <w:rPr>
                <w:color w:val="FFFFFF"/>
              </w:rPr>
            </w:r>
            <w:r>
              <w:rPr>
                <w:b/>
                <w:color w:val="FFFFFF"/>
                <w:sz w:val="18"/>
              </w:rPr>
              <w:t>Rol</w:t>
            </w:r>
          </w:p>
        </w:tc>
      </w:tr>
      <w:tr>
        <w:tc>
          <w:tcPr>
            <w:tcW w:type="dxa" w:w="1928"/>
          </w:tcPr>
          <w:p>
            <w:r/>
            <w:r>
              <w:rPr>
                <w:sz w:val="18"/>
              </w:rPr>
              <w:t>Clinics</w:t>
            </w:r>
          </w:p>
        </w:tc>
        <w:tc>
          <w:tcPr>
            <w:tcW w:type="dxa" w:w="4195"/>
          </w:tcPr>
          <w:p>
            <w:r/>
            <w:r>
              <w:rPr>
                <w:sz w:val="18"/>
              </w:rPr>
              <w:t>Id, Name, Subdomain, Tier, CustomTariff, ActiveModules, BrandingConfig</w:t>
            </w:r>
          </w:p>
        </w:tc>
        <w:tc>
          <w:tcPr>
            <w:tcW w:type="dxa" w:w="2835"/>
          </w:tcPr>
          <w:p>
            <w:r/>
            <w:r>
              <w:rPr>
                <w:sz w:val="18"/>
              </w:rPr>
              <w:t>Configurația fiecărui tenant B2B</w:t>
            </w:r>
          </w:p>
        </w:tc>
      </w:tr>
      <w:tr>
        <w:tc>
          <w:tcPr>
            <w:tcW w:type="dxa" w:w="1928"/>
          </w:tcPr>
          <w:p>
            <w:r/>
            <w:r>
              <w:rPr>
                <w:sz w:val="18"/>
              </w:rPr>
              <w:t>ClinicUsers</w:t>
            </w:r>
          </w:p>
        </w:tc>
        <w:tc>
          <w:tcPr>
            <w:tcW w:type="dxa" w:w="4195"/>
          </w:tcPr>
          <w:p>
            <w:r/>
            <w:r>
              <w:rPr>
                <w:sz w:val="18"/>
              </w:rPr>
              <w:t>ClinicId, Email, Role (Admin/Operator)</w:t>
            </w:r>
          </w:p>
        </w:tc>
        <w:tc>
          <w:tcPr>
            <w:tcW w:type="dxa" w:w="2835"/>
          </w:tcPr>
          <w:p>
            <w:r/>
            <w:r>
              <w:rPr>
                <w:sz w:val="18"/>
              </w:rPr>
              <w:t>Conturile organizaționale cu roluri</w:t>
            </w:r>
          </w:p>
        </w:tc>
      </w:tr>
      <w:tr>
        <w:tc>
          <w:tcPr>
            <w:tcW w:type="dxa" w:w="1928"/>
          </w:tcPr>
          <w:p>
            <w:r/>
            <w:r>
              <w:rPr>
                <w:sz w:val="18"/>
              </w:rPr>
              <w:t>ClinicBatchRuns</w:t>
            </w:r>
          </w:p>
        </w:tc>
        <w:tc>
          <w:tcPr>
            <w:tcW w:type="dxa" w:w="4195"/>
          </w:tcPr>
          <w:p>
            <w:r/>
            <w:r>
              <w:rPr>
                <w:sz w:val="18"/>
              </w:rPr>
              <w:t>Id, ClinicId, DocumentCount, Status, StartedAt, CompletedAt, SummaryJson</w:t>
            </w:r>
          </w:p>
        </w:tc>
        <w:tc>
          <w:tcPr>
            <w:tcW w:type="dxa" w:w="2835"/>
          </w:tcPr>
          <w:p>
            <w:r/>
            <w:r>
              <w:rPr>
                <w:sz w:val="18"/>
              </w:rPr>
              <w:t>Fiecare lot de procesare multi-pacient</w:t>
            </w:r>
          </w:p>
        </w:tc>
      </w:tr>
      <w:tr>
        <w:tc>
          <w:tcPr>
            <w:tcW w:type="dxa" w:w="1928"/>
          </w:tcPr>
          <w:p>
            <w:r/>
            <w:r>
              <w:rPr>
                <w:sz w:val="18"/>
              </w:rPr>
              <w:t>AiUsageLogs</w:t>
            </w:r>
          </w:p>
        </w:tc>
        <w:tc>
          <w:tcPr>
            <w:tcW w:type="dxa" w:w="4195"/>
          </w:tcPr>
          <w:p>
            <w:r/>
            <w:r>
              <w:rPr>
                <w:sz w:val="18"/>
              </w:rPr>
              <w:t>Id, InterpretationId, Model, InputTokens, OutputTokens, LatencyMs, Status</w:t>
            </w:r>
          </w:p>
        </w:tc>
        <w:tc>
          <w:tcPr>
            <w:tcW w:type="dxa" w:w="2835"/>
          </w:tcPr>
          <w:p>
            <w:r/>
            <w:r>
              <w:rPr>
                <w:sz w:val="18"/>
              </w:rPr>
              <w:t>Jurnalul fiecărui apel AI (cost și audit)</w:t>
            </w:r>
          </w:p>
        </w:tc>
      </w:tr>
      <w:tr>
        <w:tc>
          <w:tcPr>
            <w:tcW w:type="dxa" w:w="1928"/>
          </w:tcPr>
          <w:p>
            <w:r/>
            <w:r>
              <w:rPr>
                <w:sz w:val="18"/>
              </w:rPr>
              <w:t>AuditLogs</w:t>
            </w:r>
          </w:p>
        </w:tc>
        <w:tc>
          <w:tcPr>
            <w:tcW w:type="dxa" w:w="4195"/>
          </w:tcPr>
          <w:p>
            <w:r/>
            <w:r>
              <w:rPr>
                <w:sz w:val="18"/>
              </w:rPr>
              <w:t>Id, ActorEmail, Action, EntityRef, IpAddress, CreatedAt</w:t>
            </w:r>
          </w:p>
        </w:tc>
        <w:tc>
          <w:tcPr>
            <w:tcW w:type="dxa" w:w="2835"/>
          </w:tcPr>
          <w:p>
            <w:r/>
            <w:r>
              <w:rPr>
                <w:sz w:val="18"/>
              </w:rPr>
              <w:t>Acțiunile sensibile; retenție 7 ani</w:t>
            </w:r>
          </w:p>
        </w:tc>
      </w:tr>
      <w:tr>
        <w:tc>
          <w:tcPr>
            <w:tcW w:type="dxa" w:w="1928"/>
          </w:tcPr>
          <w:p>
            <w:r/>
            <w:r>
              <w:rPr>
                <w:sz w:val="18"/>
              </w:rPr>
              <w:t>Payments / Invoices</w:t>
            </w:r>
          </w:p>
        </w:tc>
        <w:tc>
          <w:tcPr>
            <w:tcW w:type="dxa" w:w="4195"/>
          </w:tcPr>
          <w:p>
            <w:r/>
            <w:r>
              <w:rPr>
                <w:sz w:val="18"/>
              </w:rPr>
              <w:t>Id, UserEmail/ClinicId, Amount, Currency, Provider, Status, InvoiceNumber</w:t>
            </w:r>
          </w:p>
        </w:tc>
        <w:tc>
          <w:tcPr>
            <w:tcW w:type="dxa" w:w="2835"/>
          </w:tcPr>
          <w:p>
            <w:r/>
            <w:r>
              <w:rPr>
                <w:sz w:val="18"/>
              </w:rPr>
              <w:t>Tranzacțiile și facturarea automată</w:t>
            </w:r>
          </w:p>
        </w:tc>
      </w:tr>
    </w:tbl>
    <w:p>
      <w:pPr>
        <w:pStyle w:val="Heading2"/>
      </w:pPr>
      <w:r>
        <w:rPr>
          <w:color w:val="1F3A68"/>
        </w:rPr>
        <w:t>C.4.12. Catalogul serviciilor API</w:t>
      </w:r>
    </w:p>
    <w:p>
      <w:pPr>
        <w:spacing w:after="120"/>
        <w:jc w:val="both"/>
      </w:pPr>
      <w:r>
        <w:rPr>
          <w:b w:val="0"/>
          <w:i w:val="0"/>
          <w:sz w:val="22"/>
        </w:rPr>
        <w:t>Principalele grupuri de servicii API care vor fi dezvoltate și documentate prin specificații OpenAPI:</w:t>
      </w:r>
    </w:p>
    <w:tbl>
      <w:tblPr>
        <w:tblStyle w:val="LightGrid-Accent1"/>
        <w:tblW w:type="auto" w:w="0"/>
        <w:tblLook w:firstColumn="1" w:firstRow="1" w:lastColumn="0" w:lastRow="0" w:noHBand="0" w:noVBand="1" w:val="04A0"/>
      </w:tblPr>
      <w:tblGrid>
        <w:gridCol w:w="3249"/>
        <w:gridCol w:w="3249"/>
        <w:gridCol w:w="3249"/>
      </w:tblGrid>
      <w:tr>
        <w:tc>
          <w:tcPr>
            <w:tcW w:type="dxa" w:w="3855"/>
            <w:shd w:val="clear" w:color="auto" w:fill="1F3A68"/>
          </w:tcPr>
          <w:p>
            <w:r>
              <w:rPr>
                <w:color w:val="FFFFFF"/>
              </w:rPr>
            </w:r>
            <w:r>
              <w:rPr>
                <w:b/>
                <w:color w:val="FFFFFF"/>
                <w:sz w:val="18"/>
              </w:rPr>
              <w:t>Grup / Endpoint reprezentativ</w:t>
            </w:r>
          </w:p>
        </w:tc>
        <w:tc>
          <w:tcPr>
            <w:tcW w:type="dxa" w:w="1701"/>
            <w:shd w:val="clear" w:color="auto" w:fill="1F3A68"/>
          </w:tcPr>
          <w:p>
            <w:r>
              <w:rPr>
                <w:color w:val="FFFFFF"/>
              </w:rPr>
            </w:r>
            <w:r>
              <w:rPr>
                <w:b/>
                <w:color w:val="FFFFFF"/>
                <w:sz w:val="18"/>
              </w:rPr>
              <w:t>Metodă</w:t>
            </w:r>
          </w:p>
        </w:tc>
        <w:tc>
          <w:tcPr>
            <w:tcW w:type="dxa" w:w="3402"/>
            <w:shd w:val="clear" w:color="auto" w:fill="1F3A68"/>
          </w:tcPr>
          <w:p>
            <w:r>
              <w:rPr>
                <w:color w:val="FFFFFF"/>
              </w:rPr>
            </w:r>
            <w:r>
              <w:rPr>
                <w:b/>
                <w:color w:val="FFFFFF"/>
                <w:sz w:val="18"/>
              </w:rPr>
              <w:t>Rol</w:t>
            </w:r>
          </w:p>
        </w:tc>
      </w:tr>
      <w:tr>
        <w:tc>
          <w:tcPr>
            <w:tcW w:type="dxa" w:w="3855"/>
          </w:tcPr>
          <w:p>
            <w:r/>
            <w:r>
              <w:rPr>
                <w:sz w:val="18"/>
              </w:rPr>
              <w:t>/api/auth/register · /login · /verify-email · /forgot-password</w:t>
            </w:r>
          </w:p>
        </w:tc>
        <w:tc>
          <w:tcPr>
            <w:tcW w:type="dxa" w:w="1701"/>
          </w:tcPr>
          <w:p>
            <w:r/>
            <w:r>
              <w:rPr>
                <w:sz w:val="18"/>
              </w:rPr>
              <w:t>POST</w:t>
            </w:r>
          </w:p>
        </w:tc>
        <w:tc>
          <w:tcPr>
            <w:tcW w:type="dxa" w:w="3402"/>
          </w:tcPr>
          <w:p>
            <w:r/>
            <w:r>
              <w:rPr>
                <w:sz w:val="18"/>
              </w:rPr>
              <w:t>Fluxurile de înregistrare și autentificare (F3.2–F3.3)</w:t>
            </w:r>
          </w:p>
        </w:tc>
      </w:tr>
      <w:tr>
        <w:tc>
          <w:tcPr>
            <w:tcW w:type="dxa" w:w="3855"/>
          </w:tcPr>
          <w:p>
            <w:r/>
            <w:r>
              <w:rPr>
                <w:sz w:val="18"/>
              </w:rPr>
              <w:t>/api/profiles</w:t>
            </w:r>
          </w:p>
        </w:tc>
        <w:tc>
          <w:tcPr>
            <w:tcW w:type="dxa" w:w="1701"/>
          </w:tcPr>
          <w:p>
            <w:r/>
            <w:r>
              <w:rPr>
                <w:sz w:val="18"/>
              </w:rPr>
              <w:t>GET/POST/PUT/DELETE</w:t>
            </w:r>
          </w:p>
        </w:tc>
        <w:tc>
          <w:tcPr>
            <w:tcW w:type="dxa" w:w="3402"/>
          </w:tcPr>
          <w:p>
            <w:r/>
            <w:r>
              <w:rPr>
                <w:sz w:val="18"/>
              </w:rPr>
              <w:t>Gestiunea profilurilor de pacient (F3.4)</w:t>
            </w:r>
          </w:p>
        </w:tc>
      </w:tr>
      <w:tr>
        <w:tc>
          <w:tcPr>
            <w:tcW w:type="dxa" w:w="3855"/>
          </w:tcPr>
          <w:p>
            <w:r/>
            <w:r>
              <w:rPr>
                <w:sz w:val="18"/>
              </w:rPr>
              <w:t>/api/interpretations/upload</w:t>
            </w:r>
          </w:p>
        </w:tc>
        <w:tc>
          <w:tcPr>
            <w:tcW w:type="dxa" w:w="1701"/>
          </w:tcPr>
          <w:p>
            <w:r/>
            <w:r>
              <w:rPr>
                <w:sz w:val="18"/>
              </w:rPr>
              <w:t>POST (multipart)</w:t>
            </w:r>
          </w:p>
        </w:tc>
        <w:tc>
          <w:tcPr>
            <w:tcW w:type="dxa" w:w="3402"/>
          </w:tcPr>
          <w:p>
            <w:r/>
            <w:r>
              <w:rPr>
                <w:sz w:val="18"/>
              </w:rPr>
              <w:t>Încărcarea documentului și declanșarea procesării (F3.5)</w:t>
            </w:r>
          </w:p>
        </w:tc>
      </w:tr>
      <w:tr>
        <w:tc>
          <w:tcPr>
            <w:tcW w:type="dxa" w:w="3855"/>
          </w:tcPr>
          <w:p>
            <w:r/>
            <w:r>
              <w:rPr>
                <w:sz w:val="18"/>
              </w:rPr>
              <w:t>/api/interpretations/{id} · /history</w:t>
            </w:r>
          </w:p>
        </w:tc>
        <w:tc>
          <w:tcPr>
            <w:tcW w:type="dxa" w:w="1701"/>
          </w:tcPr>
          <w:p>
            <w:r/>
            <w:r>
              <w:rPr>
                <w:sz w:val="18"/>
              </w:rPr>
              <w:t>GET</w:t>
            </w:r>
          </w:p>
        </w:tc>
        <w:tc>
          <w:tcPr>
            <w:tcW w:type="dxa" w:w="3402"/>
          </w:tcPr>
          <w:p>
            <w:r/>
            <w:r>
              <w:rPr>
                <w:sz w:val="18"/>
              </w:rPr>
              <w:t>Raportul interpretat și istoricul (F3.6)</w:t>
            </w:r>
          </w:p>
        </w:tc>
      </w:tr>
      <w:tr>
        <w:tc>
          <w:tcPr>
            <w:tcW w:type="dxa" w:w="3855"/>
          </w:tcPr>
          <w:p>
            <w:r/>
            <w:r>
              <w:rPr>
                <w:sz w:val="18"/>
              </w:rPr>
              <w:t>/api/analytics/evolution?loinc=…</w:t>
            </w:r>
          </w:p>
        </w:tc>
        <w:tc>
          <w:tcPr>
            <w:tcW w:type="dxa" w:w="1701"/>
          </w:tcPr>
          <w:p>
            <w:r/>
            <w:r>
              <w:rPr>
                <w:sz w:val="18"/>
              </w:rPr>
              <w:t>GET</w:t>
            </w:r>
          </w:p>
        </w:tc>
        <w:tc>
          <w:tcPr>
            <w:tcW w:type="dxa" w:w="3402"/>
          </w:tcPr>
          <w:p>
            <w:r/>
            <w:r>
              <w:rPr>
                <w:sz w:val="18"/>
              </w:rPr>
              <w:t>Seriile temporale per parametru pentru evoluția grafică</w:t>
            </w:r>
          </w:p>
        </w:tc>
      </w:tr>
      <w:tr>
        <w:tc>
          <w:tcPr>
            <w:tcW w:type="dxa" w:w="3855"/>
          </w:tcPr>
          <w:p>
            <w:r/>
            <w:r>
              <w:rPr>
                <w:sz w:val="18"/>
              </w:rPr>
              <w:t>/loinc/match (microserviciu intern)</w:t>
            </w:r>
          </w:p>
        </w:tc>
        <w:tc>
          <w:tcPr>
            <w:tcW w:type="dxa" w:w="1701"/>
          </w:tcPr>
          <w:p>
            <w:r/>
            <w:r>
              <w:rPr>
                <w:sz w:val="18"/>
              </w:rPr>
              <w:t>POST</w:t>
            </w:r>
          </w:p>
        </w:tc>
        <w:tc>
          <w:tcPr>
            <w:tcW w:type="dxa" w:w="3402"/>
          </w:tcPr>
          <w:p>
            <w:r/>
            <w:r>
              <w:rPr>
                <w:sz w:val="18"/>
              </w:rPr>
              <w:t>Codificarea LOINC a unui analit cu context documentar (E5)</w:t>
            </w:r>
          </w:p>
        </w:tc>
      </w:tr>
      <w:tr>
        <w:tc>
          <w:tcPr>
            <w:tcW w:type="dxa" w:w="3855"/>
          </w:tcPr>
          <w:p>
            <w:r/>
            <w:r>
              <w:rPr>
                <w:sz w:val="18"/>
              </w:rPr>
              <w:t>/api/clinic/batches · /batches/{id}</w:t>
            </w:r>
          </w:p>
        </w:tc>
        <w:tc>
          <w:tcPr>
            <w:tcW w:type="dxa" w:w="1701"/>
          </w:tcPr>
          <w:p>
            <w:r/>
            <w:r>
              <w:rPr>
                <w:sz w:val="18"/>
              </w:rPr>
              <w:t>POST/GET</w:t>
            </w:r>
          </w:p>
        </w:tc>
        <w:tc>
          <w:tcPr>
            <w:tcW w:type="dxa" w:w="3402"/>
          </w:tcPr>
          <w:p>
            <w:r/>
            <w:r>
              <w:rPr>
                <w:sz w:val="18"/>
              </w:rPr>
              <w:t>Procesarea batch B2B și progresul loturilor (F8.2)</w:t>
            </w:r>
          </w:p>
        </w:tc>
      </w:tr>
      <w:tr>
        <w:tc>
          <w:tcPr>
            <w:tcW w:type="dxa" w:w="3855"/>
          </w:tcPr>
          <w:p>
            <w:r/>
            <w:r>
              <w:rPr>
                <w:sz w:val="18"/>
              </w:rPr>
              <w:t>/api/clinic/reports/comparative</w:t>
            </w:r>
          </w:p>
        </w:tc>
        <w:tc>
          <w:tcPr>
            <w:tcW w:type="dxa" w:w="1701"/>
          </w:tcPr>
          <w:p>
            <w:r/>
            <w:r>
              <w:rPr>
                <w:sz w:val="18"/>
              </w:rPr>
              <w:t>GET</w:t>
            </w:r>
          </w:p>
        </w:tc>
        <w:tc>
          <w:tcPr>
            <w:tcW w:type="dxa" w:w="3402"/>
          </w:tcPr>
          <w:p>
            <w:r/>
            <w:r>
              <w:rPr>
                <w:sz w:val="18"/>
              </w:rPr>
              <w:t>Rapoartele comparative multi-pacient (F8.3)</w:t>
            </w:r>
          </w:p>
        </w:tc>
      </w:tr>
      <w:tr>
        <w:tc>
          <w:tcPr>
            <w:tcW w:type="dxa" w:w="3855"/>
          </w:tcPr>
          <w:p>
            <w:r/>
            <w:r>
              <w:rPr>
                <w:sz w:val="18"/>
              </w:rPr>
              <w:t>/fhir/Observation · /DiagnosticReport</w:t>
            </w:r>
          </w:p>
        </w:tc>
        <w:tc>
          <w:tcPr>
            <w:tcW w:type="dxa" w:w="1701"/>
          </w:tcPr>
          <w:p>
            <w:r/>
            <w:r>
              <w:rPr>
                <w:sz w:val="18"/>
              </w:rPr>
              <w:t>GET/POST</w:t>
            </w:r>
          </w:p>
        </w:tc>
        <w:tc>
          <w:tcPr>
            <w:tcW w:type="dxa" w:w="3402"/>
          </w:tcPr>
          <w:p>
            <w:r/>
            <w:r>
              <w:rPr>
                <w:sz w:val="18"/>
              </w:rPr>
              <w:t>Exportul interoperabil HL7 FHIR (F6.3, F8.4)</w:t>
            </w:r>
          </w:p>
        </w:tc>
      </w:tr>
      <w:tr>
        <w:tc>
          <w:tcPr>
            <w:tcW w:type="dxa" w:w="3855"/>
          </w:tcPr>
          <w:p>
            <w:r/>
            <w:r>
              <w:rPr>
                <w:sz w:val="18"/>
              </w:rPr>
              <w:t>/api/billing/subscribe · /webhooks/payments</w:t>
            </w:r>
          </w:p>
        </w:tc>
        <w:tc>
          <w:tcPr>
            <w:tcW w:type="dxa" w:w="1701"/>
          </w:tcPr>
          <w:p>
            <w:r/>
            <w:r>
              <w:rPr>
                <w:sz w:val="18"/>
              </w:rPr>
              <w:t>POST</w:t>
            </w:r>
          </w:p>
        </w:tc>
        <w:tc>
          <w:tcPr>
            <w:tcW w:type="dxa" w:w="3402"/>
          </w:tcPr>
          <w:p>
            <w:r/>
            <w:r>
              <w:rPr>
                <w:sz w:val="18"/>
              </w:rPr>
              <w:t>Abonamente și confirmările gateway-ului de plăți (E9)</w:t>
            </w:r>
          </w:p>
        </w:tc>
      </w:tr>
    </w:tbl>
    <w:p>
      <w:pPr>
        <w:spacing w:after="120"/>
        <w:jc w:val="both"/>
      </w:pPr>
      <w:r>
        <w:rPr>
          <w:b w:val="0"/>
          <w:i/>
          <w:sz w:val="22"/>
        </w:rPr>
        <w:t>Toate API-urile vor fi versionate, protejate prin autentificare (sesiune sau cheie API pentru B2B), limitate ca rată și documentate public pentru integratori (zona B2B).</w:t>
      </w:r>
    </w:p>
    <w:p>
      <w:r>
        <w:br w:type="page"/>
      </w:r>
    </w:p>
    <w:p>
      <w:pPr>
        <w:pStyle w:val="Heading1"/>
      </w:pPr>
      <w:r>
        <w:rPr>
          <w:color w:val="1F3A68"/>
        </w:rPr>
        <w:t>C.5. Personal și instruire</w:t>
      </w:r>
    </w:p>
    <w:p>
      <w:pPr>
        <w:pStyle w:val="Heading2"/>
      </w:pPr>
      <w:r>
        <w:rPr>
          <w:color w:val="1F3A68"/>
        </w:rPr>
        <w:t>C.5.1. Structura echipei de proiect</w:t>
      </w:r>
    </w:p>
    <w:p>
      <w:pPr>
        <w:spacing w:after="120"/>
        <w:jc w:val="both"/>
      </w:pPr>
      <w:r>
        <w:rPr>
          <w:b w:val="0"/>
          <w:i w:val="0"/>
          <w:sz w:val="22"/>
        </w:rPr>
        <w:t>Pentru realizarea proiectului, S.C. FIXMEDICAL S.R.L. va constitui o echipă dedicată de 10 persoane, combinând angajări noi cu expertiză externă punctuală. Structura, alocarea și costurile estimate:</w:t>
      </w:r>
    </w:p>
    <w:tbl>
      <w:tblPr>
        <w:tblStyle w:val="LightGrid-Accent1"/>
        <w:tblW w:type="auto" w:w="0"/>
        <w:tblLook w:firstColumn="1" w:firstRow="1" w:lastColumn="0" w:lastRow="0" w:noHBand="0" w:noVBand="1" w:val="04A0"/>
      </w:tblPr>
      <w:tblGrid>
        <w:gridCol w:w="2436"/>
        <w:gridCol w:w="2436"/>
        <w:gridCol w:w="2436"/>
        <w:gridCol w:w="2436"/>
      </w:tblGrid>
      <w:tr>
        <w:tc>
          <w:tcPr>
            <w:tcW w:type="dxa" w:w="4082"/>
            <w:shd w:val="clear" w:color="auto" w:fill="1F3A68"/>
          </w:tcPr>
          <w:p>
            <w:r>
              <w:rPr>
                <w:color w:val="FFFFFF"/>
              </w:rPr>
            </w:r>
            <w:r>
              <w:rPr>
                <w:b/>
                <w:color w:val="FFFFFF"/>
                <w:sz w:val="20"/>
              </w:rPr>
              <w:t>Rol</w:t>
            </w:r>
          </w:p>
        </w:tc>
        <w:tc>
          <w:tcPr>
            <w:tcW w:type="dxa" w:w="680"/>
            <w:shd w:val="clear" w:color="auto" w:fill="1F3A68"/>
          </w:tcPr>
          <w:p>
            <w:r>
              <w:rPr>
                <w:color w:val="FFFFFF"/>
              </w:rPr>
            </w:r>
            <w:r>
              <w:rPr>
                <w:b/>
                <w:color w:val="FFFFFF"/>
                <w:sz w:val="20"/>
              </w:rPr>
              <w:t>Nr.</w:t>
            </w:r>
          </w:p>
        </w:tc>
        <w:tc>
          <w:tcPr>
            <w:tcW w:type="dxa" w:w="1134"/>
            <w:shd w:val="clear" w:color="auto" w:fill="1F3A68"/>
          </w:tcPr>
          <w:p>
            <w:r>
              <w:rPr>
                <w:color w:val="FFFFFF"/>
              </w:rPr>
            </w:r>
            <w:r>
              <w:rPr>
                <w:b/>
                <w:color w:val="FFFFFF"/>
                <w:sz w:val="20"/>
              </w:rPr>
              <w:t>Alocare</w:t>
            </w:r>
          </w:p>
        </w:tc>
        <w:tc>
          <w:tcPr>
            <w:tcW w:type="dxa" w:w="3288"/>
            <w:shd w:val="clear" w:color="auto" w:fill="1F3A68"/>
          </w:tcPr>
          <w:p>
            <w:r>
              <w:rPr>
                <w:color w:val="FFFFFF"/>
              </w:rPr>
            </w:r>
            <w:r>
              <w:rPr>
                <w:b/>
                <w:color w:val="FFFFFF"/>
                <w:sz w:val="20"/>
              </w:rPr>
              <w:t>Cost salarial anual estimat (EUR brut)</w:t>
            </w:r>
          </w:p>
        </w:tc>
      </w:tr>
      <w:tr>
        <w:tc>
          <w:tcPr>
            <w:tcW w:type="dxa" w:w="4082"/>
          </w:tcPr>
          <w:p>
            <w:r/>
            <w:r>
              <w:rPr>
                <w:sz w:val="20"/>
              </w:rPr>
              <w:t>Manager de proiect / Product Owner</w:t>
            </w:r>
          </w:p>
        </w:tc>
        <w:tc>
          <w:tcPr>
            <w:tcW w:type="dxa" w:w="680"/>
          </w:tcPr>
          <w:p>
            <w:r/>
            <w:r>
              <w:rPr>
                <w:sz w:val="20"/>
              </w:rPr>
              <w:t>1</w:t>
            </w:r>
          </w:p>
        </w:tc>
        <w:tc>
          <w:tcPr>
            <w:tcW w:type="dxa" w:w="1134"/>
          </w:tcPr>
          <w:p>
            <w:r/>
            <w:r>
              <w:rPr>
                <w:sz w:val="20"/>
              </w:rPr>
              <w:t>100%</w:t>
            </w:r>
          </w:p>
        </w:tc>
        <w:tc>
          <w:tcPr>
            <w:tcW w:type="dxa" w:w="3288"/>
          </w:tcPr>
          <w:p>
            <w:r/>
            <w:r>
              <w:rPr>
                <w:sz w:val="20"/>
              </w:rPr>
              <w:t>48.000</w:t>
            </w:r>
          </w:p>
        </w:tc>
      </w:tr>
      <w:tr>
        <w:tc>
          <w:tcPr>
            <w:tcW w:type="dxa" w:w="4082"/>
          </w:tcPr>
          <w:p>
            <w:r/>
            <w:r>
              <w:rPr>
                <w:sz w:val="20"/>
              </w:rPr>
              <w:t>Arhitect software (.NET)</w:t>
            </w:r>
          </w:p>
        </w:tc>
        <w:tc>
          <w:tcPr>
            <w:tcW w:type="dxa" w:w="680"/>
          </w:tcPr>
          <w:p>
            <w:r/>
            <w:r>
              <w:rPr>
                <w:sz w:val="20"/>
              </w:rPr>
              <w:t>1</w:t>
            </w:r>
          </w:p>
        </w:tc>
        <w:tc>
          <w:tcPr>
            <w:tcW w:type="dxa" w:w="1134"/>
          </w:tcPr>
          <w:p>
            <w:r/>
            <w:r>
              <w:rPr>
                <w:sz w:val="20"/>
              </w:rPr>
              <w:t>100%</w:t>
            </w:r>
          </w:p>
        </w:tc>
        <w:tc>
          <w:tcPr>
            <w:tcW w:type="dxa" w:w="3288"/>
          </w:tcPr>
          <w:p>
            <w:r/>
            <w:r>
              <w:rPr>
                <w:sz w:val="20"/>
              </w:rPr>
              <w:t>60.000</w:t>
            </w:r>
          </w:p>
        </w:tc>
      </w:tr>
      <w:tr>
        <w:tc>
          <w:tcPr>
            <w:tcW w:type="dxa" w:w="4082"/>
          </w:tcPr>
          <w:p>
            <w:r/>
            <w:r>
              <w:rPr>
                <w:sz w:val="20"/>
              </w:rPr>
              <w:t>Dezvoltator senior backend (.NET)</w:t>
            </w:r>
          </w:p>
        </w:tc>
        <w:tc>
          <w:tcPr>
            <w:tcW w:type="dxa" w:w="680"/>
          </w:tcPr>
          <w:p>
            <w:r/>
            <w:r>
              <w:rPr>
                <w:sz w:val="20"/>
              </w:rPr>
              <w:t>2</w:t>
            </w:r>
          </w:p>
        </w:tc>
        <w:tc>
          <w:tcPr>
            <w:tcW w:type="dxa" w:w="1134"/>
          </w:tcPr>
          <w:p>
            <w:r/>
            <w:r>
              <w:rPr>
                <w:sz w:val="20"/>
              </w:rPr>
              <w:t>100%</w:t>
            </w:r>
          </w:p>
        </w:tc>
        <w:tc>
          <w:tcPr>
            <w:tcW w:type="dxa" w:w="3288"/>
          </w:tcPr>
          <w:p>
            <w:r/>
            <w:r>
              <w:rPr>
                <w:sz w:val="20"/>
              </w:rPr>
              <w:t>96.000</w:t>
            </w:r>
          </w:p>
        </w:tc>
      </w:tr>
      <w:tr>
        <w:tc>
          <w:tcPr>
            <w:tcW w:type="dxa" w:w="4082"/>
          </w:tcPr>
          <w:p>
            <w:r/>
            <w:r>
              <w:rPr>
                <w:sz w:val="20"/>
              </w:rPr>
              <w:t>Dezvoltator AI/ML (Python)</w:t>
            </w:r>
          </w:p>
        </w:tc>
        <w:tc>
          <w:tcPr>
            <w:tcW w:type="dxa" w:w="680"/>
          </w:tcPr>
          <w:p>
            <w:r/>
            <w:r>
              <w:rPr>
                <w:sz w:val="20"/>
              </w:rPr>
              <w:t>1</w:t>
            </w:r>
          </w:p>
        </w:tc>
        <w:tc>
          <w:tcPr>
            <w:tcW w:type="dxa" w:w="1134"/>
          </w:tcPr>
          <w:p>
            <w:r/>
            <w:r>
              <w:rPr>
                <w:sz w:val="20"/>
              </w:rPr>
              <w:t>100%</w:t>
            </w:r>
          </w:p>
        </w:tc>
        <w:tc>
          <w:tcPr>
            <w:tcW w:type="dxa" w:w="3288"/>
          </w:tcPr>
          <w:p>
            <w:r/>
            <w:r>
              <w:rPr>
                <w:sz w:val="20"/>
              </w:rPr>
              <w:t>54.000</w:t>
            </w:r>
          </w:p>
        </w:tc>
      </w:tr>
      <w:tr>
        <w:tc>
          <w:tcPr>
            <w:tcW w:type="dxa" w:w="4082"/>
          </w:tcPr>
          <w:p>
            <w:r/>
            <w:r>
              <w:rPr>
                <w:sz w:val="20"/>
              </w:rPr>
              <w:t>Dezvoltator frontend</w:t>
            </w:r>
          </w:p>
        </w:tc>
        <w:tc>
          <w:tcPr>
            <w:tcW w:type="dxa" w:w="680"/>
          </w:tcPr>
          <w:p>
            <w:r/>
            <w:r>
              <w:rPr>
                <w:sz w:val="20"/>
              </w:rPr>
              <w:t>1</w:t>
            </w:r>
          </w:p>
        </w:tc>
        <w:tc>
          <w:tcPr>
            <w:tcW w:type="dxa" w:w="1134"/>
          </w:tcPr>
          <w:p>
            <w:r/>
            <w:r>
              <w:rPr>
                <w:sz w:val="20"/>
              </w:rPr>
              <w:t>100%</w:t>
            </w:r>
          </w:p>
        </w:tc>
        <w:tc>
          <w:tcPr>
            <w:tcW w:type="dxa" w:w="3288"/>
          </w:tcPr>
          <w:p>
            <w:r/>
            <w:r>
              <w:rPr>
                <w:sz w:val="20"/>
              </w:rPr>
              <w:t>42.000</w:t>
            </w:r>
          </w:p>
        </w:tc>
      </w:tr>
      <w:tr>
        <w:tc>
          <w:tcPr>
            <w:tcW w:type="dxa" w:w="4082"/>
          </w:tcPr>
          <w:p>
            <w:r/>
            <w:r>
              <w:rPr>
                <w:sz w:val="20"/>
              </w:rPr>
              <w:t>Inginer DevOps / securitate</w:t>
            </w:r>
          </w:p>
        </w:tc>
        <w:tc>
          <w:tcPr>
            <w:tcW w:type="dxa" w:w="680"/>
          </w:tcPr>
          <w:p>
            <w:r/>
            <w:r>
              <w:rPr>
                <w:sz w:val="20"/>
              </w:rPr>
              <w:t>1</w:t>
            </w:r>
          </w:p>
        </w:tc>
        <w:tc>
          <w:tcPr>
            <w:tcW w:type="dxa" w:w="1134"/>
          </w:tcPr>
          <w:p>
            <w:r/>
            <w:r>
              <w:rPr>
                <w:sz w:val="20"/>
              </w:rPr>
              <w:t>100%</w:t>
            </w:r>
          </w:p>
        </w:tc>
        <w:tc>
          <w:tcPr>
            <w:tcW w:type="dxa" w:w="3288"/>
          </w:tcPr>
          <w:p>
            <w:r/>
            <w:r>
              <w:rPr>
                <w:sz w:val="20"/>
              </w:rPr>
              <w:t>48.000</w:t>
            </w:r>
          </w:p>
        </w:tc>
      </w:tr>
      <w:tr>
        <w:tc>
          <w:tcPr>
            <w:tcW w:type="dxa" w:w="4082"/>
          </w:tcPr>
          <w:p>
            <w:r/>
            <w:r>
              <w:rPr>
                <w:sz w:val="20"/>
              </w:rPr>
              <w:t>Inginer QA / testare automată</w:t>
            </w:r>
          </w:p>
        </w:tc>
        <w:tc>
          <w:tcPr>
            <w:tcW w:type="dxa" w:w="680"/>
          </w:tcPr>
          <w:p>
            <w:r/>
            <w:r>
              <w:rPr>
                <w:sz w:val="20"/>
              </w:rPr>
              <w:t>1</w:t>
            </w:r>
          </w:p>
        </w:tc>
        <w:tc>
          <w:tcPr>
            <w:tcW w:type="dxa" w:w="1134"/>
          </w:tcPr>
          <w:p>
            <w:r/>
            <w:r>
              <w:rPr>
                <w:sz w:val="20"/>
              </w:rPr>
              <w:t>100%</w:t>
            </w:r>
          </w:p>
        </w:tc>
        <w:tc>
          <w:tcPr>
            <w:tcW w:type="dxa" w:w="3288"/>
          </w:tcPr>
          <w:p>
            <w:r/>
            <w:r>
              <w:rPr>
                <w:sz w:val="20"/>
              </w:rPr>
              <w:t>36.000</w:t>
            </w:r>
          </w:p>
        </w:tc>
      </w:tr>
      <w:tr>
        <w:tc>
          <w:tcPr>
            <w:tcW w:type="dxa" w:w="4082"/>
          </w:tcPr>
          <w:p>
            <w:r/>
            <w:r>
              <w:rPr>
                <w:sz w:val="20"/>
              </w:rPr>
              <w:t>Consultant medical (medic laborator)</w:t>
            </w:r>
          </w:p>
        </w:tc>
        <w:tc>
          <w:tcPr>
            <w:tcW w:type="dxa" w:w="680"/>
          </w:tcPr>
          <w:p>
            <w:r/>
            <w:r>
              <w:rPr>
                <w:sz w:val="20"/>
              </w:rPr>
              <w:t>1</w:t>
            </w:r>
          </w:p>
        </w:tc>
        <w:tc>
          <w:tcPr>
            <w:tcW w:type="dxa" w:w="1134"/>
          </w:tcPr>
          <w:p>
            <w:r/>
            <w:r>
              <w:rPr>
                <w:sz w:val="20"/>
              </w:rPr>
              <w:t>50%</w:t>
            </w:r>
          </w:p>
        </w:tc>
        <w:tc>
          <w:tcPr>
            <w:tcW w:type="dxa" w:w="3288"/>
          </w:tcPr>
          <w:p>
            <w:r/>
            <w:r>
              <w:rPr>
                <w:sz w:val="20"/>
              </w:rPr>
              <w:t>24.000</w:t>
            </w:r>
          </w:p>
        </w:tc>
      </w:tr>
      <w:tr>
        <w:tc>
          <w:tcPr>
            <w:tcW w:type="dxa" w:w="4082"/>
          </w:tcPr>
          <w:p>
            <w:r/>
            <w:r>
              <w:rPr>
                <w:sz w:val="20"/>
              </w:rPr>
              <w:t>Specialist marketing &amp; vânzări B2B</w:t>
            </w:r>
          </w:p>
        </w:tc>
        <w:tc>
          <w:tcPr>
            <w:tcW w:type="dxa" w:w="680"/>
          </w:tcPr>
          <w:p>
            <w:r/>
            <w:r>
              <w:rPr>
                <w:sz w:val="20"/>
              </w:rPr>
              <w:t>1</w:t>
            </w:r>
          </w:p>
        </w:tc>
        <w:tc>
          <w:tcPr>
            <w:tcW w:type="dxa" w:w="1134"/>
          </w:tcPr>
          <w:p>
            <w:r/>
            <w:r>
              <w:rPr>
                <w:sz w:val="20"/>
              </w:rPr>
              <w:t>100%</w:t>
            </w:r>
          </w:p>
        </w:tc>
        <w:tc>
          <w:tcPr>
            <w:tcW w:type="dxa" w:w="3288"/>
          </w:tcPr>
          <w:p>
            <w:r/>
            <w:r>
              <w:rPr>
                <w:sz w:val="20"/>
              </w:rPr>
              <w:t>32.000</w:t>
            </w:r>
          </w:p>
        </w:tc>
      </w:tr>
    </w:tbl>
    <w:p>
      <w:pPr>
        <w:spacing w:after="120"/>
        <w:jc w:val="both"/>
      </w:pPr>
      <w:r>
        <w:rPr>
          <w:b w:val="0"/>
          <w:i/>
          <w:sz w:val="22"/>
        </w:rPr>
        <w:t>Total cost salarial anual estimat: 340.000 EUR brut, echivalentul a aproximativ 168 luni-om de efort pe durata celor 18 luni de implementare.</w:t>
      </w:r>
    </w:p>
    <w:p>
      <w:pPr>
        <w:pStyle w:val="Heading2"/>
      </w:pPr>
      <w:r>
        <w:rPr>
          <w:color w:val="1F3A68"/>
        </w:rPr>
        <w:t>C.5.2. Roluri și responsabilități</w:t>
      </w:r>
    </w:p>
    <w:p>
      <w:pPr>
        <w:pStyle w:val="ListBullet"/>
        <w:spacing w:after="40"/>
        <w:jc w:val="both"/>
      </w:pPr>
      <w:r>
        <w:rPr>
          <w:sz w:val="22"/>
        </w:rPr>
        <w:t>Managerul de proiect răspunde de planificare, bugetare, raportarea către finanțator, gestiunea riscurilor și prioritizarea backlog-ului de produs;</w:t>
      </w:r>
    </w:p>
    <w:p>
      <w:pPr>
        <w:pStyle w:val="ListBullet"/>
        <w:spacing w:after="40"/>
        <w:jc w:val="both"/>
      </w:pPr>
      <w:r>
        <w:rPr>
          <w:sz w:val="22"/>
        </w:rPr>
        <w:t>Arhitectul software definește și menține arhitectura (C.4.1), contractele API, standardele de cod și conduce revizuirile tehnice;</w:t>
      </w:r>
    </w:p>
    <w:p>
      <w:pPr>
        <w:pStyle w:val="ListBullet"/>
        <w:spacing w:after="40"/>
        <w:jc w:val="both"/>
      </w:pPr>
      <w:r>
        <w:rPr>
          <w:sz w:val="22"/>
        </w:rPr>
        <w:t>Dezvoltatorii backend construiesc nucleul platformei (etapele E3, E4, E6, E8, E9): autentificare, upload, orchestrarea AI, raportare, modul B2B, plăți;</w:t>
      </w:r>
    </w:p>
    <w:p>
      <w:pPr>
        <w:pStyle w:val="ListBullet"/>
        <w:spacing w:after="40"/>
        <w:jc w:val="both"/>
      </w:pPr>
      <w:r>
        <w:rPr>
          <w:sz w:val="22"/>
        </w:rPr>
        <w:t>Dezvoltatorul AI/ML construiește microserviciul LOINC (E5): indexul semantic, pipeline-ul hibrid, suita de regresie și calibrarea acurateței;</w:t>
      </w:r>
    </w:p>
    <w:p>
      <w:pPr>
        <w:pStyle w:val="ListBullet"/>
        <w:spacing w:after="40"/>
        <w:jc w:val="both"/>
      </w:pPr>
      <w:r>
        <w:rPr>
          <w:sz w:val="22"/>
        </w:rPr>
        <w:t>Dezvoltatorul frontend implementează design system-ul, landing page-ul, dashboard-urile și accesibilitatea WCAG;</w:t>
      </w:r>
    </w:p>
    <w:p>
      <w:pPr>
        <w:pStyle w:val="ListBullet"/>
        <w:spacing w:after="40"/>
        <w:jc w:val="both"/>
      </w:pPr>
      <w:r>
        <w:rPr>
          <w:sz w:val="22"/>
        </w:rPr>
        <w:t>Inginerul DevOps răspunde de infrastructura IaC, CI/CD, monitorizare, backup/DR și de implementarea controalelor de securitate;</w:t>
      </w:r>
    </w:p>
    <w:p>
      <w:pPr>
        <w:pStyle w:val="ListBullet"/>
        <w:spacing w:after="40"/>
        <w:jc w:val="both"/>
      </w:pPr>
      <w:r>
        <w:rPr>
          <w:sz w:val="22"/>
        </w:rPr>
        <w:t>Inginerul QA construiește piramida de teste, scenariile end-to-end și gardurile de regresie a acurateței;</w:t>
      </w:r>
    </w:p>
    <w:p>
      <w:pPr>
        <w:pStyle w:val="ListBullet"/>
        <w:spacing w:after="40"/>
        <w:jc w:val="both"/>
      </w:pPr>
      <w:r>
        <w:rPr>
          <w:sz w:val="22"/>
        </w:rPr>
        <w:t>Consultantul medical validează dicționarul de ancore LOINC, șabloanele de interpretare, delimitările etice și corectitudinea medicală a livrabilelor;</w:t>
      </w:r>
    </w:p>
    <w:p>
      <w:pPr>
        <w:pStyle w:val="ListBullet"/>
        <w:spacing w:after="40"/>
        <w:jc w:val="both"/>
      </w:pPr>
      <w:r>
        <w:rPr>
          <w:sz w:val="22"/>
        </w:rPr>
        <w:t>Specialistul de marketing execută strategia C.7: validarea cererii, waitlist, campanii, pilotare și vânzare B2B.</w:t>
      </w:r>
    </w:p>
    <w:p>
      <w:pPr>
        <w:spacing w:after="120"/>
        <w:jc w:val="both"/>
      </w:pPr>
      <w:r>
        <w:rPr>
          <w:b w:val="0"/>
          <w:i w:val="0"/>
          <w:sz w:val="22"/>
        </w:rPr>
        <w:t>Matricea RACI detaliată per etapă (E1–E11) va fi anexată planului de management al proiectului la contractare; principiul general: Product Owner-ul este Accountable pentru livrabilele de produs, arhitectul pentru cele tehnice, iar consultantul medical are drept de veto pe conținutul medical.</w:t>
      </w:r>
    </w:p>
    <w:p>
      <w:pPr>
        <w:pStyle w:val="Heading2"/>
      </w:pPr>
      <w:r>
        <w:rPr>
          <w:color w:val="1F3A68"/>
        </w:rPr>
        <w:t>C.5.3. Planul de instruire a personalului</w:t>
      </w:r>
    </w:p>
    <w:p>
      <w:pPr>
        <w:spacing w:after="120"/>
        <w:jc w:val="both"/>
      </w:pPr>
      <w:r>
        <w:rPr>
          <w:b w:val="0"/>
          <w:i w:val="0"/>
          <w:sz w:val="22"/>
        </w:rPr>
        <w:t>Deoarece proiectul introduce tehnologii de vârf (LLM-uri multimodale, embeddings semantice, interoperabilitate FHIR), planul include un program structurat de formare cu buget total de 22.000 EUR:</w:t>
      </w:r>
    </w:p>
    <w:tbl>
      <w:tblPr>
        <w:tblStyle w:val="LightGrid-Accent1"/>
        <w:tblW w:type="auto" w:w="0"/>
        <w:tblLook w:firstColumn="1" w:firstRow="1" w:lastColumn="0" w:lastRow="0" w:noHBand="0" w:noVBand="1" w:val="04A0"/>
      </w:tblPr>
      <w:tblGrid>
        <w:gridCol w:w="2436"/>
        <w:gridCol w:w="2436"/>
        <w:gridCol w:w="2436"/>
        <w:gridCol w:w="2436"/>
      </w:tblGrid>
      <w:tr>
        <w:tc>
          <w:tcPr>
            <w:tcW w:type="dxa" w:w="4309"/>
            <w:shd w:val="clear" w:color="auto" w:fill="1F3A68"/>
          </w:tcPr>
          <w:p>
            <w:r>
              <w:rPr>
                <w:color w:val="FFFFFF"/>
              </w:rPr>
            </w:r>
            <w:r>
              <w:rPr>
                <w:b/>
                <w:color w:val="FFFFFF"/>
                <w:sz w:val="20"/>
              </w:rPr>
              <w:t>Tematică</w:t>
            </w:r>
          </w:p>
        </w:tc>
        <w:tc>
          <w:tcPr>
            <w:tcW w:type="dxa" w:w="1701"/>
            <w:shd w:val="clear" w:color="auto" w:fill="1F3A68"/>
          </w:tcPr>
          <w:p>
            <w:r>
              <w:rPr>
                <w:color w:val="FFFFFF"/>
              </w:rPr>
            </w:r>
            <w:r>
              <w:rPr>
                <w:b/>
                <w:color w:val="FFFFFF"/>
                <w:sz w:val="20"/>
              </w:rPr>
              <w:t>Participanți</w:t>
            </w:r>
          </w:p>
        </w:tc>
        <w:tc>
          <w:tcPr>
            <w:tcW w:type="dxa" w:w="1134"/>
            <w:shd w:val="clear" w:color="auto" w:fill="1F3A68"/>
          </w:tcPr>
          <w:p>
            <w:r>
              <w:rPr>
                <w:color w:val="FFFFFF"/>
              </w:rPr>
            </w:r>
            <w:r>
              <w:rPr>
                <w:b/>
                <w:color w:val="FFFFFF"/>
                <w:sz w:val="20"/>
              </w:rPr>
              <w:t>Durată</w:t>
            </w:r>
          </w:p>
        </w:tc>
        <w:tc>
          <w:tcPr>
            <w:tcW w:type="dxa" w:w="1361"/>
            <w:shd w:val="clear" w:color="auto" w:fill="1F3A68"/>
          </w:tcPr>
          <w:p>
            <w:r>
              <w:rPr>
                <w:color w:val="FFFFFF"/>
              </w:rPr>
            </w:r>
            <w:r>
              <w:rPr>
                <w:b/>
                <w:color w:val="FFFFFF"/>
                <w:sz w:val="20"/>
              </w:rPr>
              <w:t>Buget (EUR)</w:t>
            </w:r>
          </w:p>
        </w:tc>
      </w:tr>
      <w:tr>
        <w:tc>
          <w:tcPr>
            <w:tcW w:type="dxa" w:w="4309"/>
          </w:tcPr>
          <w:p>
            <w:r/>
            <w:r>
              <w:rPr>
                <w:sz w:val="20"/>
              </w:rPr>
              <w:t>Inginerie prompt și integrare LLM în producție</w:t>
            </w:r>
          </w:p>
        </w:tc>
        <w:tc>
          <w:tcPr>
            <w:tcW w:type="dxa" w:w="1701"/>
          </w:tcPr>
          <w:p>
            <w:r/>
            <w:r>
              <w:rPr>
                <w:sz w:val="20"/>
              </w:rPr>
              <w:t>3 dezvoltatori</w:t>
            </w:r>
          </w:p>
        </w:tc>
        <w:tc>
          <w:tcPr>
            <w:tcW w:type="dxa" w:w="1134"/>
          </w:tcPr>
          <w:p>
            <w:r/>
            <w:r>
              <w:rPr>
                <w:sz w:val="20"/>
              </w:rPr>
              <w:t>5 zile</w:t>
            </w:r>
          </w:p>
        </w:tc>
        <w:tc>
          <w:tcPr>
            <w:tcW w:type="dxa" w:w="1361"/>
          </w:tcPr>
          <w:p>
            <w:r/>
            <w:r>
              <w:rPr>
                <w:sz w:val="20"/>
              </w:rPr>
              <w:t>4.500</w:t>
            </w:r>
          </w:p>
        </w:tc>
      </w:tr>
      <w:tr>
        <w:tc>
          <w:tcPr>
            <w:tcW w:type="dxa" w:w="4309"/>
          </w:tcPr>
          <w:p>
            <w:r/>
            <w:r>
              <w:rPr>
                <w:sz w:val="20"/>
              </w:rPr>
              <w:t>MLOps: embeddings, căutare vectorială, evaluarea acurateței</w:t>
            </w:r>
          </w:p>
        </w:tc>
        <w:tc>
          <w:tcPr>
            <w:tcW w:type="dxa" w:w="1701"/>
          </w:tcPr>
          <w:p>
            <w:r/>
            <w:r>
              <w:rPr>
                <w:sz w:val="20"/>
              </w:rPr>
              <w:t>2 persoane</w:t>
            </w:r>
          </w:p>
        </w:tc>
        <w:tc>
          <w:tcPr>
            <w:tcW w:type="dxa" w:w="1134"/>
          </w:tcPr>
          <w:p>
            <w:r/>
            <w:r>
              <w:rPr>
                <w:sz w:val="20"/>
              </w:rPr>
              <w:t>5 zile</w:t>
            </w:r>
          </w:p>
        </w:tc>
        <w:tc>
          <w:tcPr>
            <w:tcW w:type="dxa" w:w="1361"/>
          </w:tcPr>
          <w:p>
            <w:r/>
            <w:r>
              <w:rPr>
                <w:sz w:val="20"/>
              </w:rPr>
              <w:t>3.500</w:t>
            </w:r>
          </w:p>
        </w:tc>
      </w:tr>
      <w:tr>
        <w:tc>
          <w:tcPr>
            <w:tcW w:type="dxa" w:w="4309"/>
          </w:tcPr>
          <w:p>
            <w:r/>
            <w:r>
              <w:rPr>
                <w:sz w:val="20"/>
              </w:rPr>
              <w:t>Interoperabilitate HL7 FHIR și terminologii medicale (LOINC)</w:t>
            </w:r>
          </w:p>
        </w:tc>
        <w:tc>
          <w:tcPr>
            <w:tcW w:type="dxa" w:w="1701"/>
          </w:tcPr>
          <w:p>
            <w:r/>
            <w:r>
              <w:rPr>
                <w:sz w:val="20"/>
              </w:rPr>
              <w:t>3 persoane</w:t>
            </w:r>
          </w:p>
        </w:tc>
        <w:tc>
          <w:tcPr>
            <w:tcW w:type="dxa" w:w="1134"/>
          </w:tcPr>
          <w:p>
            <w:r/>
            <w:r>
              <w:rPr>
                <w:sz w:val="20"/>
              </w:rPr>
              <w:t>4 zile</w:t>
            </w:r>
          </w:p>
        </w:tc>
        <w:tc>
          <w:tcPr>
            <w:tcW w:type="dxa" w:w="1361"/>
          </w:tcPr>
          <w:p>
            <w:r/>
            <w:r>
              <w:rPr>
                <w:sz w:val="20"/>
              </w:rPr>
              <w:t>4.000</w:t>
            </w:r>
          </w:p>
        </w:tc>
      </w:tr>
      <w:tr>
        <w:tc>
          <w:tcPr>
            <w:tcW w:type="dxa" w:w="4309"/>
          </w:tcPr>
          <w:p>
            <w:r/>
            <w:r>
              <w:rPr>
                <w:sz w:val="20"/>
              </w:rPr>
              <w:t>Securitate aplicativă (OWASP) și pregătire ISO 27001</w:t>
            </w:r>
          </w:p>
        </w:tc>
        <w:tc>
          <w:tcPr>
            <w:tcW w:type="dxa" w:w="1701"/>
          </w:tcPr>
          <w:p>
            <w:r/>
            <w:r>
              <w:rPr>
                <w:sz w:val="20"/>
              </w:rPr>
              <w:t>2 persoane</w:t>
            </w:r>
          </w:p>
        </w:tc>
        <w:tc>
          <w:tcPr>
            <w:tcW w:type="dxa" w:w="1134"/>
          </w:tcPr>
          <w:p>
            <w:r/>
            <w:r>
              <w:rPr>
                <w:sz w:val="20"/>
              </w:rPr>
              <w:t>4 zile</w:t>
            </w:r>
          </w:p>
        </w:tc>
        <w:tc>
          <w:tcPr>
            <w:tcW w:type="dxa" w:w="1361"/>
          </w:tcPr>
          <w:p>
            <w:r/>
            <w:r>
              <w:rPr>
                <w:sz w:val="20"/>
              </w:rPr>
              <w:t>3.500</w:t>
            </w:r>
          </w:p>
        </w:tc>
      </w:tr>
      <w:tr>
        <w:tc>
          <w:tcPr>
            <w:tcW w:type="dxa" w:w="4309"/>
          </w:tcPr>
          <w:p>
            <w:r/>
            <w:r>
              <w:rPr>
                <w:sz w:val="20"/>
              </w:rPr>
              <w:t>GDPR pentru date de sănătate și DPIA</w:t>
            </w:r>
          </w:p>
        </w:tc>
        <w:tc>
          <w:tcPr>
            <w:tcW w:type="dxa" w:w="1701"/>
          </w:tcPr>
          <w:p>
            <w:r/>
            <w:r>
              <w:rPr>
                <w:sz w:val="20"/>
              </w:rPr>
              <w:t>3 persoane</w:t>
            </w:r>
          </w:p>
        </w:tc>
        <w:tc>
          <w:tcPr>
            <w:tcW w:type="dxa" w:w="1134"/>
          </w:tcPr>
          <w:p>
            <w:r/>
            <w:r>
              <w:rPr>
                <w:sz w:val="20"/>
              </w:rPr>
              <w:t>2 zile</w:t>
            </w:r>
          </w:p>
        </w:tc>
        <w:tc>
          <w:tcPr>
            <w:tcW w:type="dxa" w:w="1361"/>
          </w:tcPr>
          <w:p>
            <w:r/>
            <w:r>
              <w:rPr>
                <w:sz w:val="20"/>
              </w:rPr>
              <w:t>2.000</w:t>
            </w:r>
          </w:p>
        </w:tc>
      </w:tr>
      <w:tr>
        <w:tc>
          <w:tcPr>
            <w:tcW w:type="dxa" w:w="4309"/>
          </w:tcPr>
          <w:p>
            <w:r/>
            <w:r>
              <w:rPr>
                <w:sz w:val="20"/>
              </w:rPr>
              <w:t>Certificare cloud (administrare și optimizare costuri)</w:t>
            </w:r>
          </w:p>
        </w:tc>
        <w:tc>
          <w:tcPr>
            <w:tcW w:type="dxa" w:w="1701"/>
          </w:tcPr>
          <w:p>
            <w:r/>
            <w:r>
              <w:rPr>
                <w:sz w:val="20"/>
              </w:rPr>
              <w:t>2 persoane</w:t>
            </w:r>
          </w:p>
        </w:tc>
        <w:tc>
          <w:tcPr>
            <w:tcW w:type="dxa" w:w="1134"/>
          </w:tcPr>
          <w:p>
            <w:r/>
            <w:r>
              <w:rPr>
                <w:sz w:val="20"/>
              </w:rPr>
              <w:t>5 zile</w:t>
            </w:r>
          </w:p>
        </w:tc>
        <w:tc>
          <w:tcPr>
            <w:tcW w:type="dxa" w:w="1361"/>
          </w:tcPr>
          <w:p>
            <w:r/>
            <w:r>
              <w:rPr>
                <w:sz w:val="20"/>
              </w:rPr>
              <w:t>3.000</w:t>
            </w:r>
          </w:p>
        </w:tc>
      </w:tr>
      <w:tr>
        <w:tc>
          <w:tcPr>
            <w:tcW w:type="dxa" w:w="4309"/>
          </w:tcPr>
          <w:p>
            <w:r/>
            <w:r>
              <w:rPr>
                <w:sz w:val="20"/>
              </w:rPr>
              <w:t>Vânzare consultativă B2B în healthcare</w:t>
            </w:r>
          </w:p>
        </w:tc>
        <w:tc>
          <w:tcPr>
            <w:tcW w:type="dxa" w:w="1701"/>
          </w:tcPr>
          <w:p>
            <w:r/>
            <w:r>
              <w:rPr>
                <w:sz w:val="20"/>
              </w:rPr>
              <w:t>2 persoane</w:t>
            </w:r>
          </w:p>
        </w:tc>
        <w:tc>
          <w:tcPr>
            <w:tcW w:type="dxa" w:w="1134"/>
          </w:tcPr>
          <w:p>
            <w:r/>
            <w:r>
              <w:rPr>
                <w:sz w:val="20"/>
              </w:rPr>
              <w:t>3 zile</w:t>
            </w:r>
          </w:p>
        </w:tc>
        <w:tc>
          <w:tcPr>
            <w:tcW w:type="dxa" w:w="1361"/>
          </w:tcPr>
          <w:p>
            <w:r/>
            <w:r>
              <w:rPr>
                <w:sz w:val="20"/>
              </w:rPr>
              <w:t>1.500</w:t>
            </w:r>
          </w:p>
        </w:tc>
      </w:tr>
    </w:tbl>
    <w:p>
      <w:pPr>
        <w:pStyle w:val="Heading2"/>
      </w:pPr>
      <w:r>
        <w:rPr>
          <w:color w:val="1F3A68"/>
        </w:rPr>
        <w:t>C.5.4. Expertiză externă subcontractată</w:t>
      </w:r>
    </w:p>
    <w:p>
      <w:pPr>
        <w:pStyle w:val="ListBullet"/>
        <w:spacing w:after="40"/>
        <w:jc w:val="both"/>
      </w:pPr>
      <w:r>
        <w:rPr>
          <w:sz w:val="22"/>
        </w:rPr>
        <w:t>Audit extern de securitate și test de penetrare (etapa E10) — furnizor certificat, estimat 15.000 EUR;</w:t>
      </w:r>
    </w:p>
    <w:p>
      <w:pPr>
        <w:pStyle w:val="ListBullet"/>
        <w:spacing w:after="40"/>
        <w:jc w:val="both"/>
      </w:pPr>
      <w:r>
        <w:rPr>
          <w:sz w:val="22"/>
        </w:rPr>
        <w:t>Servicii juridice specializate GDPR/e-health pentru DPIA și acorduri de prelucrare — estimat 8.000 EUR;</w:t>
      </w:r>
    </w:p>
    <w:p>
      <w:pPr>
        <w:pStyle w:val="ListBullet"/>
        <w:spacing w:after="40"/>
        <w:jc w:val="both"/>
      </w:pPr>
      <w:r>
        <w:rPr>
          <w:sz w:val="22"/>
        </w:rPr>
        <w:t>Servicii de traducere și validare medico-lingvistică pentru extinderea la 30 de limbi — estimat 25.000 EUR;</w:t>
      </w:r>
    </w:p>
    <w:p>
      <w:pPr>
        <w:pStyle w:val="ListBullet"/>
        <w:spacing w:after="40"/>
        <w:jc w:val="both"/>
      </w:pPr>
      <w:r>
        <w:rPr>
          <w:sz w:val="22"/>
        </w:rPr>
        <w:t>Design grafic pentru identitatea vizuală și materialele de marketing — estimat 6.000 EUR.</w:t>
      </w:r>
    </w:p>
    <w:p>
      <w:r>
        <w:br w:type="page"/>
      </w:r>
    </w:p>
    <w:p>
      <w:pPr>
        <w:pStyle w:val="Heading1"/>
      </w:pPr>
      <w:r>
        <w:rPr>
          <w:color w:val="1F3A68"/>
        </w:rPr>
        <w:t>C.6. Graficul estimat al proiectului</w:t>
      </w:r>
    </w:p>
    <w:p>
      <w:pPr>
        <w:pStyle w:val="Heading2"/>
      </w:pPr>
      <w:r>
        <w:rPr>
          <w:color w:val="1F3A68"/>
        </w:rPr>
        <w:t>C.6.1. Structura calendaristică generală</w:t>
      </w:r>
    </w:p>
    <w:p>
      <w:pPr>
        <w:spacing w:after="120"/>
        <w:jc w:val="both"/>
      </w:pPr>
      <w:r>
        <w:rPr>
          <w:b w:val="0"/>
          <w:i w:val="0"/>
          <w:sz w:val="22"/>
        </w:rPr>
        <w:t>Proiectul se desfășoară pe 18 luni de la semnarea contractului de finanțare, organizat în cele 11 etape descrise la C.4.4, cu suprapunere controlată pentru paralelizarea echipelor. Primele 3 luni sunt dedicate proiectării și fundației, lunile 3–12 dezvoltării intensive, iar lunile 12–18 consolidării, securizării, pilotării și lansării comerciale.</w:t>
      </w:r>
    </w:p>
    <w:p>
      <w:pPr>
        <w:pStyle w:val="Heading2"/>
      </w:pPr>
      <w:r>
        <w:rPr>
          <w:color w:val="1F3A68"/>
        </w:rPr>
        <w:t>C.6.2. Diagrama Gantt (formă tabelară)</w:t>
      </w:r>
    </w:p>
    <w:tbl>
      <w:tblPr>
        <w:tblStyle w:val="LightGrid-Accent1"/>
        <w:tblW w:type="auto" w:w="0"/>
        <w:tblLook w:firstColumn="1" w:firstRow="1" w:lastColumn="0" w:lastRow="0" w:noHBand="0" w:noVBand="1" w:val="04A0"/>
      </w:tblPr>
      <w:tblGrid>
        <w:gridCol w:w="513"/>
        <w:gridCol w:w="513"/>
        <w:gridCol w:w="513"/>
        <w:gridCol w:w="513"/>
        <w:gridCol w:w="513"/>
        <w:gridCol w:w="513"/>
        <w:gridCol w:w="513"/>
        <w:gridCol w:w="513"/>
        <w:gridCol w:w="513"/>
        <w:gridCol w:w="513"/>
        <w:gridCol w:w="513"/>
        <w:gridCol w:w="513"/>
        <w:gridCol w:w="513"/>
        <w:gridCol w:w="513"/>
        <w:gridCol w:w="513"/>
        <w:gridCol w:w="513"/>
        <w:gridCol w:w="513"/>
        <w:gridCol w:w="513"/>
        <w:gridCol w:w="513"/>
      </w:tblGrid>
      <w:tr>
        <w:tc>
          <w:tcPr>
            <w:tcW w:type="dxa" w:w="2608"/>
            <w:shd w:val="clear" w:color="auto" w:fill="1F3A68"/>
          </w:tcPr>
          <w:p>
            <w:r>
              <w:rPr>
                <w:color w:val="FFFFFF"/>
              </w:rPr>
            </w:r>
            <w:r>
              <w:rPr>
                <w:b/>
                <w:color w:val="FFFFFF"/>
                <w:sz w:val="14"/>
              </w:rPr>
              <w:t>Etapa</w:t>
            </w:r>
          </w:p>
        </w:tc>
        <w:tc>
          <w:tcPr>
            <w:tcW w:type="dxa" w:w="369"/>
            <w:shd w:val="clear" w:color="auto" w:fill="1F3A68"/>
          </w:tcPr>
          <w:p>
            <w:r>
              <w:rPr>
                <w:color w:val="FFFFFF"/>
              </w:rPr>
            </w:r>
            <w:r>
              <w:rPr>
                <w:b/>
                <w:color w:val="FFFFFF"/>
                <w:sz w:val="14"/>
              </w:rPr>
              <w:t>1</w:t>
            </w:r>
          </w:p>
        </w:tc>
        <w:tc>
          <w:tcPr>
            <w:tcW w:type="dxa" w:w="369"/>
            <w:shd w:val="clear" w:color="auto" w:fill="1F3A68"/>
          </w:tcPr>
          <w:p>
            <w:r>
              <w:rPr>
                <w:color w:val="FFFFFF"/>
              </w:rPr>
            </w:r>
            <w:r>
              <w:rPr>
                <w:b/>
                <w:color w:val="FFFFFF"/>
                <w:sz w:val="14"/>
              </w:rPr>
              <w:t>2</w:t>
            </w:r>
          </w:p>
        </w:tc>
        <w:tc>
          <w:tcPr>
            <w:tcW w:type="dxa" w:w="369"/>
            <w:shd w:val="clear" w:color="auto" w:fill="1F3A68"/>
          </w:tcPr>
          <w:p>
            <w:r>
              <w:rPr>
                <w:color w:val="FFFFFF"/>
              </w:rPr>
            </w:r>
            <w:r>
              <w:rPr>
                <w:b/>
                <w:color w:val="FFFFFF"/>
                <w:sz w:val="14"/>
              </w:rPr>
              <w:t>3</w:t>
            </w:r>
          </w:p>
        </w:tc>
        <w:tc>
          <w:tcPr>
            <w:tcW w:type="dxa" w:w="369"/>
            <w:shd w:val="clear" w:color="auto" w:fill="1F3A68"/>
          </w:tcPr>
          <w:p>
            <w:r>
              <w:rPr>
                <w:color w:val="FFFFFF"/>
              </w:rPr>
            </w:r>
            <w:r>
              <w:rPr>
                <w:b/>
                <w:color w:val="FFFFFF"/>
                <w:sz w:val="14"/>
              </w:rPr>
              <w:t>4</w:t>
            </w:r>
          </w:p>
        </w:tc>
        <w:tc>
          <w:tcPr>
            <w:tcW w:type="dxa" w:w="369"/>
            <w:shd w:val="clear" w:color="auto" w:fill="1F3A68"/>
          </w:tcPr>
          <w:p>
            <w:r>
              <w:rPr>
                <w:color w:val="FFFFFF"/>
              </w:rPr>
            </w:r>
            <w:r>
              <w:rPr>
                <w:b/>
                <w:color w:val="FFFFFF"/>
                <w:sz w:val="14"/>
              </w:rPr>
              <w:t>5</w:t>
            </w:r>
          </w:p>
        </w:tc>
        <w:tc>
          <w:tcPr>
            <w:tcW w:type="dxa" w:w="369"/>
            <w:shd w:val="clear" w:color="auto" w:fill="1F3A68"/>
          </w:tcPr>
          <w:p>
            <w:r>
              <w:rPr>
                <w:color w:val="FFFFFF"/>
              </w:rPr>
            </w:r>
            <w:r>
              <w:rPr>
                <w:b/>
                <w:color w:val="FFFFFF"/>
                <w:sz w:val="14"/>
              </w:rPr>
              <w:t>6</w:t>
            </w:r>
          </w:p>
        </w:tc>
        <w:tc>
          <w:tcPr>
            <w:tcW w:type="dxa" w:w="369"/>
            <w:shd w:val="clear" w:color="auto" w:fill="1F3A68"/>
          </w:tcPr>
          <w:p>
            <w:r>
              <w:rPr>
                <w:color w:val="FFFFFF"/>
              </w:rPr>
            </w:r>
            <w:r>
              <w:rPr>
                <w:b/>
                <w:color w:val="FFFFFF"/>
                <w:sz w:val="14"/>
              </w:rPr>
              <w:t>7</w:t>
            </w:r>
          </w:p>
        </w:tc>
        <w:tc>
          <w:tcPr>
            <w:tcW w:type="dxa" w:w="369"/>
            <w:shd w:val="clear" w:color="auto" w:fill="1F3A68"/>
          </w:tcPr>
          <w:p>
            <w:r>
              <w:rPr>
                <w:color w:val="FFFFFF"/>
              </w:rPr>
            </w:r>
            <w:r>
              <w:rPr>
                <w:b/>
                <w:color w:val="FFFFFF"/>
                <w:sz w:val="14"/>
              </w:rPr>
              <w:t>8</w:t>
            </w:r>
          </w:p>
        </w:tc>
        <w:tc>
          <w:tcPr>
            <w:tcW w:type="dxa" w:w="369"/>
            <w:shd w:val="clear" w:color="auto" w:fill="1F3A68"/>
          </w:tcPr>
          <w:p>
            <w:r>
              <w:rPr>
                <w:color w:val="FFFFFF"/>
              </w:rPr>
            </w:r>
            <w:r>
              <w:rPr>
                <w:b/>
                <w:color w:val="FFFFFF"/>
                <w:sz w:val="14"/>
              </w:rPr>
              <w:t>9</w:t>
            </w:r>
          </w:p>
        </w:tc>
        <w:tc>
          <w:tcPr>
            <w:tcW w:type="dxa" w:w="369"/>
            <w:shd w:val="clear" w:color="auto" w:fill="1F3A68"/>
          </w:tcPr>
          <w:p>
            <w:r>
              <w:rPr>
                <w:color w:val="FFFFFF"/>
              </w:rPr>
            </w:r>
            <w:r>
              <w:rPr>
                <w:b/>
                <w:color w:val="FFFFFF"/>
                <w:sz w:val="14"/>
              </w:rPr>
              <w:t>10</w:t>
            </w:r>
          </w:p>
        </w:tc>
        <w:tc>
          <w:tcPr>
            <w:tcW w:type="dxa" w:w="369"/>
            <w:shd w:val="clear" w:color="auto" w:fill="1F3A68"/>
          </w:tcPr>
          <w:p>
            <w:r>
              <w:rPr>
                <w:color w:val="FFFFFF"/>
              </w:rPr>
            </w:r>
            <w:r>
              <w:rPr>
                <w:b/>
                <w:color w:val="FFFFFF"/>
                <w:sz w:val="14"/>
              </w:rPr>
              <w:t>11</w:t>
            </w:r>
          </w:p>
        </w:tc>
        <w:tc>
          <w:tcPr>
            <w:tcW w:type="dxa" w:w="369"/>
            <w:shd w:val="clear" w:color="auto" w:fill="1F3A68"/>
          </w:tcPr>
          <w:p>
            <w:r>
              <w:rPr>
                <w:color w:val="FFFFFF"/>
              </w:rPr>
            </w:r>
            <w:r>
              <w:rPr>
                <w:b/>
                <w:color w:val="FFFFFF"/>
                <w:sz w:val="14"/>
              </w:rPr>
              <w:t>12</w:t>
            </w:r>
          </w:p>
        </w:tc>
        <w:tc>
          <w:tcPr>
            <w:tcW w:type="dxa" w:w="369"/>
            <w:shd w:val="clear" w:color="auto" w:fill="1F3A68"/>
          </w:tcPr>
          <w:p>
            <w:r>
              <w:rPr>
                <w:color w:val="FFFFFF"/>
              </w:rPr>
            </w:r>
            <w:r>
              <w:rPr>
                <w:b/>
                <w:color w:val="FFFFFF"/>
                <w:sz w:val="14"/>
              </w:rPr>
              <w:t>13</w:t>
            </w:r>
          </w:p>
        </w:tc>
        <w:tc>
          <w:tcPr>
            <w:tcW w:type="dxa" w:w="369"/>
            <w:shd w:val="clear" w:color="auto" w:fill="1F3A68"/>
          </w:tcPr>
          <w:p>
            <w:r>
              <w:rPr>
                <w:color w:val="FFFFFF"/>
              </w:rPr>
            </w:r>
            <w:r>
              <w:rPr>
                <w:b/>
                <w:color w:val="FFFFFF"/>
                <w:sz w:val="14"/>
              </w:rPr>
              <w:t>14</w:t>
            </w:r>
          </w:p>
        </w:tc>
        <w:tc>
          <w:tcPr>
            <w:tcW w:type="dxa" w:w="369"/>
            <w:shd w:val="clear" w:color="auto" w:fill="1F3A68"/>
          </w:tcPr>
          <w:p>
            <w:r>
              <w:rPr>
                <w:color w:val="FFFFFF"/>
              </w:rPr>
            </w:r>
            <w:r>
              <w:rPr>
                <w:b/>
                <w:color w:val="FFFFFF"/>
                <w:sz w:val="14"/>
              </w:rPr>
              <w:t>15</w:t>
            </w:r>
          </w:p>
        </w:tc>
        <w:tc>
          <w:tcPr>
            <w:tcW w:type="dxa" w:w="369"/>
            <w:shd w:val="clear" w:color="auto" w:fill="1F3A68"/>
          </w:tcPr>
          <w:p>
            <w:r>
              <w:rPr>
                <w:color w:val="FFFFFF"/>
              </w:rPr>
            </w:r>
            <w:r>
              <w:rPr>
                <w:b/>
                <w:color w:val="FFFFFF"/>
                <w:sz w:val="14"/>
              </w:rPr>
              <w:t>16</w:t>
            </w:r>
          </w:p>
        </w:tc>
        <w:tc>
          <w:tcPr>
            <w:tcW w:type="dxa" w:w="369"/>
            <w:shd w:val="clear" w:color="auto" w:fill="1F3A68"/>
          </w:tcPr>
          <w:p>
            <w:r>
              <w:rPr>
                <w:color w:val="FFFFFF"/>
              </w:rPr>
            </w:r>
            <w:r>
              <w:rPr>
                <w:b/>
                <w:color w:val="FFFFFF"/>
                <w:sz w:val="14"/>
              </w:rPr>
              <w:t>17</w:t>
            </w:r>
          </w:p>
        </w:tc>
        <w:tc>
          <w:tcPr>
            <w:tcW w:type="dxa" w:w="369"/>
            <w:shd w:val="clear" w:color="auto" w:fill="1F3A68"/>
          </w:tcPr>
          <w:p>
            <w:r>
              <w:rPr>
                <w:color w:val="FFFFFF"/>
              </w:rPr>
            </w:r>
            <w:r>
              <w:rPr>
                <w:b/>
                <w:color w:val="FFFFFF"/>
                <w:sz w:val="14"/>
              </w:rPr>
              <w:t>18</w:t>
            </w:r>
          </w:p>
        </w:tc>
      </w:tr>
      <w:tr>
        <w:tc>
          <w:tcPr>
            <w:tcW w:type="dxa" w:w="2608"/>
          </w:tcPr>
          <w:p>
            <w:r/>
            <w:r>
              <w:rPr>
                <w:sz w:val="14"/>
              </w:rPr>
              <w:t>E1 Analiză &amp; proiectare</w:t>
            </w:r>
          </w:p>
        </w:tc>
        <w:tc>
          <w:tcPr>
            <w:tcW w:type="dxa" w:w="369"/>
          </w:tcPr>
          <w:p>
            <w:r/>
            <w:r>
              <w:rPr>
                <w:sz w:val="14"/>
              </w:rPr>
              <w:t>█</w:t>
            </w:r>
          </w:p>
        </w:tc>
        <w:tc>
          <w:tcPr>
            <w:tcW w:type="dxa" w:w="369"/>
          </w:tcPr>
          <w:p>
            <w:r/>
            <w:r>
              <w:rPr>
                <w:sz w:val="14"/>
              </w:rPr>
              <w:t>█</w:t>
            </w:r>
          </w:p>
        </w:tc>
        <w:tc>
          <w:tcPr>
            <w:tcW w:type="dxa" w:w="369"/>
          </w:tcPr>
          <w:p>
            <w:r/>
            <w:r>
              <w:rPr>
                <w:sz w:val="14"/>
              </w:rPr>
              <w:t>█</w:t>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r>
      <w:tr>
        <w:tc>
          <w:tcPr>
            <w:tcW w:type="dxa" w:w="2608"/>
          </w:tcPr>
          <w:p>
            <w:r/>
            <w:r>
              <w:rPr>
                <w:sz w:val="14"/>
              </w:rPr>
              <w:t>E2 Infrastructură &amp; DevOps</w:t>
            </w:r>
          </w:p>
        </w:tc>
        <w:tc>
          <w:tcPr>
            <w:tcW w:type="dxa" w:w="369"/>
          </w:tcPr>
          <w:p>
            <w:r/>
            <w:r>
              <w:rPr>
                <w:sz w:val="14"/>
              </w:rPr>
            </w:r>
          </w:p>
        </w:tc>
        <w:tc>
          <w:tcPr>
            <w:tcW w:type="dxa" w:w="369"/>
          </w:tcPr>
          <w:p>
            <w:r/>
            <w:r>
              <w:rPr>
                <w:sz w:val="14"/>
              </w:rPr>
              <w:t>█</w:t>
            </w:r>
          </w:p>
        </w:tc>
        <w:tc>
          <w:tcPr>
            <w:tcW w:type="dxa" w:w="369"/>
          </w:tcPr>
          <w:p>
            <w:r/>
            <w:r>
              <w:rPr>
                <w:sz w:val="14"/>
              </w:rPr>
              <w:t>█</w:t>
            </w:r>
          </w:p>
        </w:tc>
        <w:tc>
          <w:tcPr>
            <w:tcW w:type="dxa" w:w="369"/>
          </w:tcPr>
          <w:p>
            <w:r/>
            <w:r>
              <w:rPr>
                <w:sz w:val="14"/>
              </w:rPr>
              <w:t>█</w:t>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r>
      <w:tr>
        <w:tc>
          <w:tcPr>
            <w:tcW w:type="dxa" w:w="2608"/>
          </w:tcPr>
          <w:p>
            <w:r/>
            <w:r>
              <w:rPr>
                <w:sz w:val="14"/>
              </w:rPr>
              <w:t>E3 Nucleu platformă web</w:t>
            </w:r>
          </w:p>
        </w:tc>
        <w:tc>
          <w:tcPr>
            <w:tcW w:type="dxa" w:w="369"/>
          </w:tcPr>
          <w:p>
            <w:r/>
            <w:r>
              <w:rPr>
                <w:sz w:val="14"/>
              </w:rPr>
            </w:r>
          </w:p>
        </w:tc>
        <w:tc>
          <w:tcPr>
            <w:tcW w:type="dxa" w:w="369"/>
          </w:tcPr>
          <w:p>
            <w:r/>
            <w:r>
              <w:rPr>
                <w:sz w:val="14"/>
              </w:rPr>
            </w:r>
          </w:p>
        </w:tc>
        <w:tc>
          <w:tcPr>
            <w:tcW w:type="dxa" w:w="369"/>
          </w:tcPr>
          <w:p>
            <w:r/>
            <w:r>
              <w:rPr>
                <w:sz w:val="14"/>
              </w:rPr>
              <w:t>█</w:t>
            </w:r>
          </w:p>
        </w:tc>
        <w:tc>
          <w:tcPr>
            <w:tcW w:type="dxa" w:w="369"/>
          </w:tcPr>
          <w:p>
            <w:r/>
            <w:r>
              <w:rPr>
                <w:sz w:val="14"/>
              </w:rPr>
              <w:t>█</w:t>
            </w:r>
          </w:p>
        </w:tc>
        <w:tc>
          <w:tcPr>
            <w:tcW w:type="dxa" w:w="369"/>
          </w:tcPr>
          <w:p>
            <w:r/>
            <w:r>
              <w:rPr>
                <w:sz w:val="14"/>
              </w:rPr>
              <w:t>█</w:t>
            </w:r>
          </w:p>
        </w:tc>
        <w:tc>
          <w:tcPr>
            <w:tcW w:type="dxa" w:w="369"/>
          </w:tcPr>
          <w:p>
            <w:r/>
            <w:r>
              <w:rPr>
                <w:sz w:val="14"/>
              </w:rPr>
              <w:t>█</w:t>
            </w:r>
          </w:p>
        </w:tc>
        <w:tc>
          <w:tcPr>
            <w:tcW w:type="dxa" w:w="369"/>
          </w:tcPr>
          <w:p>
            <w:r/>
            <w:r>
              <w:rPr>
                <w:sz w:val="14"/>
              </w:rPr>
              <w:t>█</w:t>
            </w:r>
          </w:p>
        </w:tc>
        <w:tc>
          <w:tcPr>
            <w:tcW w:type="dxa" w:w="369"/>
          </w:tcPr>
          <w:p>
            <w:r/>
            <w:r>
              <w:rPr>
                <w:sz w:val="14"/>
              </w:rPr>
              <w:t>█</w:t>
            </w:r>
          </w:p>
        </w:tc>
        <w:tc>
          <w:tcPr>
            <w:tcW w:type="dxa" w:w="369"/>
          </w:tcPr>
          <w:p>
            <w:r/>
            <w:r>
              <w:rPr>
                <w:sz w:val="14"/>
              </w:rPr>
              <w:t>█</w:t>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r>
      <w:tr>
        <w:tc>
          <w:tcPr>
            <w:tcW w:type="dxa" w:w="2608"/>
          </w:tcPr>
          <w:p>
            <w:r/>
            <w:r>
              <w:rPr>
                <w:sz w:val="14"/>
              </w:rPr>
              <w:t>E4 Motor AI</w:t>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t>█</w:t>
            </w:r>
          </w:p>
        </w:tc>
        <w:tc>
          <w:tcPr>
            <w:tcW w:type="dxa" w:w="369"/>
          </w:tcPr>
          <w:p>
            <w:r/>
            <w:r>
              <w:rPr>
                <w:sz w:val="14"/>
              </w:rPr>
              <w:t>█</w:t>
            </w:r>
          </w:p>
        </w:tc>
        <w:tc>
          <w:tcPr>
            <w:tcW w:type="dxa" w:w="369"/>
          </w:tcPr>
          <w:p>
            <w:r/>
            <w:r>
              <w:rPr>
                <w:sz w:val="14"/>
              </w:rPr>
              <w:t>█</w:t>
            </w:r>
          </w:p>
        </w:tc>
        <w:tc>
          <w:tcPr>
            <w:tcW w:type="dxa" w:w="369"/>
          </w:tcPr>
          <w:p>
            <w:r/>
            <w:r>
              <w:rPr>
                <w:sz w:val="14"/>
              </w:rPr>
              <w:t>█</w:t>
            </w:r>
          </w:p>
        </w:tc>
        <w:tc>
          <w:tcPr>
            <w:tcW w:type="dxa" w:w="369"/>
          </w:tcPr>
          <w:p>
            <w:r/>
            <w:r>
              <w:rPr>
                <w:sz w:val="14"/>
              </w:rPr>
              <w:t>█</w:t>
            </w:r>
          </w:p>
        </w:tc>
        <w:tc>
          <w:tcPr>
            <w:tcW w:type="dxa" w:w="369"/>
          </w:tcPr>
          <w:p>
            <w:r/>
            <w:r>
              <w:rPr>
                <w:sz w:val="14"/>
              </w:rPr>
              <w:t>█</w:t>
            </w:r>
          </w:p>
        </w:tc>
        <w:tc>
          <w:tcPr>
            <w:tcW w:type="dxa" w:w="369"/>
          </w:tcPr>
          <w:p>
            <w:r/>
            <w:r>
              <w:rPr>
                <w:sz w:val="14"/>
              </w:rPr>
              <w:t>█</w:t>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r>
      <w:tr>
        <w:tc>
          <w:tcPr>
            <w:tcW w:type="dxa" w:w="2608"/>
          </w:tcPr>
          <w:p>
            <w:r/>
            <w:r>
              <w:rPr>
                <w:sz w:val="14"/>
              </w:rPr>
              <w:t>E5 Microserviciu LOINC</w:t>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t>█</w:t>
            </w:r>
          </w:p>
        </w:tc>
        <w:tc>
          <w:tcPr>
            <w:tcW w:type="dxa" w:w="369"/>
          </w:tcPr>
          <w:p>
            <w:r/>
            <w:r>
              <w:rPr>
                <w:sz w:val="14"/>
              </w:rPr>
              <w:t>█</w:t>
            </w:r>
          </w:p>
        </w:tc>
        <w:tc>
          <w:tcPr>
            <w:tcW w:type="dxa" w:w="369"/>
          </w:tcPr>
          <w:p>
            <w:r/>
            <w:r>
              <w:rPr>
                <w:sz w:val="14"/>
              </w:rPr>
              <w:t>█</w:t>
            </w:r>
          </w:p>
        </w:tc>
        <w:tc>
          <w:tcPr>
            <w:tcW w:type="dxa" w:w="369"/>
          </w:tcPr>
          <w:p>
            <w:r/>
            <w:r>
              <w:rPr>
                <w:sz w:val="14"/>
              </w:rPr>
              <w:t>█</w:t>
            </w:r>
          </w:p>
        </w:tc>
        <w:tc>
          <w:tcPr>
            <w:tcW w:type="dxa" w:w="369"/>
          </w:tcPr>
          <w:p>
            <w:r/>
            <w:r>
              <w:rPr>
                <w:sz w:val="14"/>
              </w:rPr>
              <w:t>█</w:t>
            </w:r>
          </w:p>
        </w:tc>
        <w:tc>
          <w:tcPr>
            <w:tcW w:type="dxa" w:w="369"/>
          </w:tcPr>
          <w:p>
            <w:r/>
            <w:r>
              <w:rPr>
                <w:sz w:val="14"/>
              </w:rPr>
              <w:t>█</w:t>
            </w:r>
          </w:p>
        </w:tc>
        <w:tc>
          <w:tcPr>
            <w:tcW w:type="dxa" w:w="369"/>
          </w:tcPr>
          <w:p>
            <w:r/>
            <w:r>
              <w:rPr>
                <w:sz w:val="14"/>
              </w:rPr>
              <w:t>█</w:t>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r>
      <w:tr>
        <w:tc>
          <w:tcPr>
            <w:tcW w:type="dxa" w:w="2608"/>
          </w:tcPr>
          <w:p>
            <w:r/>
            <w:r>
              <w:rPr>
                <w:sz w:val="14"/>
              </w:rPr>
              <w:t>E6 Raportare &amp; comunicare</w:t>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t>█</w:t>
            </w:r>
          </w:p>
        </w:tc>
        <w:tc>
          <w:tcPr>
            <w:tcW w:type="dxa" w:w="369"/>
          </w:tcPr>
          <w:p>
            <w:r/>
            <w:r>
              <w:rPr>
                <w:sz w:val="14"/>
              </w:rPr>
              <w:t>█</w:t>
            </w:r>
          </w:p>
        </w:tc>
        <w:tc>
          <w:tcPr>
            <w:tcW w:type="dxa" w:w="369"/>
          </w:tcPr>
          <w:p>
            <w:r/>
            <w:r>
              <w:rPr>
                <w:sz w:val="14"/>
              </w:rPr>
              <w:t>█</w:t>
            </w:r>
          </w:p>
        </w:tc>
        <w:tc>
          <w:tcPr>
            <w:tcW w:type="dxa" w:w="369"/>
          </w:tcPr>
          <w:p>
            <w:r/>
            <w:r>
              <w:rPr>
                <w:sz w:val="14"/>
              </w:rPr>
              <w:t>█</w:t>
            </w:r>
          </w:p>
        </w:tc>
        <w:tc>
          <w:tcPr>
            <w:tcW w:type="dxa" w:w="369"/>
          </w:tcPr>
          <w:p>
            <w:r/>
            <w:r>
              <w:rPr>
                <w:sz w:val="14"/>
              </w:rPr>
              <w:t>█</w:t>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r>
      <w:tr>
        <w:tc>
          <w:tcPr>
            <w:tcW w:type="dxa" w:w="2608"/>
          </w:tcPr>
          <w:p>
            <w:r/>
            <w:r>
              <w:rPr>
                <w:sz w:val="14"/>
              </w:rPr>
              <w:t>E7 Localizare 7→30 limbi</w:t>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t>█</w:t>
            </w:r>
          </w:p>
        </w:tc>
        <w:tc>
          <w:tcPr>
            <w:tcW w:type="dxa" w:w="369"/>
          </w:tcPr>
          <w:p>
            <w:r/>
            <w:r>
              <w:rPr>
                <w:sz w:val="14"/>
              </w:rPr>
              <w:t>█</w:t>
            </w:r>
          </w:p>
        </w:tc>
        <w:tc>
          <w:tcPr>
            <w:tcW w:type="dxa" w:w="369"/>
          </w:tcPr>
          <w:p>
            <w:r/>
            <w:r>
              <w:rPr>
                <w:sz w:val="14"/>
              </w:rPr>
              <w:t>█</w:t>
            </w:r>
          </w:p>
        </w:tc>
        <w:tc>
          <w:tcPr>
            <w:tcW w:type="dxa" w:w="369"/>
          </w:tcPr>
          <w:p>
            <w:r/>
            <w:r>
              <w:rPr>
                <w:sz w:val="14"/>
              </w:rPr>
              <w:t>█</w:t>
            </w:r>
          </w:p>
        </w:tc>
        <w:tc>
          <w:tcPr>
            <w:tcW w:type="dxa" w:w="369"/>
          </w:tcPr>
          <w:p>
            <w:r/>
            <w:r>
              <w:rPr>
                <w:sz w:val="14"/>
              </w:rPr>
              <w:t>█</w:t>
            </w:r>
          </w:p>
        </w:tc>
        <w:tc>
          <w:tcPr>
            <w:tcW w:type="dxa" w:w="369"/>
          </w:tcPr>
          <w:p>
            <w:r/>
            <w:r>
              <w:rPr>
                <w:sz w:val="14"/>
              </w:rPr>
              <w:t>█</w:t>
            </w:r>
          </w:p>
        </w:tc>
        <w:tc>
          <w:tcPr>
            <w:tcW w:type="dxa" w:w="369"/>
          </w:tcPr>
          <w:p>
            <w:r/>
            <w:r>
              <w:rPr>
                <w:sz w:val="14"/>
              </w:rPr>
              <w:t>█</w:t>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r>
      <w:tr>
        <w:tc>
          <w:tcPr>
            <w:tcW w:type="dxa" w:w="2608"/>
          </w:tcPr>
          <w:p>
            <w:r/>
            <w:r>
              <w:rPr>
                <w:sz w:val="14"/>
              </w:rPr>
              <w:t>E8 Modul B2B (CAM)</w:t>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t>█</w:t>
            </w:r>
          </w:p>
        </w:tc>
        <w:tc>
          <w:tcPr>
            <w:tcW w:type="dxa" w:w="369"/>
          </w:tcPr>
          <w:p>
            <w:r/>
            <w:r>
              <w:rPr>
                <w:sz w:val="14"/>
              </w:rPr>
              <w:t>█</w:t>
            </w:r>
          </w:p>
        </w:tc>
        <w:tc>
          <w:tcPr>
            <w:tcW w:type="dxa" w:w="369"/>
          </w:tcPr>
          <w:p>
            <w:r/>
            <w:r>
              <w:rPr>
                <w:sz w:val="14"/>
              </w:rPr>
              <w:t>█</w:t>
            </w:r>
          </w:p>
        </w:tc>
        <w:tc>
          <w:tcPr>
            <w:tcW w:type="dxa" w:w="369"/>
          </w:tcPr>
          <w:p>
            <w:r/>
            <w:r>
              <w:rPr>
                <w:sz w:val="14"/>
              </w:rPr>
              <w:t>█</w:t>
            </w:r>
          </w:p>
        </w:tc>
        <w:tc>
          <w:tcPr>
            <w:tcW w:type="dxa" w:w="369"/>
          </w:tcPr>
          <w:p>
            <w:r/>
            <w:r>
              <w:rPr>
                <w:sz w:val="14"/>
              </w:rPr>
              <w:t>█</w:t>
            </w:r>
          </w:p>
        </w:tc>
        <w:tc>
          <w:tcPr>
            <w:tcW w:type="dxa" w:w="369"/>
          </w:tcPr>
          <w:p>
            <w:r/>
            <w:r>
              <w:rPr>
                <w:sz w:val="14"/>
              </w:rPr>
              <w:t>█</w:t>
            </w:r>
          </w:p>
        </w:tc>
        <w:tc>
          <w:tcPr>
            <w:tcW w:type="dxa" w:w="369"/>
          </w:tcPr>
          <w:p>
            <w:r/>
            <w:r>
              <w:rPr>
                <w:sz w:val="14"/>
              </w:rPr>
            </w:r>
          </w:p>
        </w:tc>
        <w:tc>
          <w:tcPr>
            <w:tcW w:type="dxa" w:w="369"/>
          </w:tcPr>
          <w:p>
            <w:r/>
            <w:r>
              <w:rPr>
                <w:sz w:val="14"/>
              </w:rPr>
            </w:r>
          </w:p>
        </w:tc>
        <w:tc>
          <w:tcPr>
            <w:tcW w:type="dxa" w:w="369"/>
          </w:tcPr>
          <w:p>
            <w:r/>
            <w:r>
              <w:rPr>
                <w:sz w:val="14"/>
              </w:rPr>
            </w:r>
          </w:p>
        </w:tc>
      </w:tr>
      <w:tr>
        <w:tc>
          <w:tcPr>
            <w:tcW w:type="dxa" w:w="2608"/>
          </w:tcPr>
          <w:p>
            <w:r/>
            <w:r>
              <w:rPr>
                <w:sz w:val="14"/>
              </w:rPr>
              <w:t>E9 Monetizare &amp; plăți</w:t>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t>█</w:t>
            </w:r>
          </w:p>
        </w:tc>
        <w:tc>
          <w:tcPr>
            <w:tcW w:type="dxa" w:w="369"/>
          </w:tcPr>
          <w:p>
            <w:r/>
            <w:r>
              <w:rPr>
                <w:sz w:val="14"/>
              </w:rPr>
              <w:t>█</w:t>
            </w:r>
          </w:p>
        </w:tc>
        <w:tc>
          <w:tcPr>
            <w:tcW w:type="dxa" w:w="369"/>
          </w:tcPr>
          <w:p>
            <w:r/>
            <w:r>
              <w:rPr>
                <w:sz w:val="14"/>
              </w:rPr>
              <w:t>█</w:t>
            </w:r>
          </w:p>
        </w:tc>
        <w:tc>
          <w:tcPr>
            <w:tcW w:type="dxa" w:w="369"/>
          </w:tcPr>
          <w:p>
            <w:r/>
            <w:r>
              <w:rPr>
                <w:sz w:val="14"/>
              </w:rPr>
              <w:t>█</w:t>
            </w:r>
          </w:p>
        </w:tc>
        <w:tc>
          <w:tcPr>
            <w:tcW w:type="dxa" w:w="369"/>
          </w:tcPr>
          <w:p>
            <w:r/>
            <w:r>
              <w:rPr>
                <w:sz w:val="14"/>
              </w:rPr>
              <w:t>█</w:t>
            </w:r>
          </w:p>
        </w:tc>
        <w:tc>
          <w:tcPr>
            <w:tcW w:type="dxa" w:w="369"/>
          </w:tcPr>
          <w:p>
            <w:r/>
            <w:r>
              <w:rPr>
                <w:sz w:val="14"/>
              </w:rPr>
            </w:r>
          </w:p>
        </w:tc>
        <w:tc>
          <w:tcPr>
            <w:tcW w:type="dxa" w:w="369"/>
          </w:tcPr>
          <w:p>
            <w:r/>
            <w:r>
              <w:rPr>
                <w:sz w:val="14"/>
              </w:rPr>
            </w:r>
          </w:p>
        </w:tc>
        <w:tc>
          <w:tcPr>
            <w:tcW w:type="dxa" w:w="369"/>
          </w:tcPr>
          <w:p>
            <w:r/>
            <w:r>
              <w:rPr>
                <w:sz w:val="14"/>
              </w:rPr>
            </w:r>
          </w:p>
        </w:tc>
      </w:tr>
      <w:tr>
        <w:tc>
          <w:tcPr>
            <w:tcW w:type="dxa" w:w="2608"/>
          </w:tcPr>
          <w:p>
            <w:r/>
            <w:r>
              <w:rPr>
                <w:sz w:val="14"/>
              </w:rPr>
              <w:t>E10 Securitate &amp; testare</w:t>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t>█</w:t>
            </w:r>
          </w:p>
        </w:tc>
        <w:tc>
          <w:tcPr>
            <w:tcW w:type="dxa" w:w="369"/>
          </w:tcPr>
          <w:p>
            <w:r/>
            <w:r>
              <w:rPr>
                <w:sz w:val="14"/>
              </w:rPr>
              <w:t>█</w:t>
            </w:r>
          </w:p>
        </w:tc>
        <w:tc>
          <w:tcPr>
            <w:tcW w:type="dxa" w:w="369"/>
          </w:tcPr>
          <w:p>
            <w:r/>
            <w:r>
              <w:rPr>
                <w:sz w:val="14"/>
              </w:rPr>
              <w:t>█</w:t>
            </w:r>
          </w:p>
        </w:tc>
        <w:tc>
          <w:tcPr>
            <w:tcW w:type="dxa" w:w="369"/>
          </w:tcPr>
          <w:p>
            <w:r/>
            <w:r>
              <w:rPr>
                <w:sz w:val="14"/>
              </w:rPr>
              <w:t>█</w:t>
            </w:r>
          </w:p>
        </w:tc>
        <w:tc>
          <w:tcPr>
            <w:tcW w:type="dxa" w:w="369"/>
          </w:tcPr>
          <w:p>
            <w:r/>
            <w:r>
              <w:rPr>
                <w:sz w:val="14"/>
              </w:rPr>
              <w:t>█</w:t>
            </w:r>
          </w:p>
        </w:tc>
        <w:tc>
          <w:tcPr>
            <w:tcW w:type="dxa" w:w="369"/>
          </w:tcPr>
          <w:p>
            <w:r/>
            <w:r>
              <w:rPr>
                <w:sz w:val="14"/>
              </w:rPr>
            </w:r>
          </w:p>
        </w:tc>
        <w:tc>
          <w:tcPr>
            <w:tcW w:type="dxa" w:w="369"/>
          </w:tcPr>
          <w:p>
            <w:r/>
            <w:r>
              <w:rPr>
                <w:sz w:val="14"/>
              </w:rPr>
            </w:r>
          </w:p>
        </w:tc>
      </w:tr>
      <w:tr>
        <w:tc>
          <w:tcPr>
            <w:tcW w:type="dxa" w:w="2608"/>
          </w:tcPr>
          <w:p>
            <w:r/>
            <w:r>
              <w:rPr>
                <w:sz w:val="14"/>
              </w:rPr>
              <w:t>E11 Pilotare &amp; lansare</w:t>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r>
          </w:p>
        </w:tc>
        <w:tc>
          <w:tcPr>
            <w:tcW w:type="dxa" w:w="369"/>
          </w:tcPr>
          <w:p>
            <w:r/>
            <w:r>
              <w:rPr>
                <w:sz w:val="14"/>
              </w:rPr>
              <w:t>█</w:t>
            </w:r>
          </w:p>
        </w:tc>
        <w:tc>
          <w:tcPr>
            <w:tcW w:type="dxa" w:w="369"/>
          </w:tcPr>
          <w:p>
            <w:r/>
            <w:r>
              <w:rPr>
                <w:sz w:val="14"/>
              </w:rPr>
              <w:t>█</w:t>
            </w:r>
          </w:p>
        </w:tc>
        <w:tc>
          <w:tcPr>
            <w:tcW w:type="dxa" w:w="369"/>
          </w:tcPr>
          <w:p>
            <w:r/>
            <w:r>
              <w:rPr>
                <w:sz w:val="14"/>
              </w:rPr>
              <w:t>█</w:t>
            </w:r>
          </w:p>
        </w:tc>
        <w:tc>
          <w:tcPr>
            <w:tcW w:type="dxa" w:w="369"/>
          </w:tcPr>
          <w:p>
            <w:r/>
            <w:r>
              <w:rPr>
                <w:sz w:val="14"/>
              </w:rPr>
              <w:t>█</w:t>
            </w:r>
          </w:p>
        </w:tc>
        <w:tc>
          <w:tcPr>
            <w:tcW w:type="dxa" w:w="369"/>
          </w:tcPr>
          <w:p>
            <w:r/>
            <w:r>
              <w:rPr>
                <w:sz w:val="14"/>
              </w:rPr>
              <w:t>█</w:t>
            </w:r>
          </w:p>
        </w:tc>
      </w:tr>
    </w:tbl>
    <w:p>
      <w:pPr>
        <w:spacing w:after="120"/>
        <w:jc w:val="both"/>
      </w:pPr>
      <w:r>
        <w:rPr>
          <w:b w:val="0"/>
          <w:i/>
          <w:sz w:val="18"/>
        </w:rPr>
        <w:t>Legendă: █ = luni active ale etapei.</w:t>
      </w:r>
    </w:p>
    <w:p>
      <w:pPr>
        <w:pStyle w:val="Heading2"/>
      </w:pPr>
      <w:r>
        <w:rPr>
          <w:color w:val="1F3A68"/>
        </w:rPr>
        <w:t>C.6.3. Milestone-uri majore</w:t>
      </w:r>
    </w:p>
    <w:tbl>
      <w:tblPr>
        <w:tblStyle w:val="LightGrid-Accent1"/>
        <w:tblW w:type="auto" w:w="0"/>
        <w:tblLook w:firstColumn="1" w:firstRow="1" w:lastColumn="0" w:lastRow="0" w:noHBand="0" w:noVBand="1" w:val="04A0"/>
      </w:tblPr>
      <w:tblGrid>
        <w:gridCol w:w="3249"/>
        <w:gridCol w:w="3249"/>
        <w:gridCol w:w="3249"/>
      </w:tblGrid>
      <w:tr>
        <w:tc>
          <w:tcPr>
            <w:tcW w:type="dxa" w:w="2948"/>
            <w:shd w:val="clear" w:color="auto" w:fill="1F3A68"/>
          </w:tcPr>
          <w:p>
            <w:r>
              <w:rPr>
                <w:color w:val="FFFFFF"/>
              </w:rPr>
            </w:r>
            <w:r>
              <w:rPr>
                <w:b/>
                <w:color w:val="FFFFFF"/>
                <w:sz w:val="20"/>
              </w:rPr>
              <w:t>Milestone</w:t>
            </w:r>
          </w:p>
        </w:tc>
        <w:tc>
          <w:tcPr>
            <w:tcW w:type="dxa" w:w="794"/>
            <w:shd w:val="clear" w:color="auto" w:fill="1F3A68"/>
          </w:tcPr>
          <w:p>
            <w:r>
              <w:rPr>
                <w:color w:val="FFFFFF"/>
              </w:rPr>
            </w:r>
            <w:r>
              <w:rPr>
                <w:b/>
                <w:color w:val="FFFFFF"/>
                <w:sz w:val="20"/>
              </w:rPr>
              <w:t>Luna</w:t>
            </w:r>
          </w:p>
        </w:tc>
        <w:tc>
          <w:tcPr>
            <w:tcW w:type="dxa" w:w="5443"/>
            <w:shd w:val="clear" w:color="auto" w:fill="1F3A68"/>
          </w:tcPr>
          <w:p>
            <w:r>
              <w:rPr>
                <w:color w:val="FFFFFF"/>
              </w:rPr>
            </w:r>
            <w:r>
              <w:rPr>
                <w:b/>
                <w:color w:val="FFFFFF"/>
                <w:sz w:val="20"/>
              </w:rPr>
              <w:t>Criteriu de îndeplinire</w:t>
            </w:r>
          </w:p>
        </w:tc>
      </w:tr>
      <w:tr>
        <w:tc>
          <w:tcPr>
            <w:tcW w:type="dxa" w:w="2948"/>
          </w:tcPr>
          <w:p>
            <w:r/>
            <w:r>
              <w:rPr>
                <w:sz w:val="20"/>
              </w:rPr>
              <w:t>M1 — Proiectare finalizată</w:t>
            </w:r>
          </w:p>
        </w:tc>
        <w:tc>
          <w:tcPr>
            <w:tcW w:type="dxa" w:w="794"/>
          </w:tcPr>
          <w:p>
            <w:r/>
            <w:r>
              <w:rPr>
                <w:sz w:val="20"/>
              </w:rPr>
              <w:t>3</w:t>
            </w:r>
          </w:p>
        </w:tc>
        <w:tc>
          <w:tcPr>
            <w:tcW w:type="dxa" w:w="5443"/>
          </w:tcPr>
          <w:p>
            <w:r/>
            <w:r>
              <w:rPr>
                <w:sz w:val="20"/>
              </w:rPr>
              <w:t>SRS, arhitectură, design system și corpus de validare aprobate</w:t>
            </w:r>
          </w:p>
        </w:tc>
      </w:tr>
      <w:tr>
        <w:tc>
          <w:tcPr>
            <w:tcW w:type="dxa" w:w="2948"/>
          </w:tcPr>
          <w:p>
            <w:r/>
            <w:r>
              <w:rPr>
                <w:sz w:val="20"/>
              </w:rPr>
              <w:t>M2 — Fundația tehnică operațională</w:t>
            </w:r>
          </w:p>
        </w:tc>
        <w:tc>
          <w:tcPr>
            <w:tcW w:type="dxa" w:w="794"/>
          </w:tcPr>
          <w:p>
            <w:r/>
            <w:r>
              <w:rPr>
                <w:sz w:val="20"/>
              </w:rPr>
              <w:t>4</w:t>
            </w:r>
          </w:p>
        </w:tc>
        <w:tc>
          <w:tcPr>
            <w:tcW w:type="dxa" w:w="5443"/>
          </w:tcPr>
          <w:p>
            <w:r/>
            <w:r>
              <w:rPr>
                <w:sz w:val="20"/>
              </w:rPr>
              <w:t>Medii IaC + CI/CD funcționale; release &lt; 30 min</w:t>
            </w:r>
          </w:p>
        </w:tc>
      </w:tr>
      <w:tr>
        <w:tc>
          <w:tcPr>
            <w:tcW w:type="dxa" w:w="2948"/>
          </w:tcPr>
          <w:p>
            <w:r/>
            <w:r>
              <w:rPr>
                <w:sz w:val="20"/>
              </w:rPr>
              <w:t>M3 — Landing page și waitlist live</w:t>
            </w:r>
          </w:p>
        </w:tc>
        <w:tc>
          <w:tcPr>
            <w:tcW w:type="dxa" w:w="794"/>
          </w:tcPr>
          <w:p>
            <w:r/>
            <w:r>
              <w:rPr>
                <w:sz w:val="20"/>
              </w:rPr>
              <w:t>5</w:t>
            </w:r>
          </w:p>
        </w:tc>
        <w:tc>
          <w:tcPr>
            <w:tcW w:type="dxa" w:w="5443"/>
          </w:tcPr>
          <w:p>
            <w:r/>
            <w:r>
              <w:rPr>
                <w:sz w:val="20"/>
              </w:rPr>
              <w:t>Pagina publică în 7 limbi; colectare înscrieri</w:t>
            </w:r>
          </w:p>
        </w:tc>
      </w:tr>
      <w:tr>
        <w:tc>
          <w:tcPr>
            <w:tcW w:type="dxa" w:w="2948"/>
          </w:tcPr>
          <w:p>
            <w:r/>
            <w:r>
              <w:rPr>
                <w:sz w:val="20"/>
              </w:rPr>
              <w:t>M4 — Nucleu web complet</w:t>
            </w:r>
          </w:p>
        </w:tc>
        <w:tc>
          <w:tcPr>
            <w:tcW w:type="dxa" w:w="794"/>
          </w:tcPr>
          <w:p>
            <w:r/>
            <w:r>
              <w:rPr>
                <w:sz w:val="20"/>
              </w:rPr>
              <w:t>9</w:t>
            </w:r>
          </w:p>
        </w:tc>
        <w:tc>
          <w:tcPr>
            <w:tcW w:type="dxa" w:w="5443"/>
          </w:tcPr>
          <w:p>
            <w:r/>
            <w:r>
              <w:rPr>
                <w:sz w:val="20"/>
              </w:rPr>
              <w:t>Înregistrare, autentificare, profiluri, upload, dashboard livrate și testate</w:t>
            </w:r>
          </w:p>
        </w:tc>
      </w:tr>
      <w:tr>
        <w:tc>
          <w:tcPr>
            <w:tcW w:type="dxa" w:w="2948"/>
          </w:tcPr>
          <w:p>
            <w:r/>
            <w:r>
              <w:rPr>
                <w:sz w:val="20"/>
              </w:rPr>
              <w:t>M5 — Motor AI validat</w:t>
            </w:r>
          </w:p>
        </w:tc>
        <w:tc>
          <w:tcPr>
            <w:tcW w:type="dxa" w:w="794"/>
          </w:tcPr>
          <w:p>
            <w:r/>
            <w:r>
              <w:rPr>
                <w:sz w:val="20"/>
              </w:rPr>
              <w:t>11</w:t>
            </w:r>
          </w:p>
        </w:tc>
        <w:tc>
          <w:tcPr>
            <w:tcW w:type="dxa" w:w="5443"/>
          </w:tcPr>
          <w:p>
            <w:r/>
            <w:r>
              <w:rPr>
                <w:sz w:val="20"/>
              </w:rPr>
              <w:t>Completitudine ≥ 95% pe corpus; interpretare în 7 limbi</w:t>
            </w:r>
          </w:p>
        </w:tc>
      </w:tr>
      <w:tr>
        <w:tc>
          <w:tcPr>
            <w:tcW w:type="dxa" w:w="2948"/>
          </w:tcPr>
          <w:p>
            <w:r/>
            <w:r>
              <w:rPr>
                <w:sz w:val="20"/>
              </w:rPr>
              <w:t>M6 — Codificare LOINC validată</w:t>
            </w:r>
          </w:p>
        </w:tc>
        <w:tc>
          <w:tcPr>
            <w:tcW w:type="dxa" w:w="794"/>
          </w:tcPr>
          <w:p>
            <w:r/>
            <w:r>
              <w:rPr>
                <w:sz w:val="20"/>
              </w:rPr>
              <w:t>12</w:t>
            </w:r>
          </w:p>
        </w:tc>
        <w:tc>
          <w:tcPr>
            <w:tcW w:type="dxa" w:w="5443"/>
          </w:tcPr>
          <w:p>
            <w:r/>
            <w:r>
              <w:rPr>
                <w:sz w:val="20"/>
              </w:rPr>
              <w:t>Precizie ≥ 96% pe 10.000 rapoarte; integrare end-to-end</w:t>
            </w:r>
          </w:p>
        </w:tc>
      </w:tr>
      <w:tr>
        <w:tc>
          <w:tcPr>
            <w:tcW w:type="dxa" w:w="2948"/>
          </w:tcPr>
          <w:p>
            <w:r/>
            <w:r>
              <w:rPr>
                <w:sz w:val="20"/>
              </w:rPr>
              <w:t>M7 — MVP beta privat</w:t>
            </w:r>
          </w:p>
        </w:tc>
        <w:tc>
          <w:tcPr>
            <w:tcW w:type="dxa" w:w="794"/>
          </w:tcPr>
          <w:p>
            <w:r/>
            <w:r>
              <w:rPr>
                <w:sz w:val="20"/>
              </w:rPr>
              <w:t>13</w:t>
            </w:r>
          </w:p>
        </w:tc>
        <w:tc>
          <w:tcPr>
            <w:tcW w:type="dxa" w:w="5443"/>
          </w:tcPr>
          <w:p>
            <w:r/>
            <w:r>
              <w:rPr>
                <w:sz w:val="20"/>
              </w:rPr>
              <w:t>Flux complet funcțional pentru utilizatorii din waitlist</w:t>
            </w:r>
          </w:p>
        </w:tc>
      </w:tr>
      <w:tr>
        <w:tc>
          <w:tcPr>
            <w:tcW w:type="dxa" w:w="2948"/>
          </w:tcPr>
          <w:p>
            <w:r/>
            <w:r>
              <w:rPr>
                <w:sz w:val="20"/>
              </w:rPr>
              <w:t>M8 — Modul B2B operațional</w:t>
            </w:r>
          </w:p>
        </w:tc>
        <w:tc>
          <w:tcPr>
            <w:tcW w:type="dxa" w:w="794"/>
          </w:tcPr>
          <w:p>
            <w:r/>
            <w:r>
              <w:rPr>
                <w:sz w:val="20"/>
              </w:rPr>
              <w:t>15</w:t>
            </w:r>
          </w:p>
        </w:tc>
        <w:tc>
          <w:tcPr>
            <w:tcW w:type="dxa" w:w="5443"/>
          </w:tcPr>
          <w:p>
            <w:r/>
            <w:r>
              <w:rPr>
                <w:sz w:val="20"/>
              </w:rPr>
              <w:t>Multi-tenant, batch, dashboard clinică, export FHIR</w:t>
            </w:r>
          </w:p>
        </w:tc>
      </w:tr>
      <w:tr>
        <w:tc>
          <w:tcPr>
            <w:tcW w:type="dxa" w:w="2948"/>
          </w:tcPr>
          <w:p>
            <w:r/>
            <w:r>
              <w:rPr>
                <w:sz w:val="20"/>
              </w:rPr>
              <w:t>M9 — Plăți în producție</w:t>
            </w:r>
          </w:p>
        </w:tc>
        <w:tc>
          <w:tcPr>
            <w:tcW w:type="dxa" w:w="794"/>
          </w:tcPr>
          <w:p>
            <w:r/>
            <w:r>
              <w:rPr>
                <w:sz w:val="20"/>
              </w:rPr>
              <w:t>15</w:t>
            </w:r>
          </w:p>
        </w:tc>
        <w:tc>
          <w:tcPr>
            <w:tcW w:type="dxa" w:w="5443"/>
          </w:tcPr>
          <w:p>
            <w:r/>
            <w:r>
              <w:rPr>
                <w:sz w:val="20"/>
              </w:rPr>
              <w:t>Abonamente recurente active, facturare automată</w:t>
            </w:r>
          </w:p>
        </w:tc>
      </w:tr>
      <w:tr>
        <w:tc>
          <w:tcPr>
            <w:tcW w:type="dxa" w:w="2948"/>
          </w:tcPr>
          <w:p>
            <w:r/>
            <w:r>
              <w:rPr>
                <w:sz w:val="20"/>
              </w:rPr>
              <w:t>M10 — Securitate certificată</w:t>
            </w:r>
          </w:p>
        </w:tc>
        <w:tc>
          <w:tcPr>
            <w:tcW w:type="dxa" w:w="794"/>
          </w:tcPr>
          <w:p>
            <w:r/>
            <w:r>
              <w:rPr>
                <w:sz w:val="20"/>
              </w:rPr>
              <w:t>16</w:t>
            </w:r>
          </w:p>
        </w:tc>
        <w:tc>
          <w:tcPr>
            <w:tcW w:type="dxa" w:w="5443"/>
          </w:tcPr>
          <w:p>
            <w:r/>
            <w:r>
              <w:rPr>
                <w:sz w:val="20"/>
              </w:rPr>
              <w:t>Pen-test remediat; DPIA aprobată; exercițiu DR reușit</w:t>
            </w:r>
          </w:p>
        </w:tc>
      </w:tr>
      <w:tr>
        <w:tc>
          <w:tcPr>
            <w:tcW w:type="dxa" w:w="2948"/>
          </w:tcPr>
          <w:p>
            <w:r/>
            <w:r>
              <w:rPr>
                <w:sz w:val="20"/>
              </w:rPr>
              <w:t>M11 — 30 de limbi active</w:t>
            </w:r>
          </w:p>
        </w:tc>
        <w:tc>
          <w:tcPr>
            <w:tcW w:type="dxa" w:w="794"/>
          </w:tcPr>
          <w:p>
            <w:r/>
            <w:r>
              <w:rPr>
                <w:sz w:val="20"/>
              </w:rPr>
              <w:t>18</w:t>
            </w:r>
          </w:p>
        </w:tc>
        <w:tc>
          <w:tcPr>
            <w:tcW w:type="dxa" w:w="5443"/>
          </w:tcPr>
          <w:p>
            <w:r/>
            <w:r>
              <w:rPr>
                <w:sz w:val="20"/>
              </w:rPr>
              <w:t>Acoperire lingvistică completă pe toate canalele</w:t>
            </w:r>
          </w:p>
        </w:tc>
      </w:tr>
      <w:tr>
        <w:tc>
          <w:tcPr>
            <w:tcW w:type="dxa" w:w="2948"/>
          </w:tcPr>
          <w:p>
            <w:r/>
            <w:r>
              <w:rPr>
                <w:sz w:val="20"/>
              </w:rPr>
              <w:t>M12 — Lansare comercială</w:t>
            </w:r>
          </w:p>
        </w:tc>
        <w:tc>
          <w:tcPr>
            <w:tcW w:type="dxa" w:w="794"/>
          </w:tcPr>
          <w:p>
            <w:r/>
            <w:r>
              <w:rPr>
                <w:sz w:val="20"/>
              </w:rPr>
              <w:t>18</w:t>
            </w:r>
          </w:p>
        </w:tc>
        <w:tc>
          <w:tcPr>
            <w:tcW w:type="dxa" w:w="5443"/>
          </w:tcPr>
          <w:p>
            <w:r/>
            <w:r>
              <w:rPr>
                <w:sz w:val="20"/>
              </w:rPr>
              <w:t>≥ 5.000 utilizatori; ≥ 10 contracte B2B; MRR ≥ 8.000 EUR</w:t>
            </w:r>
          </w:p>
        </w:tc>
      </w:tr>
    </w:tbl>
    <w:p>
      <w:pPr>
        <w:pStyle w:val="Heading2"/>
      </w:pPr>
      <w:r>
        <w:rPr>
          <w:color w:val="1F3A68"/>
        </w:rPr>
        <w:t>C.6.4. Dependințe critice (drum critic)</w:t>
      </w:r>
    </w:p>
    <w:p>
      <w:pPr>
        <w:pStyle w:val="ListNumber"/>
        <w:spacing w:after="40"/>
        <w:jc w:val="both"/>
      </w:pPr>
      <w:r>
        <w:rPr>
          <w:sz w:val="22"/>
        </w:rPr>
        <w:t>E1 (specificații + corpus de validare) condiționează startul efectiv al E4 și E5 — fără corpus nu se poate măsura acuratețea;</w:t>
      </w:r>
    </w:p>
    <w:p>
      <w:pPr>
        <w:pStyle w:val="ListNumber"/>
        <w:spacing w:after="40"/>
        <w:jc w:val="both"/>
      </w:pPr>
      <w:r>
        <w:rPr>
          <w:sz w:val="22"/>
        </w:rPr>
        <w:t>E2 (CI/CD) condiționează ritmul tuturor etapelor de dezvoltare;</w:t>
      </w:r>
    </w:p>
    <w:p>
      <w:pPr>
        <w:pStyle w:val="ListNumber"/>
        <w:spacing w:after="40"/>
        <w:jc w:val="both"/>
      </w:pPr>
      <w:r>
        <w:rPr>
          <w:sz w:val="22"/>
        </w:rPr>
        <w:t>Faza 3.3 (autentificare) condiționează toate funcționalitățile per-utilizator (3.4–3.6, E8, E9);</w:t>
      </w:r>
    </w:p>
    <w:p>
      <w:pPr>
        <w:pStyle w:val="ListNumber"/>
        <w:spacing w:after="40"/>
        <w:jc w:val="both"/>
      </w:pPr>
      <w:r>
        <w:rPr>
          <w:sz w:val="22"/>
        </w:rPr>
        <w:t>E4 (motor AI) și E5 (LOINC) condiționează împreună M7 (MVP): fluxul de valoare nu există fără ambele;</w:t>
      </w:r>
    </w:p>
    <w:p>
      <w:pPr>
        <w:pStyle w:val="ListNumber"/>
        <w:spacing w:after="40"/>
        <w:jc w:val="both"/>
      </w:pPr>
      <w:r>
        <w:rPr>
          <w:sz w:val="22"/>
        </w:rPr>
        <w:t>E10 (securitate) condiționează lansarea comercială M12 — nu se lansează public fără pen-test remediat și DPIA aprobată.</w:t>
      </w:r>
    </w:p>
    <w:p>
      <w:pPr>
        <w:spacing w:after="120"/>
        <w:jc w:val="both"/>
      </w:pPr>
      <w:r>
        <w:rPr>
          <w:b w:val="0"/>
          <w:i w:val="0"/>
          <w:sz w:val="22"/>
        </w:rPr>
        <w:t>Drumul critic estimat: E1 → E2 → E3(3.3) → E4 → E5 → M7 → E10 → M12, cu rezervă totală de 6 săptămâni distribuită pe segmente.</w:t>
      </w:r>
    </w:p>
    <w:p>
      <w:pPr>
        <w:pStyle w:val="Heading2"/>
      </w:pPr>
      <w:r>
        <w:rPr>
          <w:color w:val="1F3A68"/>
        </w:rPr>
        <w:t>C.6.5. Contingență și rezerve temporale</w:t>
      </w:r>
    </w:p>
    <w:p>
      <w:pPr>
        <w:pStyle w:val="ListBullet"/>
        <w:spacing w:after="40"/>
        <w:jc w:val="both"/>
      </w:pPr>
      <w:r>
        <w:rPr>
          <w:sz w:val="22"/>
        </w:rPr>
        <w:t>Rezervă de timp: 6 săptămâni de buffer pe drumul critic (≈ 8% din durată), alocate prioritar etapelor E4–E5 (cel mai ridicat risc tehnologic);</w:t>
      </w:r>
    </w:p>
    <w:p>
      <w:pPr>
        <w:pStyle w:val="ListBullet"/>
        <w:spacing w:after="40"/>
        <w:jc w:val="both"/>
      </w:pPr>
      <w:r>
        <w:rPr>
          <w:sz w:val="22"/>
        </w:rPr>
        <w:t>Strategie de descopere (de-scoping) controlată: în caz de întârziere majoră, extinderea 7→30 limbi (E7) și integrările HIS/LIS (faza 8.4) pot fi glisate post-lansare fără a afecta obiectivele specifice esențiale;</w:t>
      </w:r>
    </w:p>
    <w:p>
      <w:pPr>
        <w:pStyle w:val="ListBullet"/>
        <w:spacing w:after="40"/>
        <w:jc w:val="both"/>
      </w:pPr>
      <w:r>
        <w:rPr>
          <w:sz w:val="22"/>
        </w:rPr>
        <w:t>Puncte de decizie go/no-go la M4, M6 și M10, cu planuri de acțiune predefinite;</w:t>
      </w:r>
    </w:p>
    <w:p>
      <w:pPr>
        <w:pStyle w:val="ListBullet"/>
        <w:spacing w:after="40"/>
        <w:jc w:val="both"/>
      </w:pPr>
      <w:r>
        <w:rPr>
          <w:sz w:val="22"/>
        </w:rPr>
        <w:t>Raportare lunară de progres către finanțator, cu indicatori pe milestone-uri.</w:t>
      </w:r>
    </w:p>
    <w:p>
      <w:pPr>
        <w:pStyle w:val="Heading2"/>
      </w:pPr>
      <w:r>
        <w:rPr>
          <w:color w:val="1F3A68"/>
        </w:rPr>
        <w:t>C.6.6. Planul de activități pe luni</w:t>
      </w:r>
    </w:p>
    <w:tbl>
      <w:tblPr>
        <w:tblStyle w:val="LightGrid-Accent1"/>
        <w:tblW w:type="auto" w:w="0"/>
        <w:tblLook w:firstColumn="1" w:firstRow="1" w:lastColumn="0" w:lastRow="0" w:noHBand="0" w:noVBand="1" w:val="04A0"/>
      </w:tblPr>
      <w:tblGrid>
        <w:gridCol w:w="4873"/>
        <w:gridCol w:w="4873"/>
      </w:tblGrid>
      <w:tr>
        <w:tc>
          <w:tcPr>
            <w:tcW w:type="dxa" w:w="794"/>
            <w:shd w:val="clear" w:color="auto" w:fill="1F3A68"/>
          </w:tcPr>
          <w:p>
            <w:r>
              <w:rPr>
                <w:color w:val="FFFFFF"/>
              </w:rPr>
            </w:r>
            <w:r>
              <w:rPr>
                <w:b/>
                <w:color w:val="FFFFFF"/>
                <w:sz w:val="18"/>
              </w:rPr>
              <w:t>Luna</w:t>
            </w:r>
          </w:p>
        </w:tc>
        <w:tc>
          <w:tcPr>
            <w:tcW w:type="dxa" w:w="8391"/>
            <w:shd w:val="clear" w:color="auto" w:fill="1F3A68"/>
          </w:tcPr>
          <w:p>
            <w:r>
              <w:rPr>
                <w:color w:val="FFFFFF"/>
              </w:rPr>
            </w:r>
            <w:r>
              <w:rPr>
                <w:b/>
                <w:color w:val="FFFFFF"/>
                <w:sz w:val="18"/>
              </w:rPr>
              <w:t>Activități principale</w:t>
            </w:r>
          </w:p>
        </w:tc>
      </w:tr>
      <w:tr>
        <w:tc>
          <w:tcPr>
            <w:tcW w:type="dxa" w:w="794"/>
          </w:tcPr>
          <w:p>
            <w:r/>
            <w:r>
              <w:rPr>
                <w:sz w:val="18"/>
              </w:rPr>
              <w:t>1</w:t>
            </w:r>
          </w:p>
        </w:tc>
        <w:tc>
          <w:tcPr>
            <w:tcW w:type="dxa" w:w="8391"/>
          </w:tcPr>
          <w:p>
            <w:r/>
            <w:r>
              <w:rPr>
                <w:sz w:val="18"/>
              </w:rPr>
              <w:t>Constituirea echipei; analiza cerințelor; startul interviurilor cu medici și clinici; startul colectării corpusului de validare</w:t>
            </w:r>
          </w:p>
        </w:tc>
      </w:tr>
      <w:tr>
        <w:tc>
          <w:tcPr>
            <w:tcW w:type="dxa" w:w="794"/>
          </w:tcPr>
          <w:p>
            <w:r/>
            <w:r>
              <w:rPr>
                <w:sz w:val="18"/>
              </w:rPr>
              <w:t>2</w:t>
            </w:r>
          </w:p>
        </w:tc>
        <w:tc>
          <w:tcPr>
            <w:tcW w:type="dxa" w:w="8391"/>
          </w:tcPr>
          <w:p>
            <w:r/>
            <w:r>
              <w:rPr>
                <w:sz w:val="18"/>
              </w:rPr>
              <w:t>Specificații funcționale (SRS); proiectarea arhitecturii; provizionarea mediilor cloud (IaC)</w:t>
            </w:r>
          </w:p>
        </w:tc>
      </w:tr>
      <w:tr>
        <w:tc>
          <w:tcPr>
            <w:tcW w:type="dxa" w:w="794"/>
          </w:tcPr>
          <w:p>
            <w:r/>
            <w:r>
              <w:rPr>
                <w:sz w:val="18"/>
              </w:rPr>
              <w:t>3</w:t>
            </w:r>
          </w:p>
        </w:tc>
        <w:tc>
          <w:tcPr>
            <w:tcW w:type="dxa" w:w="8391"/>
          </w:tcPr>
          <w:p>
            <w:r/>
            <w:r>
              <w:rPr>
                <w:sz w:val="18"/>
              </w:rPr>
              <w:t>Finalizarea design system-ului și a machetelor UX/UI; schema bazei de date; M1 — proiectare finalizată</w:t>
            </w:r>
          </w:p>
        </w:tc>
      </w:tr>
      <w:tr>
        <w:tc>
          <w:tcPr>
            <w:tcW w:type="dxa" w:w="794"/>
          </w:tcPr>
          <w:p>
            <w:r/>
            <w:r>
              <w:rPr>
                <w:sz w:val="18"/>
              </w:rPr>
              <w:t>4</w:t>
            </w:r>
          </w:p>
        </w:tc>
        <w:tc>
          <w:tcPr>
            <w:tcW w:type="dxa" w:w="8391"/>
          </w:tcPr>
          <w:p>
            <w:r/>
            <w:r>
              <w:rPr>
                <w:sz w:val="18"/>
              </w:rPr>
              <w:t>CI/CD complet (M2); startul dezvoltării nucleului web; corpus de validare finalizat (10.000 documente)</w:t>
            </w:r>
          </w:p>
        </w:tc>
      </w:tr>
      <w:tr>
        <w:tc>
          <w:tcPr>
            <w:tcW w:type="dxa" w:w="794"/>
          </w:tcPr>
          <w:p>
            <w:r/>
            <w:r>
              <w:rPr>
                <w:sz w:val="18"/>
              </w:rPr>
              <w:t>5</w:t>
            </w:r>
          </w:p>
        </w:tc>
        <w:tc>
          <w:tcPr>
            <w:tcW w:type="dxa" w:w="8391"/>
          </w:tcPr>
          <w:p>
            <w:r/>
            <w:r>
              <w:rPr>
                <w:sz w:val="18"/>
              </w:rPr>
              <w:t>Landing page și waitlist live în 7 limbi (M3); startul integrării modelului LLM multimodal</w:t>
            </w:r>
          </w:p>
        </w:tc>
      </w:tr>
      <w:tr>
        <w:tc>
          <w:tcPr>
            <w:tcW w:type="dxa" w:w="794"/>
          </w:tcPr>
          <w:p>
            <w:r/>
            <w:r>
              <w:rPr>
                <w:sz w:val="18"/>
              </w:rPr>
              <w:t>6</w:t>
            </w:r>
          </w:p>
        </w:tc>
        <w:tc>
          <w:tcPr>
            <w:tcW w:type="dxa" w:w="8391"/>
          </w:tcPr>
          <w:p>
            <w:r/>
            <w:r>
              <w:rPr>
                <w:sz w:val="18"/>
              </w:rPr>
              <w:t>Modulele de înregistrare și autentificare; startul microserviciului LOINC (import nomenclator, index semantic)</w:t>
            </w:r>
          </w:p>
        </w:tc>
      </w:tr>
      <w:tr>
        <w:tc>
          <w:tcPr>
            <w:tcW w:type="dxa" w:w="794"/>
          </w:tcPr>
          <w:p>
            <w:r/>
            <w:r>
              <w:rPr>
                <w:sz w:val="18"/>
              </w:rPr>
              <w:t>7</w:t>
            </w:r>
          </w:p>
        </w:tc>
        <w:tc>
          <w:tcPr>
            <w:tcW w:type="dxa" w:w="8391"/>
          </w:tcPr>
          <w:p>
            <w:r/>
            <w:r>
              <w:rPr>
                <w:sz w:val="18"/>
              </w:rPr>
              <w:t>Managementul profilurilor; iterații pe promptul ierarhic și schema de răspuns strictă</w:t>
            </w:r>
          </w:p>
        </w:tc>
      </w:tr>
      <w:tr>
        <w:tc>
          <w:tcPr>
            <w:tcW w:type="dxa" w:w="794"/>
          </w:tcPr>
          <w:p>
            <w:r/>
            <w:r>
              <w:rPr>
                <w:sz w:val="18"/>
              </w:rPr>
              <w:t>8</w:t>
            </w:r>
          </w:p>
        </w:tc>
        <w:tc>
          <w:tcPr>
            <w:tcW w:type="dxa" w:w="8391"/>
          </w:tcPr>
          <w:p>
            <w:r/>
            <w:r>
              <w:rPr>
                <w:sz w:val="18"/>
              </w:rPr>
              <w:t>Modulul de upload cu deduplicare; pipeline-ul hibrid LOINC (straturile semantic + fuzzy); startul generatorului PDF și al e-mailurilor</w:t>
            </w:r>
          </w:p>
        </w:tc>
      </w:tr>
      <w:tr>
        <w:tc>
          <w:tcPr>
            <w:tcW w:type="dxa" w:w="794"/>
          </w:tcPr>
          <w:p>
            <w:r/>
            <w:r>
              <w:rPr>
                <w:sz w:val="18"/>
              </w:rPr>
              <w:t>9</w:t>
            </w:r>
          </w:p>
        </w:tc>
        <w:tc>
          <w:tcPr>
            <w:tcW w:type="dxa" w:w="8391"/>
          </w:tcPr>
          <w:p>
            <w:r/>
            <w:r>
              <w:rPr>
                <w:sz w:val="18"/>
              </w:rPr>
              <w:t>Dashboard-ul utilizatorului și istoricul (M4); validatorul clinic determinist</w:t>
            </w:r>
          </w:p>
        </w:tc>
      </w:tr>
      <w:tr>
        <w:tc>
          <w:tcPr>
            <w:tcW w:type="dxa" w:w="794"/>
          </w:tcPr>
          <w:p>
            <w:r/>
            <w:r>
              <w:rPr>
                <w:sz w:val="18"/>
              </w:rPr>
              <w:t>10</w:t>
            </w:r>
          </w:p>
        </w:tc>
        <w:tc>
          <w:tcPr>
            <w:tcW w:type="dxa" w:w="8391"/>
          </w:tcPr>
          <w:p>
            <w:r/>
            <w:r>
              <w:rPr>
                <w:sz w:val="18"/>
              </w:rPr>
              <w:t>Auditorul de completitudine; stratul de reguli contextuale și corecția unit-aware; startul modulului B2B (multi-tenant)</w:t>
            </w:r>
          </w:p>
        </w:tc>
      </w:tr>
      <w:tr>
        <w:tc>
          <w:tcPr>
            <w:tcW w:type="dxa" w:w="794"/>
          </w:tcPr>
          <w:p>
            <w:r/>
            <w:r>
              <w:rPr>
                <w:sz w:val="18"/>
              </w:rPr>
              <w:t>11</w:t>
            </w:r>
          </w:p>
        </w:tc>
        <w:tc>
          <w:tcPr>
            <w:tcW w:type="dxa" w:w="8391"/>
          </w:tcPr>
          <w:p>
            <w:r/>
            <w:r>
              <w:rPr>
                <w:sz w:val="18"/>
              </w:rPr>
              <w:t>Interpretarea narativă în 7 limbi validată medical (M5); startul sistemului de credite și abonamente</w:t>
            </w:r>
          </w:p>
        </w:tc>
      </w:tr>
      <w:tr>
        <w:tc>
          <w:tcPr>
            <w:tcW w:type="dxa" w:w="794"/>
          </w:tcPr>
          <w:p>
            <w:r/>
            <w:r>
              <w:rPr>
                <w:sz w:val="18"/>
              </w:rPr>
              <w:t>12</w:t>
            </w:r>
          </w:p>
        </w:tc>
        <w:tc>
          <w:tcPr>
            <w:tcW w:type="dxa" w:w="8391"/>
          </w:tcPr>
          <w:p>
            <w:r/>
            <w:r>
              <w:rPr>
                <w:sz w:val="18"/>
              </w:rPr>
              <w:t>Calibrarea finală LOINC pe corpus — precizie ≥ 96% (M6); export FHIR; startul auditului de securitate</w:t>
            </w:r>
          </w:p>
        </w:tc>
      </w:tr>
      <w:tr>
        <w:tc>
          <w:tcPr>
            <w:tcW w:type="dxa" w:w="794"/>
          </w:tcPr>
          <w:p>
            <w:r/>
            <w:r>
              <w:rPr>
                <w:sz w:val="18"/>
              </w:rPr>
              <w:t>13</w:t>
            </w:r>
          </w:p>
        </w:tc>
        <w:tc>
          <w:tcPr>
            <w:tcW w:type="dxa" w:w="8391"/>
          </w:tcPr>
          <w:p>
            <w:r/>
            <w:r>
              <w:rPr>
                <w:sz w:val="18"/>
              </w:rPr>
              <w:t>MVP beta privat pentru waitlist (M7); procesarea batch B2B; campanii pre-lansare</w:t>
            </w:r>
          </w:p>
        </w:tc>
      </w:tr>
      <w:tr>
        <w:tc>
          <w:tcPr>
            <w:tcW w:type="dxa" w:w="794"/>
          </w:tcPr>
          <w:p>
            <w:r/>
            <w:r>
              <w:rPr>
                <w:sz w:val="18"/>
              </w:rPr>
              <w:t>14</w:t>
            </w:r>
          </w:p>
        </w:tc>
        <w:tc>
          <w:tcPr>
            <w:tcW w:type="dxa" w:w="8391"/>
          </w:tcPr>
          <w:p>
            <w:r/>
            <w:r>
              <w:rPr>
                <w:sz w:val="18"/>
              </w:rPr>
              <w:t>Dashboard clinică și rapoarte comparative; extinderea localizării către 30 de limbi; startul programului pilot cu 5 clinici</w:t>
            </w:r>
          </w:p>
        </w:tc>
      </w:tr>
      <w:tr>
        <w:tc>
          <w:tcPr>
            <w:tcW w:type="dxa" w:w="794"/>
          </w:tcPr>
          <w:p>
            <w:r/>
            <w:r>
              <w:rPr>
                <w:sz w:val="18"/>
              </w:rPr>
              <w:t>15</w:t>
            </w:r>
          </w:p>
        </w:tc>
        <w:tc>
          <w:tcPr>
            <w:tcW w:type="dxa" w:w="8391"/>
          </w:tcPr>
          <w:p>
            <w:r/>
            <w:r>
              <w:rPr>
                <w:sz w:val="18"/>
              </w:rPr>
              <w:t>Integrarea gateway-ului de plăți în producție (M9); API-ul B2B public; modulul B2B complet (M8)</w:t>
            </w:r>
          </w:p>
        </w:tc>
      </w:tr>
      <w:tr>
        <w:tc>
          <w:tcPr>
            <w:tcW w:type="dxa" w:w="794"/>
          </w:tcPr>
          <w:p>
            <w:r/>
            <w:r>
              <w:rPr>
                <w:sz w:val="18"/>
              </w:rPr>
              <w:t>16</w:t>
            </w:r>
          </w:p>
        </w:tc>
        <w:tc>
          <w:tcPr>
            <w:tcW w:type="dxa" w:w="8391"/>
          </w:tcPr>
          <w:p>
            <w:r/>
            <w:r>
              <w:rPr>
                <w:sz w:val="18"/>
              </w:rPr>
              <w:t>Remedierea constatărilor pen-test; DPIA aprobată; exercițiu DR; teste de performanță (M10)</w:t>
            </w:r>
          </w:p>
        </w:tc>
      </w:tr>
      <w:tr>
        <w:tc>
          <w:tcPr>
            <w:tcW w:type="dxa" w:w="794"/>
          </w:tcPr>
          <w:p>
            <w:r/>
            <w:r>
              <w:rPr>
                <w:sz w:val="18"/>
              </w:rPr>
              <w:t>17</w:t>
            </w:r>
          </w:p>
        </w:tc>
        <w:tc>
          <w:tcPr>
            <w:tcW w:type="dxa" w:w="8391"/>
          </w:tcPr>
          <w:p>
            <w:r/>
            <w:r>
              <w:rPr>
                <w:sz w:val="18"/>
              </w:rPr>
              <w:t>Iterații pe feedback-ul pilotului; PR și studiu național; pregătirea lansării comerciale</w:t>
            </w:r>
          </w:p>
        </w:tc>
      </w:tr>
      <w:tr>
        <w:tc>
          <w:tcPr>
            <w:tcW w:type="dxa" w:w="794"/>
          </w:tcPr>
          <w:p>
            <w:r/>
            <w:r>
              <w:rPr>
                <w:sz w:val="18"/>
              </w:rPr>
              <w:t>18</w:t>
            </w:r>
          </w:p>
        </w:tc>
        <w:tc>
          <w:tcPr>
            <w:tcW w:type="dxa" w:w="8391"/>
          </w:tcPr>
          <w:p>
            <w:r/>
            <w:r>
              <w:rPr>
                <w:sz w:val="18"/>
              </w:rPr>
              <w:t>30 de limbi active (M11); lansarea comercială B2C + B2B (M12); raportul final al proiectului</w:t>
            </w:r>
          </w:p>
        </w:tc>
      </w:tr>
    </w:tbl>
    <w:p>
      <w:r>
        <w:br w:type="page"/>
      </w:r>
    </w:p>
    <w:p>
      <w:pPr>
        <w:pStyle w:val="Heading1"/>
      </w:pPr>
      <w:r>
        <w:rPr>
          <w:color w:val="1F3A68"/>
        </w:rPr>
        <w:t>C.7. Strategia de marketing și de comercializare</w:t>
      </w:r>
    </w:p>
    <w:p>
      <w:pPr>
        <w:pStyle w:val="Heading2"/>
      </w:pPr>
      <w:r>
        <w:rPr>
          <w:color w:val="1F3A68"/>
        </w:rPr>
        <w:t>C.7.1. Analiza pieței și a tendințelor</w:t>
      </w:r>
    </w:p>
    <w:p>
      <w:pPr>
        <w:spacing w:after="120"/>
        <w:jc w:val="both"/>
      </w:pPr>
      <w:r>
        <w:rPr>
          <w:b w:val="0"/>
          <w:i w:val="0"/>
          <w:sz w:val="22"/>
        </w:rPr>
        <w:t>Piața globală de sănătate digitală depășește 300 miliarde USD, cu segmentul AI-în-sănătate în creștere cu peste 35% anual. Tendințe relevante pentru poziționarea produsului:</w:t>
      </w:r>
    </w:p>
    <w:p>
      <w:pPr>
        <w:pStyle w:val="ListBullet"/>
        <w:spacing w:after="40"/>
        <w:jc w:val="both"/>
      </w:pPr>
      <w:r>
        <w:rPr>
          <w:sz w:val="22"/>
        </w:rPr>
        <w:t>consumerizarea sănătății: pacientul devine cumpărător direct de servicii digitale de sănătate (abonamente wellness, telemedicină);</w:t>
      </w:r>
    </w:p>
    <w:p>
      <w:pPr>
        <w:pStyle w:val="ListBullet"/>
        <w:spacing w:after="40"/>
        <w:jc w:val="both"/>
      </w:pPr>
      <w:r>
        <w:rPr>
          <w:sz w:val="22"/>
        </w:rPr>
        <w:t>presiunea reglementară pro-interoperabilitate (EHDS, FHIR) transformă codificarea LOINC dintr-un „nice-to-have” într-o obligație pentru furnizorii medicali — vânt din spate pentru oferta B2B;</w:t>
      </w:r>
    </w:p>
    <w:p>
      <w:pPr>
        <w:pStyle w:val="ListBullet"/>
        <w:spacing w:after="40"/>
        <w:jc w:val="both"/>
      </w:pPr>
      <w:r>
        <w:rPr>
          <w:sz w:val="22"/>
        </w:rPr>
        <w:t>încrederea în AI pentru informare medicală crește, dar publicul cere surse verificabile și garanții — poziționarea „AI verificat algoritmic, fără diagnostice” răspunde exact acestei cereri;</w:t>
      </w:r>
    </w:p>
    <w:p>
      <w:pPr>
        <w:pStyle w:val="ListBullet"/>
        <w:spacing w:after="40"/>
        <w:jc w:val="both"/>
      </w:pPr>
      <w:r>
        <w:rPr>
          <w:sz w:val="22"/>
        </w:rPr>
        <w:t>piața românească e-health este în fază incipientă, fără lider stabilit pe interpretarea analizelor — fereastră de oportunitate de tip first-mover.</w:t>
      </w:r>
    </w:p>
    <w:p>
      <w:pPr>
        <w:pStyle w:val="Heading2"/>
      </w:pPr>
      <w:r>
        <w:rPr>
          <w:color w:val="1F3A68"/>
        </w:rPr>
        <w:t>C.7.2. Poziționare și diferențiere strategică</w:t>
      </w:r>
    </w:p>
    <w:p>
      <w:pPr>
        <w:spacing w:after="120"/>
        <w:jc w:val="both"/>
      </w:pPr>
      <w:r>
        <w:rPr>
          <w:b w:val="0"/>
          <w:i w:val="0"/>
          <w:sz w:val="22"/>
        </w:rPr>
        <w:t>Poziționare: „Analizele tale, explicate pe limba ta” — singura platformă care citește orice buletin PDF, îl codifică la standard internațional și îl explică empatic, în 30 de limbi, cu verificare algoritmică a fiecărui status. Diferențiere susținută de barierele tehnologice construite în proiect (pipeline hibrid LOINC, validare deterministă, context ierarhic) — greu de replicat rapid de competitori.</w:t>
      </w:r>
    </w:p>
    <w:p>
      <w:pPr>
        <w:pStyle w:val="Heading2"/>
      </w:pPr>
      <w:r>
        <w:rPr>
          <w:color w:val="1F3A68"/>
        </w:rPr>
        <w:t>C.7.3. Obiective de marketing (SMART)</w:t>
      </w:r>
    </w:p>
    <w:tbl>
      <w:tblPr>
        <w:tblStyle w:val="LightGrid-Accent1"/>
        <w:tblW w:type="auto" w:w="0"/>
        <w:tblLook w:firstColumn="1" w:firstRow="1" w:lastColumn="0" w:lastRow="0" w:noHBand="0" w:noVBand="1" w:val="04A0"/>
      </w:tblPr>
      <w:tblGrid>
        <w:gridCol w:w="3249"/>
        <w:gridCol w:w="3249"/>
        <w:gridCol w:w="3249"/>
      </w:tblGrid>
      <w:tr>
        <w:tc>
          <w:tcPr>
            <w:tcW w:type="dxa" w:w="2948"/>
            <w:shd w:val="clear" w:color="auto" w:fill="1F3A68"/>
          </w:tcPr>
          <w:p>
            <w:r>
              <w:rPr>
                <w:color w:val="FFFFFF"/>
              </w:rPr>
            </w:r>
            <w:r>
              <w:rPr>
                <w:b/>
                <w:color w:val="FFFFFF"/>
                <w:sz w:val="20"/>
              </w:rPr>
              <w:t>Obiectiv</w:t>
            </w:r>
          </w:p>
        </w:tc>
        <w:tc>
          <w:tcPr>
            <w:tcW w:type="dxa" w:w="4535"/>
            <w:shd w:val="clear" w:color="auto" w:fill="1F3A68"/>
          </w:tcPr>
          <w:p>
            <w:r>
              <w:rPr>
                <w:color w:val="FFFFFF"/>
              </w:rPr>
            </w:r>
            <w:r>
              <w:rPr>
                <w:b/>
                <w:color w:val="FFFFFF"/>
                <w:sz w:val="20"/>
              </w:rPr>
              <w:t>Indicator</w:t>
            </w:r>
          </w:p>
        </w:tc>
        <w:tc>
          <w:tcPr>
            <w:tcW w:type="dxa" w:w="1701"/>
            <w:shd w:val="clear" w:color="auto" w:fill="1F3A68"/>
          </w:tcPr>
          <w:p>
            <w:r>
              <w:rPr>
                <w:color w:val="FFFFFF"/>
              </w:rPr>
            </w:r>
            <w:r>
              <w:rPr>
                <w:b/>
                <w:color w:val="FFFFFF"/>
                <w:sz w:val="20"/>
              </w:rPr>
              <w:t>Termen</w:t>
            </w:r>
          </w:p>
        </w:tc>
      </w:tr>
      <w:tr>
        <w:tc>
          <w:tcPr>
            <w:tcW w:type="dxa" w:w="2948"/>
          </w:tcPr>
          <w:p>
            <w:r/>
            <w:r>
              <w:rPr>
                <w:sz w:val="20"/>
              </w:rPr>
              <w:t>Notorietate pre-lansare</w:t>
            </w:r>
          </w:p>
        </w:tc>
        <w:tc>
          <w:tcPr>
            <w:tcW w:type="dxa" w:w="4535"/>
          </w:tcPr>
          <w:p>
            <w:r/>
            <w:r>
              <w:rPr>
                <w:sz w:val="20"/>
              </w:rPr>
              <w:t>≥ 3.000 înscrieri waitlist; ≥ 500.000 afișări campanii</w:t>
            </w:r>
          </w:p>
        </w:tc>
        <w:tc>
          <w:tcPr>
            <w:tcW w:type="dxa" w:w="1701"/>
          </w:tcPr>
          <w:p>
            <w:r/>
            <w:r>
              <w:rPr>
                <w:sz w:val="20"/>
              </w:rPr>
              <w:t>Luna 13</w:t>
            </w:r>
          </w:p>
        </w:tc>
      </w:tr>
      <w:tr>
        <w:tc>
          <w:tcPr>
            <w:tcW w:type="dxa" w:w="2948"/>
          </w:tcPr>
          <w:p>
            <w:r/>
            <w:r>
              <w:rPr>
                <w:sz w:val="20"/>
              </w:rPr>
              <w:t>Adopție B2C la lansare</w:t>
            </w:r>
          </w:p>
        </w:tc>
        <w:tc>
          <w:tcPr>
            <w:tcW w:type="dxa" w:w="4535"/>
          </w:tcPr>
          <w:p>
            <w:r/>
            <w:r>
              <w:rPr>
                <w:sz w:val="20"/>
              </w:rPr>
              <w:t>≥ 5.000 utilizatori înregistrați; CAC ≤ 6 EUR</w:t>
            </w:r>
          </w:p>
        </w:tc>
        <w:tc>
          <w:tcPr>
            <w:tcW w:type="dxa" w:w="1701"/>
          </w:tcPr>
          <w:p>
            <w:r/>
            <w:r>
              <w:rPr>
                <w:sz w:val="20"/>
              </w:rPr>
              <w:t>Luna 18</w:t>
            </w:r>
          </w:p>
        </w:tc>
      </w:tr>
      <w:tr>
        <w:tc>
          <w:tcPr>
            <w:tcW w:type="dxa" w:w="2948"/>
          </w:tcPr>
          <w:p>
            <w:r/>
            <w:r>
              <w:rPr>
                <w:sz w:val="20"/>
              </w:rPr>
              <w:t>Conversie premium</w:t>
            </w:r>
          </w:p>
        </w:tc>
        <w:tc>
          <w:tcPr>
            <w:tcW w:type="dxa" w:w="4535"/>
          </w:tcPr>
          <w:p>
            <w:r/>
            <w:r>
              <w:rPr>
                <w:sz w:val="20"/>
              </w:rPr>
              <w:t>≥ 4% din utilizatorii activi</w:t>
            </w:r>
          </w:p>
        </w:tc>
        <w:tc>
          <w:tcPr>
            <w:tcW w:type="dxa" w:w="1701"/>
          </w:tcPr>
          <w:p>
            <w:r/>
            <w:r>
              <w:rPr>
                <w:sz w:val="20"/>
              </w:rPr>
              <w:t>Luna 18 + 3</w:t>
            </w:r>
          </w:p>
        </w:tc>
      </w:tr>
      <w:tr>
        <w:tc>
          <w:tcPr>
            <w:tcW w:type="dxa" w:w="2948"/>
          </w:tcPr>
          <w:p>
            <w:r/>
            <w:r>
              <w:rPr>
                <w:sz w:val="20"/>
              </w:rPr>
              <w:t>Portofoliu B2B</w:t>
            </w:r>
          </w:p>
        </w:tc>
        <w:tc>
          <w:tcPr>
            <w:tcW w:type="dxa" w:w="4535"/>
          </w:tcPr>
          <w:p>
            <w:r/>
            <w:r>
              <w:rPr>
                <w:sz w:val="20"/>
              </w:rPr>
              <w:t>≥ 10 contracte semnate; pipeline ≥ 60 clinici calificate</w:t>
            </w:r>
          </w:p>
        </w:tc>
        <w:tc>
          <w:tcPr>
            <w:tcW w:type="dxa" w:w="1701"/>
          </w:tcPr>
          <w:p>
            <w:r/>
            <w:r>
              <w:rPr>
                <w:sz w:val="20"/>
              </w:rPr>
              <w:t>Luna 18</w:t>
            </w:r>
          </w:p>
        </w:tc>
      </w:tr>
      <w:tr>
        <w:tc>
          <w:tcPr>
            <w:tcW w:type="dxa" w:w="2948"/>
          </w:tcPr>
          <w:p>
            <w:r/>
            <w:r>
              <w:rPr>
                <w:sz w:val="20"/>
              </w:rPr>
              <w:t>Venit recurent</w:t>
            </w:r>
          </w:p>
        </w:tc>
        <w:tc>
          <w:tcPr>
            <w:tcW w:type="dxa" w:w="4535"/>
          </w:tcPr>
          <w:p>
            <w:r/>
            <w:r>
              <w:rPr>
                <w:sz w:val="20"/>
              </w:rPr>
              <w:t>MRR ≥ 8.000 EUR la lansare; ≥ 25.000 EUR la 6 luni post-lansare</w:t>
            </w:r>
          </w:p>
        </w:tc>
        <w:tc>
          <w:tcPr>
            <w:tcW w:type="dxa" w:w="1701"/>
          </w:tcPr>
          <w:p>
            <w:r/>
            <w:r>
              <w:rPr>
                <w:sz w:val="20"/>
              </w:rPr>
              <w:t>Luna 18 / +6</w:t>
            </w:r>
          </w:p>
        </w:tc>
      </w:tr>
      <w:tr>
        <w:tc>
          <w:tcPr>
            <w:tcW w:type="dxa" w:w="2948"/>
          </w:tcPr>
          <w:p>
            <w:r/>
            <w:r>
              <w:rPr>
                <w:sz w:val="20"/>
              </w:rPr>
              <w:t>Prezență UE</w:t>
            </w:r>
          </w:p>
        </w:tc>
        <w:tc>
          <w:tcPr>
            <w:tcW w:type="dxa" w:w="4535"/>
          </w:tcPr>
          <w:p>
            <w:r/>
            <w:r>
              <w:rPr>
                <w:sz w:val="20"/>
              </w:rPr>
              <w:t>Primele vânzări în ≥ 2 piețe externe</w:t>
            </w:r>
          </w:p>
        </w:tc>
        <w:tc>
          <w:tcPr>
            <w:tcW w:type="dxa" w:w="1701"/>
          </w:tcPr>
          <w:p>
            <w:r/>
            <w:r>
              <w:rPr>
                <w:sz w:val="20"/>
              </w:rPr>
              <w:t>Luna 18 + 6</w:t>
            </w:r>
          </w:p>
        </w:tc>
      </w:tr>
    </w:tbl>
    <w:p>
      <w:pPr>
        <w:pStyle w:val="Heading2"/>
      </w:pPr>
      <w:r>
        <w:rPr>
          <w:color w:val="1F3A68"/>
        </w:rPr>
        <w:t>C.7.4. Mixul de marketing</w:t>
      </w:r>
    </w:p>
    <w:p>
      <w:pPr>
        <w:spacing w:after="120"/>
        <w:jc w:val="both"/>
      </w:pPr>
      <w:r>
        <w:rPr>
          <w:b/>
          <w:i w:val="0"/>
          <w:sz w:val="22"/>
        </w:rPr>
        <w:t>Produs:</w:t>
      </w:r>
    </w:p>
    <w:p>
      <w:pPr>
        <w:spacing w:after="120"/>
        <w:jc w:val="both"/>
      </w:pPr>
      <w:r>
        <w:rPr>
          <w:b w:val="0"/>
          <w:i w:val="0"/>
          <w:sz w:val="22"/>
        </w:rPr>
        <w:t>Freemium B2C cu upgrade natural către premium (istoric, familie, evoluție grafică); B2B pe trei tiere + enterprise on-premise. Produsul însuși este canal de marketing: fiecare raport PDF premium poartă branding și cod de recomandare.</w:t>
      </w:r>
    </w:p>
    <w:p>
      <w:pPr>
        <w:spacing w:after="120"/>
        <w:jc w:val="both"/>
      </w:pPr>
      <w:r>
        <w:rPr>
          <w:b/>
          <w:i w:val="0"/>
          <w:sz w:val="22"/>
        </w:rPr>
        <w:t>Preț:</w:t>
      </w:r>
    </w:p>
    <w:p>
      <w:pPr>
        <w:spacing w:after="120"/>
        <w:jc w:val="both"/>
      </w:pPr>
      <w:r>
        <w:rPr>
          <w:b w:val="0"/>
          <w:i w:val="0"/>
          <w:sz w:val="22"/>
        </w:rPr>
        <w:t>B2C: 0 EUR (freemium, credite limitate) / 4,99 EUR pe lună premium. B2B: 199 / 499 / 999–2.499 EUR pe lună în funcție de volum și module; enterprise on-premise 150.000–500.000 EUR. Prețuri validate în faza de cercetare (C.3.3), sub pragurile psihologice identificate.</w:t>
      </w:r>
    </w:p>
    <w:p>
      <w:pPr>
        <w:spacing w:after="120"/>
        <w:jc w:val="both"/>
      </w:pPr>
      <w:r>
        <w:rPr>
          <w:b/>
          <w:i w:val="0"/>
          <w:sz w:val="22"/>
        </w:rPr>
        <w:t>Plasare (canale):</w:t>
      </w:r>
    </w:p>
    <w:p>
      <w:pPr>
        <w:pStyle w:val="ListBullet"/>
        <w:spacing w:after="40"/>
        <w:jc w:val="both"/>
      </w:pPr>
      <w:r>
        <w:rPr>
          <w:sz w:val="22"/>
        </w:rPr>
        <w:t>vânzare directă online (self-service) pentru B2C și tierele B2B mici — onboarding &lt; 1 zi;</w:t>
      </w:r>
    </w:p>
    <w:p>
      <w:pPr>
        <w:pStyle w:val="ListBullet"/>
        <w:spacing w:after="40"/>
        <w:jc w:val="both"/>
      </w:pPr>
      <w:r>
        <w:rPr>
          <w:sz w:val="22"/>
        </w:rPr>
        <w:t>echipă de vânzare consultativă pentru clinici medii/mari și enterprise;</w:t>
      </w:r>
    </w:p>
    <w:p>
      <w:pPr>
        <w:pStyle w:val="ListBullet"/>
        <w:spacing w:after="40"/>
        <w:jc w:val="both"/>
      </w:pPr>
      <w:r>
        <w:rPr>
          <w:sz w:val="22"/>
        </w:rPr>
        <w:t>parteneriate cu laboratoare și rețele de clinici (co-branding, revenue share);</w:t>
      </w:r>
    </w:p>
    <w:p>
      <w:pPr>
        <w:pStyle w:val="ListBullet"/>
        <w:spacing w:after="40"/>
        <w:jc w:val="both"/>
      </w:pPr>
      <w:r>
        <w:rPr>
          <w:sz w:val="22"/>
        </w:rPr>
        <w:t>programe de afiliere cu influenceri medicali și platforme de telemedicină.</w:t>
      </w:r>
    </w:p>
    <w:p>
      <w:pPr>
        <w:spacing w:after="120"/>
        <w:jc w:val="both"/>
      </w:pPr>
      <w:r>
        <w:rPr>
          <w:b/>
          <w:i w:val="0"/>
          <w:sz w:val="22"/>
        </w:rPr>
        <w:t>Promovare:</w:t>
      </w:r>
    </w:p>
    <w:p>
      <w:pPr>
        <w:pStyle w:val="ListBullet"/>
        <w:spacing w:after="40"/>
        <w:jc w:val="both"/>
      </w:pPr>
      <w:r>
        <w:rPr>
          <w:sz w:val="22"/>
        </w:rPr>
        <w:t>SEO și marketing de conținut medical verificat (articole per analit, în 7→30 limbi) — activ organic durabil, construit din luna 5;</w:t>
      </w:r>
    </w:p>
    <w:p>
      <w:pPr>
        <w:pStyle w:val="ListBullet"/>
        <w:spacing w:after="40"/>
        <w:jc w:val="both"/>
      </w:pPr>
      <w:r>
        <w:rPr>
          <w:sz w:val="22"/>
        </w:rPr>
        <w:t>campanii plătite (căutare + social) concentrate pe momente de intenție („ce înseamnă TSH mărit”);</w:t>
      </w:r>
    </w:p>
    <w:p>
      <w:pPr>
        <w:pStyle w:val="ListBullet"/>
        <w:spacing w:after="40"/>
        <w:jc w:val="both"/>
      </w:pPr>
      <w:r>
        <w:rPr>
          <w:sz w:val="22"/>
        </w:rPr>
        <w:t>campanii B2B pe canale profesionale (LinkedIn, conferințe medicale, asociații de clinici);</w:t>
      </w:r>
    </w:p>
    <w:p>
      <w:pPr>
        <w:pStyle w:val="ListBullet"/>
        <w:spacing w:after="40"/>
        <w:jc w:val="both"/>
      </w:pPr>
      <w:r>
        <w:rPr>
          <w:sz w:val="22"/>
        </w:rPr>
        <w:t>PR de lansare: studiu național despre înțelegerea analizelor (datele din cercetarea C.3.3), cu potențial media ridicat;</w:t>
      </w:r>
    </w:p>
    <w:p>
      <w:pPr>
        <w:pStyle w:val="ListBullet"/>
        <w:spacing w:after="40"/>
        <w:jc w:val="both"/>
      </w:pPr>
      <w:r>
        <w:rPr>
          <w:sz w:val="22"/>
        </w:rPr>
        <w:t>programul de recomandare cu credite bonus — creștere virală controlată.</w:t>
      </w:r>
    </w:p>
    <w:p>
      <w:pPr>
        <w:pStyle w:val="Heading2"/>
      </w:pPr>
      <w:r>
        <w:rPr>
          <w:color w:val="1F3A68"/>
        </w:rPr>
        <w:t>C.7.5. Bugetul de marketing pe durata proiectului</w:t>
      </w:r>
    </w:p>
    <w:tbl>
      <w:tblPr>
        <w:tblStyle w:val="LightGrid-Accent1"/>
        <w:tblW w:type="auto" w:w="0"/>
        <w:tblLook w:firstColumn="1" w:firstRow="1" w:lastColumn="0" w:lastRow="0" w:noHBand="0" w:noVBand="1" w:val="04A0"/>
      </w:tblPr>
      <w:tblGrid>
        <w:gridCol w:w="3249"/>
        <w:gridCol w:w="3249"/>
        <w:gridCol w:w="3249"/>
      </w:tblGrid>
      <w:tr>
        <w:tc>
          <w:tcPr>
            <w:tcW w:type="dxa" w:w="4876"/>
            <w:shd w:val="clear" w:color="auto" w:fill="1F3A68"/>
          </w:tcPr>
          <w:p>
            <w:r>
              <w:rPr>
                <w:color w:val="FFFFFF"/>
              </w:rPr>
            </w:r>
            <w:r>
              <w:rPr>
                <w:b/>
                <w:color w:val="FFFFFF"/>
                <w:sz w:val="20"/>
              </w:rPr>
              <w:t>Categorie</w:t>
            </w:r>
          </w:p>
        </w:tc>
        <w:tc>
          <w:tcPr>
            <w:tcW w:type="dxa" w:w="2268"/>
            <w:shd w:val="clear" w:color="auto" w:fill="1F3A68"/>
          </w:tcPr>
          <w:p>
            <w:r>
              <w:rPr>
                <w:color w:val="FFFFFF"/>
              </w:rPr>
            </w:r>
            <w:r>
              <w:rPr>
                <w:b/>
                <w:color w:val="FFFFFF"/>
                <w:sz w:val="20"/>
              </w:rPr>
              <w:t>Perioada</w:t>
            </w:r>
          </w:p>
        </w:tc>
        <w:tc>
          <w:tcPr>
            <w:tcW w:type="dxa" w:w="2041"/>
            <w:shd w:val="clear" w:color="auto" w:fill="1F3A68"/>
          </w:tcPr>
          <w:p>
            <w:r>
              <w:rPr>
                <w:color w:val="FFFFFF"/>
              </w:rPr>
            </w:r>
            <w:r>
              <w:rPr>
                <w:b/>
                <w:color w:val="FFFFFF"/>
                <w:sz w:val="20"/>
              </w:rPr>
              <w:t>Buget (EUR)</w:t>
            </w:r>
          </w:p>
        </w:tc>
      </w:tr>
      <w:tr>
        <w:tc>
          <w:tcPr>
            <w:tcW w:type="dxa" w:w="4876"/>
          </w:tcPr>
          <w:p>
            <w:r/>
            <w:r>
              <w:rPr>
                <w:sz w:val="20"/>
              </w:rPr>
              <w:t>Cercetare și validare cerere (sondaje, interviuri)</w:t>
            </w:r>
          </w:p>
        </w:tc>
        <w:tc>
          <w:tcPr>
            <w:tcW w:type="dxa" w:w="2268"/>
          </w:tcPr>
          <w:p>
            <w:r/>
            <w:r>
              <w:rPr>
                <w:sz w:val="20"/>
              </w:rPr>
              <w:t>Lunile 1–6</w:t>
            </w:r>
          </w:p>
        </w:tc>
        <w:tc>
          <w:tcPr>
            <w:tcW w:type="dxa" w:w="2041"/>
          </w:tcPr>
          <w:p>
            <w:r/>
            <w:r>
              <w:rPr>
                <w:sz w:val="20"/>
              </w:rPr>
              <w:t>12.000</w:t>
            </w:r>
          </w:p>
        </w:tc>
      </w:tr>
      <w:tr>
        <w:tc>
          <w:tcPr>
            <w:tcW w:type="dxa" w:w="4876"/>
          </w:tcPr>
          <w:p>
            <w:r/>
            <w:r>
              <w:rPr>
                <w:sz w:val="20"/>
              </w:rPr>
              <w:t>Identitate vizuală și materiale</w:t>
            </w:r>
          </w:p>
        </w:tc>
        <w:tc>
          <w:tcPr>
            <w:tcW w:type="dxa" w:w="2268"/>
          </w:tcPr>
          <w:p>
            <w:r/>
            <w:r>
              <w:rPr>
                <w:sz w:val="20"/>
              </w:rPr>
              <w:t>Lunile 2–5</w:t>
            </w:r>
          </w:p>
        </w:tc>
        <w:tc>
          <w:tcPr>
            <w:tcW w:type="dxa" w:w="2041"/>
          </w:tcPr>
          <w:p>
            <w:r/>
            <w:r>
              <w:rPr>
                <w:sz w:val="20"/>
              </w:rPr>
              <w:t>6.000</w:t>
            </w:r>
          </w:p>
        </w:tc>
      </w:tr>
      <w:tr>
        <w:tc>
          <w:tcPr>
            <w:tcW w:type="dxa" w:w="4876"/>
          </w:tcPr>
          <w:p>
            <w:r/>
            <w:r>
              <w:rPr>
                <w:sz w:val="20"/>
              </w:rPr>
              <w:t>Conținut SEO multilingv</w:t>
            </w:r>
          </w:p>
        </w:tc>
        <w:tc>
          <w:tcPr>
            <w:tcW w:type="dxa" w:w="2268"/>
          </w:tcPr>
          <w:p>
            <w:r/>
            <w:r>
              <w:rPr>
                <w:sz w:val="20"/>
              </w:rPr>
              <w:t>Lunile 5–18</w:t>
            </w:r>
          </w:p>
        </w:tc>
        <w:tc>
          <w:tcPr>
            <w:tcW w:type="dxa" w:w="2041"/>
          </w:tcPr>
          <w:p>
            <w:r/>
            <w:r>
              <w:rPr>
                <w:sz w:val="20"/>
              </w:rPr>
              <w:t>18.000</w:t>
            </w:r>
          </w:p>
        </w:tc>
      </w:tr>
      <w:tr>
        <w:tc>
          <w:tcPr>
            <w:tcW w:type="dxa" w:w="4876"/>
          </w:tcPr>
          <w:p>
            <w:r/>
            <w:r>
              <w:rPr>
                <w:sz w:val="20"/>
              </w:rPr>
              <w:t>Campanii plătite pre-lansare (waitlist)</w:t>
            </w:r>
          </w:p>
        </w:tc>
        <w:tc>
          <w:tcPr>
            <w:tcW w:type="dxa" w:w="2268"/>
          </w:tcPr>
          <w:p>
            <w:r/>
            <w:r>
              <w:rPr>
                <w:sz w:val="20"/>
              </w:rPr>
              <w:t>Lunile 10–13</w:t>
            </w:r>
          </w:p>
        </w:tc>
        <w:tc>
          <w:tcPr>
            <w:tcW w:type="dxa" w:w="2041"/>
          </w:tcPr>
          <w:p>
            <w:r/>
            <w:r>
              <w:rPr>
                <w:sz w:val="20"/>
              </w:rPr>
              <w:t>10.000</w:t>
            </w:r>
          </w:p>
        </w:tc>
      </w:tr>
      <w:tr>
        <w:tc>
          <w:tcPr>
            <w:tcW w:type="dxa" w:w="4876"/>
          </w:tcPr>
          <w:p>
            <w:r/>
            <w:r>
              <w:rPr>
                <w:sz w:val="20"/>
              </w:rPr>
              <w:t>Campanii de lansare B2C</w:t>
            </w:r>
          </w:p>
        </w:tc>
        <w:tc>
          <w:tcPr>
            <w:tcW w:type="dxa" w:w="2268"/>
          </w:tcPr>
          <w:p>
            <w:r/>
            <w:r>
              <w:rPr>
                <w:sz w:val="20"/>
              </w:rPr>
              <w:t>Lunile 16–18</w:t>
            </w:r>
          </w:p>
        </w:tc>
        <w:tc>
          <w:tcPr>
            <w:tcW w:type="dxa" w:w="2041"/>
          </w:tcPr>
          <w:p>
            <w:r/>
            <w:r>
              <w:rPr>
                <w:sz w:val="20"/>
              </w:rPr>
              <w:t>22.000</w:t>
            </w:r>
          </w:p>
        </w:tc>
      </w:tr>
      <w:tr>
        <w:tc>
          <w:tcPr>
            <w:tcW w:type="dxa" w:w="4876"/>
          </w:tcPr>
          <w:p>
            <w:r/>
            <w:r>
              <w:rPr>
                <w:sz w:val="20"/>
              </w:rPr>
              <w:t>Marketing și evenimente B2B</w:t>
            </w:r>
          </w:p>
        </w:tc>
        <w:tc>
          <w:tcPr>
            <w:tcW w:type="dxa" w:w="2268"/>
          </w:tcPr>
          <w:p>
            <w:r/>
            <w:r>
              <w:rPr>
                <w:sz w:val="20"/>
              </w:rPr>
              <w:t>Lunile 12–18</w:t>
            </w:r>
          </w:p>
        </w:tc>
        <w:tc>
          <w:tcPr>
            <w:tcW w:type="dxa" w:w="2041"/>
          </w:tcPr>
          <w:p>
            <w:r/>
            <w:r>
              <w:rPr>
                <w:sz w:val="20"/>
              </w:rPr>
              <w:t>14.000</w:t>
            </w:r>
          </w:p>
        </w:tc>
      </w:tr>
      <w:tr>
        <w:tc>
          <w:tcPr>
            <w:tcW w:type="dxa" w:w="4876"/>
          </w:tcPr>
          <w:p>
            <w:r/>
            <w:r>
              <w:rPr>
                <w:sz w:val="20"/>
              </w:rPr>
              <w:t>PR și studiu național</w:t>
            </w:r>
          </w:p>
        </w:tc>
        <w:tc>
          <w:tcPr>
            <w:tcW w:type="dxa" w:w="2268"/>
          </w:tcPr>
          <w:p>
            <w:r/>
            <w:r>
              <w:rPr>
                <w:sz w:val="20"/>
              </w:rPr>
              <w:t>Lunile 15–17</w:t>
            </w:r>
          </w:p>
        </w:tc>
        <w:tc>
          <w:tcPr>
            <w:tcW w:type="dxa" w:w="2041"/>
          </w:tcPr>
          <w:p>
            <w:r/>
            <w:r>
              <w:rPr>
                <w:sz w:val="20"/>
              </w:rPr>
              <w:t>8.000</w:t>
            </w:r>
          </w:p>
        </w:tc>
      </w:tr>
      <w:tr>
        <w:tc>
          <w:tcPr>
            <w:tcW w:type="dxa" w:w="4876"/>
          </w:tcPr>
          <w:p>
            <w:r/>
            <w:r>
              <w:rPr>
                <w:sz w:val="20"/>
              </w:rPr>
              <w:t>TOTAL</w:t>
            </w:r>
          </w:p>
        </w:tc>
        <w:tc>
          <w:tcPr>
            <w:tcW w:type="dxa" w:w="2268"/>
          </w:tcPr>
          <w:p>
            <w:r/>
            <w:r>
              <w:rPr>
                <w:sz w:val="20"/>
              </w:rPr>
            </w:r>
          </w:p>
        </w:tc>
        <w:tc>
          <w:tcPr>
            <w:tcW w:type="dxa" w:w="2041"/>
          </w:tcPr>
          <w:p>
            <w:r/>
            <w:r>
              <w:rPr>
                <w:sz w:val="20"/>
              </w:rPr>
              <w:t>90.000</w:t>
            </w:r>
          </w:p>
        </w:tc>
      </w:tr>
    </w:tbl>
    <w:p>
      <w:pPr>
        <w:pStyle w:val="Heading2"/>
      </w:pPr>
      <w:r>
        <w:rPr>
          <w:color w:val="1F3A68"/>
        </w:rPr>
        <w:t>C.7.6. Pâlnia de conversie și parcursul clientului</w:t>
      </w:r>
    </w:p>
    <w:p>
      <w:pPr>
        <w:spacing w:after="120"/>
        <w:jc w:val="both"/>
      </w:pPr>
      <w:r>
        <w:rPr>
          <w:b/>
          <w:i w:val="0"/>
          <w:sz w:val="22"/>
        </w:rPr>
        <w:t>Parcursul B2C (self-service):</w:t>
      </w:r>
    </w:p>
    <w:p>
      <w:pPr>
        <w:pStyle w:val="ListNumber"/>
        <w:spacing w:after="40"/>
        <w:jc w:val="both"/>
      </w:pPr>
      <w:r>
        <w:rPr>
          <w:sz w:val="22"/>
        </w:rPr>
        <w:t>Descoperire: căutare organică („ce înseamnă…”) sau campanie → articol SEO / landing page; țintă CTR ≥ 3%;</w:t>
      </w:r>
    </w:p>
    <w:p>
      <w:pPr>
        <w:pStyle w:val="ListNumber"/>
        <w:spacing w:after="40"/>
        <w:jc w:val="both"/>
      </w:pPr>
      <w:r>
        <w:rPr>
          <w:sz w:val="22"/>
        </w:rPr>
        <w:t>Activare: înregistrare cu credite gratuite → primul document procesat în &lt; 5 minute de la sosire; țintă activare ≥ 45%;</w:t>
      </w:r>
    </w:p>
    <w:p>
      <w:pPr>
        <w:pStyle w:val="ListNumber"/>
        <w:spacing w:after="40"/>
        <w:jc w:val="both"/>
      </w:pPr>
      <w:r>
        <w:rPr>
          <w:sz w:val="22"/>
        </w:rPr>
        <w:t>Retenție: notificare la epuizarea creditelor, istoric care crește în valoare cu fiecare buletin; țintă revenire la 30 zile ≥ 25%;</w:t>
      </w:r>
    </w:p>
    <w:p>
      <w:pPr>
        <w:pStyle w:val="ListNumber"/>
        <w:spacing w:after="40"/>
        <w:jc w:val="both"/>
      </w:pPr>
      <w:r>
        <w:rPr>
          <w:sz w:val="22"/>
        </w:rPr>
        <w:t>Venit: conversie premium la momente de nevoie reală (al 2-lea profil, evoluție grafică); țintă ≥ 4%;</w:t>
      </w:r>
    </w:p>
    <w:p>
      <w:pPr>
        <w:pStyle w:val="ListNumber"/>
        <w:spacing w:after="40"/>
        <w:jc w:val="both"/>
      </w:pPr>
      <w:r>
        <w:rPr>
          <w:sz w:val="22"/>
        </w:rPr>
        <w:t>Recomandare: credite bonus pentru invitații acceptate; țintă coeficient viral ≥ 0,3.</w:t>
      </w:r>
    </w:p>
    <w:p>
      <w:pPr>
        <w:spacing w:after="120"/>
        <w:jc w:val="both"/>
      </w:pPr>
      <w:r>
        <w:rPr>
          <w:b/>
          <w:i w:val="0"/>
          <w:sz w:val="22"/>
        </w:rPr>
        <w:t>Parcursul B2B (consultativ):</w:t>
      </w:r>
    </w:p>
    <w:p>
      <w:pPr>
        <w:pStyle w:val="ListNumber"/>
        <w:spacing w:after="40"/>
        <w:jc w:val="both"/>
      </w:pPr>
      <w:r>
        <w:rPr>
          <w:sz w:val="22"/>
        </w:rPr>
        <w:t>Generare de interes: conferințe, LinkedIn, recomandările medicilor care folosesc B2C; țintă 60 clinici calificate în pipeline;</w:t>
      </w:r>
    </w:p>
    <w:p>
      <w:pPr>
        <w:pStyle w:val="ListNumber"/>
        <w:spacing w:after="40"/>
        <w:jc w:val="both"/>
      </w:pPr>
      <w:r>
        <w:rPr>
          <w:sz w:val="22"/>
        </w:rPr>
        <w:t>Demonstrație personalizată pe buletinele proprii ale clinicii (efect „wow” controlat); țintă conversie demo → pilot ≥ 40%;</w:t>
      </w:r>
    </w:p>
    <w:p>
      <w:pPr>
        <w:pStyle w:val="ListNumber"/>
        <w:spacing w:after="40"/>
        <w:jc w:val="both"/>
      </w:pPr>
      <w:r>
        <w:rPr>
          <w:sz w:val="22"/>
        </w:rPr>
        <w:t>Pilot 4–6 săptămâni cu indicatori de succes conveniți (timp economisit, satisfacția pacienților);</w:t>
      </w:r>
    </w:p>
    <w:p>
      <w:pPr>
        <w:pStyle w:val="ListNumber"/>
        <w:spacing w:after="40"/>
        <w:jc w:val="both"/>
      </w:pPr>
      <w:r>
        <w:rPr>
          <w:sz w:val="22"/>
        </w:rPr>
        <w:t>Contractare pe tier potrivit volumului; onboarding &lt; 1 zi;</w:t>
      </w:r>
    </w:p>
    <w:p>
      <w:pPr>
        <w:pStyle w:val="ListNumber"/>
        <w:spacing w:after="40"/>
        <w:jc w:val="both"/>
      </w:pPr>
      <w:r>
        <w:rPr>
          <w:sz w:val="22"/>
        </w:rPr>
        <w:t>Expansiune: module suplimentare, upgrade de tier, extindere la alte locații ale rețelei.</w:t>
      </w:r>
    </w:p>
    <w:p>
      <w:r>
        <w:br w:type="page"/>
      </w:r>
    </w:p>
    <w:p>
      <w:pPr>
        <w:pStyle w:val="Heading1"/>
      </w:pPr>
      <w:r>
        <w:rPr>
          <w:color w:val="1F3A68"/>
        </w:rPr>
        <w:t>C.8. Impactul proiectului</w:t>
      </w:r>
    </w:p>
    <w:p>
      <w:pPr>
        <w:pStyle w:val="Heading2"/>
      </w:pPr>
      <w:r>
        <w:rPr>
          <w:color w:val="1F3A68"/>
        </w:rPr>
        <w:t>C.8.1. Rezultate cantitative așteptate</w:t>
      </w:r>
    </w:p>
    <w:tbl>
      <w:tblPr>
        <w:tblStyle w:val="LightGrid-Accent1"/>
        <w:tblW w:type="auto" w:w="0"/>
        <w:tblLook w:firstColumn="1" w:firstRow="1" w:lastColumn="0" w:lastRow="0" w:noHBand="0" w:noVBand="1" w:val="04A0"/>
      </w:tblPr>
      <w:tblGrid>
        <w:gridCol w:w="3249"/>
        <w:gridCol w:w="3249"/>
        <w:gridCol w:w="3249"/>
      </w:tblGrid>
      <w:tr>
        <w:tc>
          <w:tcPr>
            <w:tcW w:type="dxa" w:w="3628"/>
            <w:shd w:val="clear" w:color="auto" w:fill="1F3A68"/>
          </w:tcPr>
          <w:p>
            <w:r>
              <w:rPr>
                <w:color w:val="FFFFFF"/>
              </w:rPr>
            </w:r>
            <w:r>
              <w:rPr>
                <w:b/>
                <w:color w:val="FFFFFF"/>
                <w:sz w:val="20"/>
              </w:rPr>
              <w:t>Indicator</w:t>
            </w:r>
          </w:p>
        </w:tc>
        <w:tc>
          <w:tcPr>
            <w:tcW w:type="dxa" w:w="2778"/>
            <w:shd w:val="clear" w:color="auto" w:fill="1F3A68"/>
          </w:tcPr>
          <w:p>
            <w:r>
              <w:rPr>
                <w:color w:val="FFFFFF"/>
              </w:rPr>
            </w:r>
            <w:r>
              <w:rPr>
                <w:b/>
                <w:color w:val="FFFFFF"/>
                <w:sz w:val="20"/>
              </w:rPr>
              <w:t>La finalul proiectului (luna 18)</w:t>
            </w:r>
          </w:p>
        </w:tc>
        <w:tc>
          <w:tcPr>
            <w:tcW w:type="dxa" w:w="2778"/>
            <w:shd w:val="clear" w:color="auto" w:fill="1F3A68"/>
          </w:tcPr>
          <w:p>
            <w:r>
              <w:rPr>
                <w:color w:val="FFFFFF"/>
              </w:rPr>
            </w:r>
            <w:r>
              <w:rPr>
                <w:b/>
                <w:color w:val="FFFFFF"/>
                <w:sz w:val="20"/>
              </w:rPr>
              <w:t>Anul 3 post-implementare</w:t>
            </w:r>
          </w:p>
        </w:tc>
      </w:tr>
      <w:tr>
        <w:tc>
          <w:tcPr>
            <w:tcW w:type="dxa" w:w="3628"/>
          </w:tcPr>
          <w:p>
            <w:r/>
            <w:r>
              <w:rPr>
                <w:sz w:val="20"/>
              </w:rPr>
              <w:t>Utilizatori B2C înregistrați</w:t>
            </w:r>
          </w:p>
        </w:tc>
        <w:tc>
          <w:tcPr>
            <w:tcW w:type="dxa" w:w="2778"/>
          </w:tcPr>
          <w:p>
            <w:r/>
            <w:r>
              <w:rPr>
                <w:sz w:val="20"/>
              </w:rPr>
              <w:t>≥ 5.000</w:t>
            </w:r>
          </w:p>
        </w:tc>
        <w:tc>
          <w:tcPr>
            <w:tcW w:type="dxa" w:w="2778"/>
          </w:tcPr>
          <w:p>
            <w:r/>
            <w:r>
              <w:rPr>
                <w:sz w:val="20"/>
              </w:rPr>
              <w:t>≥ 150.000</w:t>
            </w:r>
          </w:p>
        </w:tc>
      </w:tr>
      <w:tr>
        <w:tc>
          <w:tcPr>
            <w:tcW w:type="dxa" w:w="3628"/>
          </w:tcPr>
          <w:p>
            <w:r/>
            <w:r>
              <w:rPr>
                <w:sz w:val="20"/>
              </w:rPr>
              <w:t>Clienți B2B activi</w:t>
            </w:r>
          </w:p>
        </w:tc>
        <w:tc>
          <w:tcPr>
            <w:tcW w:type="dxa" w:w="2778"/>
          </w:tcPr>
          <w:p>
            <w:r/>
            <w:r>
              <w:rPr>
                <w:sz w:val="20"/>
              </w:rPr>
              <w:t>≥ 10</w:t>
            </w:r>
          </w:p>
        </w:tc>
        <w:tc>
          <w:tcPr>
            <w:tcW w:type="dxa" w:w="2778"/>
          </w:tcPr>
          <w:p>
            <w:r/>
            <w:r>
              <w:rPr>
                <w:sz w:val="20"/>
              </w:rPr>
              <w:t>≥ 120</w:t>
            </w:r>
          </w:p>
        </w:tc>
      </w:tr>
      <w:tr>
        <w:tc>
          <w:tcPr>
            <w:tcW w:type="dxa" w:w="3628"/>
          </w:tcPr>
          <w:p>
            <w:r/>
            <w:r>
              <w:rPr>
                <w:sz w:val="20"/>
              </w:rPr>
              <w:t>Documente procesate / an</w:t>
            </w:r>
          </w:p>
        </w:tc>
        <w:tc>
          <w:tcPr>
            <w:tcW w:type="dxa" w:w="2778"/>
          </w:tcPr>
          <w:p>
            <w:r/>
            <w:r>
              <w:rPr>
                <w:sz w:val="20"/>
              </w:rPr>
              <w:t>≥ 30.000</w:t>
            </w:r>
          </w:p>
        </w:tc>
        <w:tc>
          <w:tcPr>
            <w:tcW w:type="dxa" w:w="2778"/>
          </w:tcPr>
          <w:p>
            <w:r/>
            <w:r>
              <w:rPr>
                <w:sz w:val="20"/>
              </w:rPr>
              <w:t>≥ 2.000.000</w:t>
            </w:r>
          </w:p>
        </w:tc>
      </w:tr>
      <w:tr>
        <w:tc>
          <w:tcPr>
            <w:tcW w:type="dxa" w:w="3628"/>
          </w:tcPr>
          <w:p>
            <w:r/>
            <w:r>
              <w:rPr>
                <w:sz w:val="20"/>
              </w:rPr>
              <w:t>Determinări codificate LOINC / an</w:t>
            </w:r>
          </w:p>
        </w:tc>
        <w:tc>
          <w:tcPr>
            <w:tcW w:type="dxa" w:w="2778"/>
          </w:tcPr>
          <w:p>
            <w:r/>
            <w:r>
              <w:rPr>
                <w:sz w:val="20"/>
              </w:rPr>
              <w:t>≥ 700.000</w:t>
            </w:r>
          </w:p>
        </w:tc>
        <w:tc>
          <w:tcPr>
            <w:tcW w:type="dxa" w:w="2778"/>
          </w:tcPr>
          <w:p>
            <w:r/>
            <w:r>
              <w:rPr>
                <w:sz w:val="20"/>
              </w:rPr>
              <w:t>≥ 10.000.000</w:t>
            </w:r>
          </w:p>
        </w:tc>
      </w:tr>
      <w:tr>
        <w:tc>
          <w:tcPr>
            <w:tcW w:type="dxa" w:w="3628"/>
          </w:tcPr>
          <w:p>
            <w:r/>
            <w:r>
              <w:rPr>
                <w:sz w:val="20"/>
              </w:rPr>
              <w:t>Limbi acoperite</w:t>
            </w:r>
          </w:p>
        </w:tc>
        <w:tc>
          <w:tcPr>
            <w:tcW w:type="dxa" w:w="2778"/>
          </w:tcPr>
          <w:p>
            <w:r/>
            <w:r>
              <w:rPr>
                <w:sz w:val="20"/>
              </w:rPr>
              <w:t>30</w:t>
            </w:r>
          </w:p>
        </w:tc>
        <w:tc>
          <w:tcPr>
            <w:tcW w:type="dxa" w:w="2778"/>
          </w:tcPr>
          <w:p>
            <w:r/>
            <w:r>
              <w:rPr>
                <w:sz w:val="20"/>
              </w:rPr>
              <w:t>30+</w:t>
            </w:r>
          </w:p>
        </w:tc>
      </w:tr>
      <w:tr>
        <w:tc>
          <w:tcPr>
            <w:tcW w:type="dxa" w:w="3628"/>
          </w:tcPr>
          <w:p>
            <w:r/>
            <w:r>
              <w:rPr>
                <w:sz w:val="20"/>
              </w:rPr>
              <w:t>Venit recurent lunar (MRR)</w:t>
            </w:r>
          </w:p>
        </w:tc>
        <w:tc>
          <w:tcPr>
            <w:tcW w:type="dxa" w:w="2778"/>
          </w:tcPr>
          <w:p>
            <w:r/>
            <w:r>
              <w:rPr>
                <w:sz w:val="20"/>
              </w:rPr>
              <w:t>≥ 8.000 EUR</w:t>
            </w:r>
          </w:p>
        </w:tc>
        <w:tc>
          <w:tcPr>
            <w:tcW w:type="dxa" w:w="2778"/>
          </w:tcPr>
          <w:p>
            <w:r/>
            <w:r>
              <w:rPr>
                <w:sz w:val="20"/>
              </w:rPr>
              <w:t>≥ 150.000 EUR</w:t>
            </w:r>
          </w:p>
        </w:tc>
      </w:tr>
      <w:tr>
        <w:tc>
          <w:tcPr>
            <w:tcW w:type="dxa" w:w="3628"/>
          </w:tcPr>
          <w:p>
            <w:r/>
            <w:r>
              <w:rPr>
                <w:sz w:val="20"/>
              </w:rPr>
              <w:t>Cifră de afaceri anuală</w:t>
            </w:r>
          </w:p>
        </w:tc>
        <w:tc>
          <w:tcPr>
            <w:tcW w:type="dxa" w:w="2778"/>
          </w:tcPr>
          <w:p>
            <w:r/>
            <w:r>
              <w:rPr>
                <w:sz w:val="20"/>
              </w:rPr>
              <w:t>—</w:t>
            </w:r>
          </w:p>
        </w:tc>
        <w:tc>
          <w:tcPr>
            <w:tcW w:type="dxa" w:w="2778"/>
          </w:tcPr>
          <w:p>
            <w:r/>
            <w:r>
              <w:rPr>
                <w:sz w:val="20"/>
              </w:rPr>
              <w:t>1.800.000 EUR</w:t>
            </w:r>
          </w:p>
        </w:tc>
      </w:tr>
      <w:tr>
        <w:tc>
          <w:tcPr>
            <w:tcW w:type="dxa" w:w="3628"/>
          </w:tcPr>
          <w:p>
            <w:r/>
            <w:r>
              <w:rPr>
                <w:sz w:val="20"/>
              </w:rPr>
              <w:t>Cifră de afaceri cumulată (3 ani)</w:t>
            </w:r>
          </w:p>
        </w:tc>
        <w:tc>
          <w:tcPr>
            <w:tcW w:type="dxa" w:w="2778"/>
          </w:tcPr>
          <w:p>
            <w:r/>
            <w:r>
              <w:rPr>
                <w:sz w:val="20"/>
              </w:rPr>
              <w:t>—</w:t>
            </w:r>
          </w:p>
        </w:tc>
        <w:tc>
          <w:tcPr>
            <w:tcW w:type="dxa" w:w="2778"/>
          </w:tcPr>
          <w:p>
            <w:r/>
            <w:r>
              <w:rPr>
                <w:sz w:val="20"/>
              </w:rPr>
              <w:t>≥ 3.500.000 EUR</w:t>
            </w:r>
          </w:p>
        </w:tc>
      </w:tr>
      <w:tr>
        <w:tc>
          <w:tcPr>
            <w:tcW w:type="dxa" w:w="3628"/>
          </w:tcPr>
          <w:p>
            <w:r/>
            <w:r>
              <w:rPr>
                <w:sz w:val="20"/>
              </w:rPr>
              <w:t>Locuri de muncă înalt calificate</w:t>
            </w:r>
          </w:p>
        </w:tc>
        <w:tc>
          <w:tcPr>
            <w:tcW w:type="dxa" w:w="2778"/>
          </w:tcPr>
          <w:p>
            <w:r/>
            <w:r>
              <w:rPr>
                <w:sz w:val="20"/>
              </w:rPr>
              <w:t>10</w:t>
            </w:r>
          </w:p>
        </w:tc>
        <w:tc>
          <w:tcPr>
            <w:tcW w:type="dxa" w:w="2778"/>
          </w:tcPr>
          <w:p>
            <w:r/>
            <w:r>
              <w:rPr>
                <w:sz w:val="20"/>
              </w:rPr>
              <w:t>≥ 18</w:t>
            </w:r>
          </w:p>
        </w:tc>
      </w:tr>
    </w:tbl>
    <w:p>
      <w:pPr>
        <w:pStyle w:val="Heading2"/>
      </w:pPr>
      <w:r>
        <w:rPr>
          <w:color w:val="1F3A68"/>
        </w:rPr>
        <w:t>C.8.2. Rezultate calitative și impact social</w:t>
      </w:r>
    </w:p>
    <w:p>
      <w:pPr>
        <w:pStyle w:val="ListBullet"/>
        <w:spacing w:after="40"/>
        <w:jc w:val="both"/>
      </w:pPr>
      <w:r>
        <w:rPr>
          <w:sz w:val="22"/>
        </w:rPr>
        <w:t>Creșterea alfabetizării în sănătate: pacienții înțeleg efectiv rezultatele investigațiilor proprii, în limba maternă — impact direct asupra unei probleme care afectează peste jumătate din populația României;</w:t>
      </w:r>
    </w:p>
    <w:p>
      <w:pPr>
        <w:pStyle w:val="ListBullet"/>
        <w:spacing w:after="40"/>
        <w:jc w:val="both"/>
      </w:pPr>
      <w:r>
        <w:rPr>
          <w:sz w:val="22"/>
        </w:rPr>
        <w:t>Prevenție îmbunătățită: valorile patologice sunt semnalate clar și prompt, reducând întârzierile de prezentare la medic;</w:t>
      </w:r>
    </w:p>
    <w:p>
      <w:pPr>
        <w:pStyle w:val="ListBullet"/>
        <w:spacing w:after="40"/>
        <w:jc w:val="both"/>
      </w:pPr>
      <w:r>
        <w:rPr>
          <w:sz w:val="22"/>
        </w:rPr>
        <w:t>Reducerea anxietății medicale nejustificate prin explicații calibrate și non-alarmiste;</w:t>
      </w:r>
    </w:p>
    <w:p>
      <w:pPr>
        <w:pStyle w:val="ListBullet"/>
        <w:spacing w:after="40"/>
        <w:jc w:val="both"/>
      </w:pPr>
      <w:r>
        <w:rPr>
          <w:sz w:val="22"/>
        </w:rPr>
        <w:t>Incluziune: accesibilitate WCAG 2.1 AA și acoperirea a 30 de limbi deservesc vârstnici, minorități lingvistice și diaspora;</w:t>
      </w:r>
    </w:p>
    <w:p>
      <w:pPr>
        <w:pStyle w:val="ListBullet"/>
        <w:spacing w:after="40"/>
        <w:jc w:val="both"/>
      </w:pPr>
      <w:r>
        <w:rPr>
          <w:sz w:val="22"/>
        </w:rPr>
        <w:t>Timp medical recuperat: clinicile reduc timpul consumat cu explicarea rezultatelor de rutină, realocându-l actului medical;</w:t>
      </w:r>
    </w:p>
    <w:p>
      <w:pPr>
        <w:pStyle w:val="ListBullet"/>
        <w:spacing w:after="40"/>
        <w:jc w:val="both"/>
      </w:pPr>
      <w:r>
        <w:rPr>
          <w:sz w:val="22"/>
        </w:rPr>
        <w:t>Contribuție la interoperabilitate: fiecare document procesat devine set de date structurate, codificate internațional, pregătite pentru dosarul electronic de sănătate și EHDS.</w:t>
      </w:r>
    </w:p>
    <w:p>
      <w:pPr>
        <w:pStyle w:val="Heading2"/>
      </w:pPr>
      <w:r>
        <w:rPr>
          <w:color w:val="1F3A68"/>
        </w:rPr>
        <w:t>C.8.3. Efectul multiplicator și replicabilitatea</w:t>
      </w:r>
    </w:p>
    <w:p>
      <w:pPr>
        <w:spacing w:after="120"/>
        <w:jc w:val="both"/>
      </w:pPr>
      <w:r>
        <w:rPr>
          <w:b w:val="0"/>
          <w:i w:val="0"/>
          <w:sz w:val="22"/>
        </w:rPr>
        <w:t>Tehnologia dezvoltată — extragere AI din documente medicale eterogene + codificare terminologică hibridă — este replicabilă pe verticale adiacente: imagistică (rapoarte radiologice), externări (scrisori medicale), medicina muncii și studiile clinice (curățarea datelor de laborator). Fiecare verticală nouă reutilizează nucleul construit în proiect, multiplicând valoarea investiției inițiale. Suplimentar, expunerea API-ului B2B permite ecosistemului local de e-health (telemedicină, aplicații de wellness, asigurători) să construiască peste platformă, cu efect de antrenare asupra întregului sector.</w:t>
      </w:r>
    </w:p>
    <w:p>
      <w:pPr>
        <w:pStyle w:val="Heading2"/>
      </w:pPr>
      <w:r>
        <w:rPr>
          <w:color w:val="1F3A68"/>
        </w:rPr>
        <w:t>C.8.4. Sustenabilitatea financiară post-implementare</w:t>
      </w:r>
    </w:p>
    <w:p>
      <w:pPr>
        <w:spacing w:after="120"/>
        <w:jc w:val="both"/>
      </w:pPr>
      <w:r>
        <w:rPr>
          <w:b w:val="0"/>
          <w:i w:val="0"/>
          <w:sz w:val="22"/>
        </w:rPr>
        <w:t>Modelul de venit recurent (abonamente B2C + B2B) asigură sustenabilitatea operațională după încheierea finanțării: pragul de rentabilitate lunar (≈ 21.000 EUR MRR) este estimat a fi atins în anul 2 post-lansare, iar marja brută a modelului SaaS (peste 75% după costurile AI per document) finanțează dezvoltarea continuă. Fluxurile detaliate de numerar și proiecțiile pe 5 ani sunt prezentate în Partea a III-a a planului de afaceri.</w:t>
      </w:r>
    </w:p>
    <w:p>
      <w:pPr>
        <w:pStyle w:val="Heading2"/>
      </w:pPr>
      <w:r>
        <w:rPr>
          <w:color w:val="1F3A68"/>
        </w:rPr>
        <w:t>C.8.5. Sustenabilitate de mediu</w:t>
      </w:r>
    </w:p>
    <w:p>
      <w:pPr>
        <w:pStyle w:val="ListBullet"/>
        <w:spacing w:after="40"/>
        <w:jc w:val="both"/>
      </w:pPr>
      <w:r>
        <w:rPr>
          <w:sz w:val="22"/>
        </w:rPr>
        <w:t>Produs 100% digital: reduce tipărirea și transportul fizic al documentelor medicale;</w:t>
      </w:r>
    </w:p>
    <w:p>
      <w:pPr>
        <w:pStyle w:val="ListBullet"/>
        <w:spacing w:after="40"/>
        <w:jc w:val="both"/>
      </w:pPr>
      <w:r>
        <w:rPr>
          <w:sz w:val="22"/>
        </w:rPr>
        <w:t>Infrastructură cloud operată în centre de date cu angajamente de energie regenerabilă și optimizare automată a resurselor (scale-to-zero pe medii non-productive);</w:t>
      </w:r>
    </w:p>
    <w:p>
      <w:pPr>
        <w:pStyle w:val="ListBullet"/>
        <w:spacing w:after="40"/>
        <w:jc w:val="both"/>
      </w:pPr>
      <w:r>
        <w:rPr>
          <w:sz w:val="22"/>
        </w:rPr>
        <w:t>Escaladarea adaptivă între modele AI minimizează consumul de calcul per document (≈ 90% din volum pe modelul economic);</w:t>
      </w:r>
    </w:p>
    <w:p>
      <w:pPr>
        <w:pStyle w:val="ListBullet"/>
        <w:spacing w:after="40"/>
        <w:jc w:val="both"/>
      </w:pPr>
      <w:r>
        <w:rPr>
          <w:sz w:val="22"/>
        </w:rPr>
        <w:t>Politică internă paperless și lucru hibrid pentru echipă.</w:t>
      </w:r>
    </w:p>
    <w:p>
      <w:pPr>
        <w:pStyle w:val="Heading2"/>
      </w:pPr>
      <w:r>
        <w:rPr>
          <w:color w:val="1F3A68"/>
        </w:rPr>
        <w:t>C.8.6. Contribuția la strategiile naționale și europene</w:t>
      </w:r>
    </w:p>
    <w:p>
      <w:pPr>
        <w:spacing w:after="120"/>
        <w:jc w:val="both"/>
      </w:pPr>
      <w:r>
        <w:rPr>
          <w:b w:val="0"/>
          <w:i w:val="0"/>
          <w:sz w:val="22"/>
        </w:rPr>
        <w:t>Prin natura sa, proiectul livrează simultan pe trei axe strategice: digitalizare (produs SaaS AI dezvoltat de o IMM românească, aliniat POCIDIF), sănătate (alfabetizare, prevenție, interoperabilitate EHDS) și competitivitate (export de software cu valoare adăugată mare pe piața unică, creare de locuri de muncă înalt calificate în România). Indicatorii de program relevanți — întreprinderi sprijinite pentru introducerea AI, produse digitale noi lansate, locuri de muncă create — sunt îndepliniți integral de rezultatele enumerate la C.8.1.</w:t>
      </w:r>
    </w:p>
    <w:p>
      <w:r>
        <w:br w:type="page"/>
      </w:r>
    </w:p>
    <w:p>
      <w:pPr>
        <w:pStyle w:val="Heading1"/>
      </w:pPr>
      <w:r>
        <w:rPr>
          <w:color w:val="1F3A68"/>
        </w:rPr>
        <w:t>C.9. Evaluarea și atenuarea riscurilor</w:t>
      </w:r>
    </w:p>
    <w:p>
      <w:pPr>
        <w:pStyle w:val="Heading2"/>
      </w:pPr>
      <w:r>
        <w:rPr>
          <w:color w:val="1F3A68"/>
        </w:rPr>
        <w:t>C.9.1. Metodologia de management al riscului</w:t>
      </w:r>
    </w:p>
    <w:p>
      <w:pPr>
        <w:spacing w:after="120"/>
        <w:jc w:val="both"/>
      </w:pPr>
      <w:r>
        <w:rPr>
          <w:b w:val="0"/>
          <w:i w:val="0"/>
          <w:sz w:val="22"/>
        </w:rPr>
        <w:t>Riscurile vor fi gestionate conform unui proces formal, aliniat ISO 31000: identificare continuă (registru de riscuri actualizat lunar), evaluare pe matrice probabilitate × impact (scale 1–5), planuri de răspuns per risc (evitare / atenuare / transfer / acceptare), proprietar desemnat pentru fiecare risc și revizuire în ședința lunară de proiect. Riscurile cu scor ≥ 12 se raportează imediat managementului și, unde este cazul, finanțatorului.</w:t>
      </w:r>
    </w:p>
    <w:p>
      <w:pPr>
        <w:pStyle w:val="Heading2"/>
      </w:pPr>
      <w:r>
        <w:rPr>
          <w:color w:val="1F3A68"/>
        </w:rPr>
        <w:t>C.9.2. Registrul riscurilor identificate</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3175"/>
            <w:shd w:val="clear" w:color="auto" w:fill="1F3A68"/>
          </w:tcPr>
          <w:p>
            <w:r>
              <w:rPr>
                <w:color w:val="FFFFFF"/>
              </w:rPr>
            </w:r>
            <w:r>
              <w:rPr>
                <w:b/>
                <w:color w:val="FFFFFF"/>
                <w:sz w:val="18"/>
              </w:rPr>
              <w:t>Risc</w:t>
            </w:r>
          </w:p>
        </w:tc>
        <w:tc>
          <w:tcPr>
            <w:tcW w:type="dxa" w:w="454"/>
            <w:shd w:val="clear" w:color="auto" w:fill="1F3A68"/>
          </w:tcPr>
          <w:p>
            <w:r>
              <w:rPr>
                <w:color w:val="FFFFFF"/>
              </w:rPr>
            </w:r>
            <w:r>
              <w:rPr>
                <w:b/>
                <w:color w:val="FFFFFF"/>
                <w:sz w:val="18"/>
              </w:rPr>
              <w:t>P</w:t>
            </w:r>
          </w:p>
        </w:tc>
        <w:tc>
          <w:tcPr>
            <w:tcW w:type="dxa" w:w="454"/>
            <w:shd w:val="clear" w:color="auto" w:fill="1F3A68"/>
          </w:tcPr>
          <w:p>
            <w:r>
              <w:rPr>
                <w:color w:val="FFFFFF"/>
              </w:rPr>
            </w:r>
            <w:r>
              <w:rPr>
                <w:b/>
                <w:color w:val="FFFFFF"/>
                <w:sz w:val="18"/>
              </w:rPr>
              <w:t>I</w:t>
            </w:r>
          </w:p>
        </w:tc>
        <w:tc>
          <w:tcPr>
            <w:tcW w:type="dxa" w:w="624"/>
            <w:shd w:val="clear" w:color="auto" w:fill="1F3A68"/>
          </w:tcPr>
          <w:p>
            <w:r>
              <w:rPr>
                <w:color w:val="FFFFFF"/>
              </w:rPr>
            </w:r>
            <w:r>
              <w:rPr>
                <w:b/>
                <w:color w:val="FFFFFF"/>
                <w:sz w:val="18"/>
              </w:rPr>
              <w:t>Scor</w:t>
            </w:r>
          </w:p>
        </w:tc>
        <w:tc>
          <w:tcPr>
            <w:tcW w:type="dxa" w:w="4479"/>
            <w:shd w:val="clear" w:color="auto" w:fill="1F3A68"/>
          </w:tcPr>
          <w:p>
            <w:r>
              <w:rPr>
                <w:color w:val="FFFFFF"/>
              </w:rPr>
            </w:r>
            <w:r>
              <w:rPr>
                <w:b/>
                <w:color w:val="FFFFFF"/>
                <w:sz w:val="18"/>
              </w:rPr>
              <w:t>Măsuri de atenuare</w:t>
            </w:r>
          </w:p>
        </w:tc>
      </w:tr>
      <w:tr>
        <w:tc>
          <w:tcPr>
            <w:tcW w:type="dxa" w:w="3175"/>
          </w:tcPr>
          <w:p>
            <w:r/>
            <w:r>
              <w:rPr>
                <w:sz w:val="18"/>
              </w:rPr>
              <w:t>R1 — Tehnologic: acuratețea extragerii AI sub ținta de 95% pe formate rare de buletine</w:t>
            </w:r>
          </w:p>
        </w:tc>
        <w:tc>
          <w:tcPr>
            <w:tcW w:type="dxa" w:w="454"/>
          </w:tcPr>
          <w:p>
            <w:r/>
            <w:r>
              <w:rPr>
                <w:sz w:val="18"/>
              </w:rPr>
              <w:t>3</w:t>
            </w:r>
          </w:p>
        </w:tc>
        <w:tc>
          <w:tcPr>
            <w:tcW w:type="dxa" w:w="454"/>
          </w:tcPr>
          <w:p>
            <w:r/>
            <w:r>
              <w:rPr>
                <w:sz w:val="18"/>
              </w:rPr>
              <w:t>5</w:t>
            </w:r>
          </w:p>
        </w:tc>
        <w:tc>
          <w:tcPr>
            <w:tcW w:type="dxa" w:w="624"/>
          </w:tcPr>
          <w:p>
            <w:r/>
            <w:r>
              <w:rPr>
                <w:sz w:val="18"/>
              </w:rPr>
              <w:t>15</w:t>
            </w:r>
          </w:p>
        </w:tc>
        <w:tc>
          <w:tcPr>
            <w:tcW w:type="dxa" w:w="4479"/>
          </w:tcPr>
          <w:p>
            <w:r/>
            <w:r>
              <w:rPr>
                <w:sz w:val="18"/>
              </w:rPr>
              <w:t>Corpus de validare divers (30+ laboratoare) din luna 3; dublu canal PDF+text; escaladare adaptivă; auditor de completitudine cu reprocesare; buffer pe drumul critic</w:t>
            </w:r>
          </w:p>
        </w:tc>
      </w:tr>
      <w:tr>
        <w:tc>
          <w:tcPr>
            <w:tcW w:type="dxa" w:w="3175"/>
          </w:tcPr>
          <w:p>
            <w:r/>
            <w:r>
              <w:rPr>
                <w:sz w:val="18"/>
              </w:rPr>
              <w:t>R2 — Tehnologic: precizia codificării LOINC sub 96% pe denumiri atipice</w:t>
            </w:r>
          </w:p>
        </w:tc>
        <w:tc>
          <w:tcPr>
            <w:tcW w:type="dxa" w:w="454"/>
          </w:tcPr>
          <w:p>
            <w:r/>
            <w:r>
              <w:rPr>
                <w:sz w:val="18"/>
              </w:rPr>
              <w:t>3</w:t>
            </w:r>
          </w:p>
        </w:tc>
        <w:tc>
          <w:tcPr>
            <w:tcW w:type="dxa" w:w="454"/>
          </w:tcPr>
          <w:p>
            <w:r/>
            <w:r>
              <w:rPr>
                <w:sz w:val="18"/>
              </w:rPr>
              <w:t>4</w:t>
            </w:r>
          </w:p>
        </w:tc>
        <w:tc>
          <w:tcPr>
            <w:tcW w:type="dxa" w:w="624"/>
          </w:tcPr>
          <w:p>
            <w:r/>
            <w:r>
              <w:rPr>
                <w:sz w:val="18"/>
              </w:rPr>
              <w:t>12</w:t>
            </w:r>
          </w:p>
        </w:tc>
        <w:tc>
          <w:tcPr>
            <w:tcW w:type="dxa" w:w="4479"/>
          </w:tcPr>
          <w:p>
            <w:r/>
            <w:r>
              <w:rPr>
                <w:sz w:val="18"/>
              </w:rPr>
              <w:t>Pipeline în 4 straturi cu ancore deterministe pe analiții frecvenți; suită de regresie cu gard de calitate; validare medicală a dicționarului de ancore</w:t>
            </w:r>
          </w:p>
        </w:tc>
      </w:tr>
      <w:tr>
        <w:tc>
          <w:tcPr>
            <w:tcW w:type="dxa" w:w="3175"/>
          </w:tcPr>
          <w:p>
            <w:r/>
            <w:r>
              <w:rPr>
                <w:sz w:val="18"/>
              </w:rPr>
              <w:t>R3 — Dependență de furnizorul de modele AI (preț, disponibilitate, politici)</w:t>
            </w:r>
          </w:p>
        </w:tc>
        <w:tc>
          <w:tcPr>
            <w:tcW w:type="dxa" w:w="454"/>
          </w:tcPr>
          <w:p>
            <w:r/>
            <w:r>
              <w:rPr>
                <w:sz w:val="18"/>
              </w:rPr>
              <w:t>2</w:t>
            </w:r>
          </w:p>
        </w:tc>
        <w:tc>
          <w:tcPr>
            <w:tcW w:type="dxa" w:w="454"/>
          </w:tcPr>
          <w:p>
            <w:r/>
            <w:r>
              <w:rPr>
                <w:sz w:val="18"/>
              </w:rPr>
              <w:t>4</w:t>
            </w:r>
          </w:p>
        </w:tc>
        <w:tc>
          <w:tcPr>
            <w:tcW w:type="dxa" w:w="624"/>
          </w:tcPr>
          <w:p>
            <w:r/>
            <w:r>
              <w:rPr>
                <w:sz w:val="18"/>
              </w:rPr>
              <w:t>8</w:t>
            </w:r>
          </w:p>
        </w:tc>
        <w:tc>
          <w:tcPr>
            <w:tcW w:type="dxa" w:w="4479"/>
          </w:tcPr>
          <w:p>
            <w:r/>
            <w:r>
              <w:rPr>
                <w:sz w:val="18"/>
              </w:rPr>
              <w:t>Strat de abstractizare peste API-ul LLM; compatibilitate testată cu minimum 2 furnizori; monitorizarea costului per document cu alerte</w:t>
            </w:r>
          </w:p>
        </w:tc>
      </w:tr>
      <w:tr>
        <w:tc>
          <w:tcPr>
            <w:tcW w:type="dxa" w:w="3175"/>
          </w:tcPr>
          <w:p>
            <w:r/>
            <w:r>
              <w:rPr>
                <w:sz w:val="18"/>
              </w:rPr>
              <w:t>R4 — Reglementar: încadrare mai strictă în AI Act / MDR decât cea anticipată</w:t>
            </w:r>
          </w:p>
        </w:tc>
        <w:tc>
          <w:tcPr>
            <w:tcW w:type="dxa" w:w="454"/>
          </w:tcPr>
          <w:p>
            <w:r/>
            <w:r>
              <w:rPr>
                <w:sz w:val="18"/>
              </w:rPr>
              <w:t>2</w:t>
            </w:r>
          </w:p>
        </w:tc>
        <w:tc>
          <w:tcPr>
            <w:tcW w:type="dxa" w:w="454"/>
          </w:tcPr>
          <w:p>
            <w:r/>
            <w:r>
              <w:rPr>
                <w:sz w:val="18"/>
              </w:rPr>
              <w:t>5</w:t>
            </w:r>
          </w:p>
        </w:tc>
        <w:tc>
          <w:tcPr>
            <w:tcW w:type="dxa" w:w="624"/>
          </w:tcPr>
          <w:p>
            <w:r/>
            <w:r>
              <w:rPr>
                <w:sz w:val="18"/>
              </w:rPr>
              <w:t>10</w:t>
            </w:r>
          </w:p>
        </w:tc>
        <w:tc>
          <w:tcPr>
            <w:tcW w:type="dxa" w:w="4479"/>
          </w:tcPr>
          <w:p>
            <w:r/>
            <w:r>
              <w:rPr>
                <w:sz w:val="18"/>
              </w:rPr>
              <w:t>Consultanță juridică specializată din etapa E1; poziționare fără diagnostice; validare deterministă și jurnalizare completă; monitorizarea ghidurilor autorităților</w:t>
            </w:r>
          </w:p>
        </w:tc>
      </w:tr>
      <w:tr>
        <w:tc>
          <w:tcPr>
            <w:tcW w:type="dxa" w:w="3175"/>
          </w:tcPr>
          <w:p>
            <w:r/>
            <w:r>
              <w:rPr>
                <w:sz w:val="18"/>
              </w:rPr>
              <w:t>R5 — GDPR: incident de securitate cu date de sănătate</w:t>
            </w:r>
          </w:p>
        </w:tc>
        <w:tc>
          <w:tcPr>
            <w:tcW w:type="dxa" w:w="454"/>
          </w:tcPr>
          <w:p>
            <w:r/>
            <w:r>
              <w:rPr>
                <w:sz w:val="18"/>
              </w:rPr>
              <w:t>2</w:t>
            </w:r>
          </w:p>
        </w:tc>
        <w:tc>
          <w:tcPr>
            <w:tcW w:type="dxa" w:w="454"/>
          </w:tcPr>
          <w:p>
            <w:r/>
            <w:r>
              <w:rPr>
                <w:sz w:val="18"/>
              </w:rPr>
              <w:t>5</w:t>
            </w:r>
          </w:p>
        </w:tc>
        <w:tc>
          <w:tcPr>
            <w:tcW w:type="dxa" w:w="624"/>
          </w:tcPr>
          <w:p>
            <w:r/>
            <w:r>
              <w:rPr>
                <w:sz w:val="18"/>
              </w:rPr>
              <w:t>10</w:t>
            </w:r>
          </w:p>
        </w:tc>
        <w:tc>
          <w:tcPr>
            <w:tcW w:type="dxa" w:w="4479"/>
          </w:tcPr>
          <w:p>
            <w:r/>
            <w:r>
              <w:rPr>
                <w:sz w:val="18"/>
              </w:rPr>
              <w:t>Security by design (C.4.7); pen-test extern; criptare end-to-end; DPIA; plan de răspuns la incidente cu notificare în 72h; asigurare cyber</w:t>
            </w:r>
          </w:p>
        </w:tc>
      </w:tr>
      <w:tr>
        <w:tc>
          <w:tcPr>
            <w:tcW w:type="dxa" w:w="3175"/>
          </w:tcPr>
          <w:p>
            <w:r/>
            <w:r>
              <w:rPr>
                <w:sz w:val="18"/>
              </w:rPr>
              <w:t>R6 — Resurse umane: dificultăți de recrutare / plecarea unor specialiști-cheie</w:t>
            </w:r>
          </w:p>
        </w:tc>
        <w:tc>
          <w:tcPr>
            <w:tcW w:type="dxa" w:w="454"/>
          </w:tcPr>
          <w:p>
            <w:r/>
            <w:r>
              <w:rPr>
                <w:sz w:val="18"/>
              </w:rPr>
              <w:t>3</w:t>
            </w:r>
          </w:p>
        </w:tc>
        <w:tc>
          <w:tcPr>
            <w:tcW w:type="dxa" w:w="454"/>
          </w:tcPr>
          <w:p>
            <w:r/>
            <w:r>
              <w:rPr>
                <w:sz w:val="18"/>
              </w:rPr>
              <w:t>3</w:t>
            </w:r>
          </w:p>
        </w:tc>
        <w:tc>
          <w:tcPr>
            <w:tcW w:type="dxa" w:w="624"/>
          </w:tcPr>
          <w:p>
            <w:r/>
            <w:r>
              <w:rPr>
                <w:sz w:val="18"/>
              </w:rPr>
              <w:t>9</w:t>
            </w:r>
          </w:p>
        </w:tc>
        <w:tc>
          <w:tcPr>
            <w:tcW w:type="dxa" w:w="4479"/>
          </w:tcPr>
          <w:p>
            <w:r/>
            <w:r>
              <w:rPr>
                <w:sz w:val="18"/>
              </w:rPr>
              <w:t>Pachete salariale competitive; documentare obligatorie (bus factor ≥ 2 pe fiecare componentă); parteneriate cu universități; subcontractare de rezervă</w:t>
            </w:r>
          </w:p>
        </w:tc>
      </w:tr>
      <w:tr>
        <w:tc>
          <w:tcPr>
            <w:tcW w:type="dxa" w:w="3175"/>
          </w:tcPr>
          <w:p>
            <w:r/>
            <w:r>
              <w:rPr>
                <w:sz w:val="18"/>
              </w:rPr>
              <w:t>R7 — Comercial: adopție B2C sub așteptări</w:t>
            </w:r>
          </w:p>
        </w:tc>
        <w:tc>
          <w:tcPr>
            <w:tcW w:type="dxa" w:w="454"/>
          </w:tcPr>
          <w:p>
            <w:r/>
            <w:r>
              <w:rPr>
                <w:sz w:val="18"/>
              </w:rPr>
              <w:t>3</w:t>
            </w:r>
          </w:p>
        </w:tc>
        <w:tc>
          <w:tcPr>
            <w:tcW w:type="dxa" w:w="454"/>
          </w:tcPr>
          <w:p>
            <w:r/>
            <w:r>
              <w:rPr>
                <w:sz w:val="18"/>
              </w:rPr>
              <w:t>4</w:t>
            </w:r>
          </w:p>
        </w:tc>
        <w:tc>
          <w:tcPr>
            <w:tcW w:type="dxa" w:w="624"/>
          </w:tcPr>
          <w:p>
            <w:r/>
            <w:r>
              <w:rPr>
                <w:sz w:val="18"/>
              </w:rPr>
              <w:t>12</w:t>
            </w:r>
          </w:p>
        </w:tc>
        <w:tc>
          <w:tcPr>
            <w:tcW w:type="dxa" w:w="4479"/>
          </w:tcPr>
          <w:p>
            <w:r/>
            <w:r>
              <w:rPr>
                <w:sz w:val="18"/>
              </w:rPr>
              <w:t>Validarea cererii înainte de dezvoltarea completă (C.3.3); waitlist ≥ 3.000; freemium cu fricțiune minimă; pivotare buget spre canalele cu CAC dovedit</w:t>
            </w:r>
          </w:p>
        </w:tc>
      </w:tr>
      <w:tr>
        <w:tc>
          <w:tcPr>
            <w:tcW w:type="dxa" w:w="3175"/>
          </w:tcPr>
          <w:p>
            <w:r/>
            <w:r>
              <w:rPr>
                <w:sz w:val="18"/>
              </w:rPr>
              <w:t>R8 — Comercial: ciclu de vânzare B2B mai lung decât estimat</w:t>
            </w:r>
          </w:p>
        </w:tc>
        <w:tc>
          <w:tcPr>
            <w:tcW w:type="dxa" w:w="454"/>
          </w:tcPr>
          <w:p>
            <w:r/>
            <w:r>
              <w:rPr>
                <w:sz w:val="18"/>
              </w:rPr>
              <w:t>4</w:t>
            </w:r>
          </w:p>
        </w:tc>
        <w:tc>
          <w:tcPr>
            <w:tcW w:type="dxa" w:w="454"/>
          </w:tcPr>
          <w:p>
            <w:r/>
            <w:r>
              <w:rPr>
                <w:sz w:val="18"/>
              </w:rPr>
              <w:t>3</w:t>
            </w:r>
          </w:p>
        </w:tc>
        <w:tc>
          <w:tcPr>
            <w:tcW w:type="dxa" w:w="624"/>
          </w:tcPr>
          <w:p>
            <w:r/>
            <w:r>
              <w:rPr>
                <w:sz w:val="18"/>
              </w:rPr>
              <w:t>12</w:t>
            </w:r>
          </w:p>
        </w:tc>
        <w:tc>
          <w:tcPr>
            <w:tcW w:type="dxa" w:w="4479"/>
          </w:tcPr>
          <w:p>
            <w:r/>
            <w:r>
              <w:rPr>
                <w:sz w:val="18"/>
              </w:rPr>
              <w:t>Program pilot cu 5 clinici din luna 14; scrisori de intenție; self-service pentru tierele mici; parteneriate cu laboratoare ca multiplicator</w:t>
            </w:r>
          </w:p>
        </w:tc>
      </w:tr>
      <w:tr>
        <w:tc>
          <w:tcPr>
            <w:tcW w:type="dxa" w:w="3175"/>
          </w:tcPr>
          <w:p>
            <w:r/>
            <w:r>
              <w:rPr>
                <w:sz w:val="18"/>
              </w:rPr>
              <w:t>R9 — Financiar: depășirea bugetului de dezvoltare</w:t>
            </w:r>
          </w:p>
        </w:tc>
        <w:tc>
          <w:tcPr>
            <w:tcW w:type="dxa" w:w="454"/>
          </w:tcPr>
          <w:p>
            <w:r/>
            <w:r>
              <w:rPr>
                <w:sz w:val="18"/>
              </w:rPr>
              <w:t>2</w:t>
            </w:r>
          </w:p>
        </w:tc>
        <w:tc>
          <w:tcPr>
            <w:tcW w:type="dxa" w:w="454"/>
          </w:tcPr>
          <w:p>
            <w:r/>
            <w:r>
              <w:rPr>
                <w:sz w:val="18"/>
              </w:rPr>
              <w:t>4</w:t>
            </w:r>
          </w:p>
        </w:tc>
        <w:tc>
          <w:tcPr>
            <w:tcW w:type="dxa" w:w="624"/>
          </w:tcPr>
          <w:p>
            <w:r/>
            <w:r>
              <w:rPr>
                <w:sz w:val="18"/>
              </w:rPr>
              <w:t>8</w:t>
            </w:r>
          </w:p>
        </w:tc>
        <w:tc>
          <w:tcPr>
            <w:tcW w:type="dxa" w:w="4479"/>
          </w:tcPr>
          <w:p>
            <w:r/>
            <w:r>
              <w:rPr>
                <w:sz w:val="18"/>
              </w:rPr>
              <w:t>Rezervă de contingență; monitorizare lunară cost-per-etapă; descopere controlată (E7/8.4 glisabile post-lansare)</w:t>
            </w:r>
          </w:p>
        </w:tc>
      </w:tr>
      <w:tr>
        <w:tc>
          <w:tcPr>
            <w:tcW w:type="dxa" w:w="3175"/>
          </w:tcPr>
          <w:p>
            <w:r/>
            <w:r>
              <w:rPr>
                <w:sz w:val="18"/>
              </w:rPr>
              <w:t>R10 — Concurențial: intrarea unui jucător mare pe nișă</w:t>
            </w:r>
          </w:p>
        </w:tc>
        <w:tc>
          <w:tcPr>
            <w:tcW w:type="dxa" w:w="454"/>
          </w:tcPr>
          <w:p>
            <w:r/>
            <w:r>
              <w:rPr>
                <w:sz w:val="18"/>
              </w:rPr>
              <w:t>2</w:t>
            </w:r>
          </w:p>
        </w:tc>
        <w:tc>
          <w:tcPr>
            <w:tcW w:type="dxa" w:w="454"/>
          </w:tcPr>
          <w:p>
            <w:r/>
            <w:r>
              <w:rPr>
                <w:sz w:val="18"/>
              </w:rPr>
              <w:t>3</w:t>
            </w:r>
          </w:p>
        </w:tc>
        <w:tc>
          <w:tcPr>
            <w:tcW w:type="dxa" w:w="624"/>
          </w:tcPr>
          <w:p>
            <w:r/>
            <w:r>
              <w:rPr>
                <w:sz w:val="18"/>
              </w:rPr>
              <w:t>6</w:t>
            </w:r>
          </w:p>
        </w:tc>
        <w:tc>
          <w:tcPr>
            <w:tcW w:type="dxa" w:w="4479"/>
          </w:tcPr>
          <w:p>
            <w:r/>
            <w:r>
              <w:rPr>
                <w:sz w:val="18"/>
              </w:rPr>
              <w:t>Viteză de execuție (first-mover local); bariere tehnice (pipeline hibrid, 30 limbi); contracte B2B multi-anuale; focus pe piețe/limbi neglijate de jucătorii globali</w:t>
            </w:r>
          </w:p>
        </w:tc>
      </w:tr>
    </w:tbl>
    <w:p>
      <w:pPr>
        <w:spacing w:after="120"/>
        <w:jc w:val="both"/>
      </w:pPr>
      <w:r>
        <w:rPr>
          <w:b w:val="0"/>
          <w:i/>
          <w:sz w:val="18"/>
        </w:rPr>
        <w:t>P = probabilitate (1–5); I = impact (1–5); Scor = P × I.</w:t>
      </w:r>
    </w:p>
    <w:p>
      <w:pPr>
        <w:spacing w:after="120"/>
        <w:jc w:val="both"/>
      </w:pPr>
      <w:r>
        <w:rPr>
          <w:b/>
          <w:i w:val="0"/>
          <w:sz w:val="22"/>
        </w:rPr>
        <w:t>Matricea de poziționare a riscurilor (probabilitate × impact):</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2041"/>
            <w:shd w:val="clear" w:color="auto" w:fill="1F3A68"/>
          </w:tcPr>
          <w:p>
            <w:r>
              <w:rPr>
                <w:color w:val="FFFFFF"/>
              </w:rPr>
            </w:r>
            <w:r>
              <w:rPr>
                <w:b/>
                <w:color w:val="FFFFFF"/>
                <w:sz w:val="18"/>
              </w:rPr>
              <w:t>P \ I</w:t>
            </w:r>
          </w:p>
        </w:tc>
        <w:tc>
          <w:tcPr>
            <w:tcW w:type="dxa" w:w="1417"/>
            <w:shd w:val="clear" w:color="auto" w:fill="1F3A68"/>
          </w:tcPr>
          <w:p>
            <w:r>
              <w:rPr>
                <w:color w:val="FFFFFF"/>
              </w:rPr>
            </w:r>
            <w:r>
              <w:rPr>
                <w:b/>
                <w:color w:val="FFFFFF"/>
                <w:sz w:val="18"/>
              </w:rPr>
              <w:t>1 — Neglijabil</w:t>
            </w:r>
          </w:p>
        </w:tc>
        <w:tc>
          <w:tcPr>
            <w:tcW w:type="dxa" w:w="1417"/>
            <w:shd w:val="clear" w:color="auto" w:fill="1F3A68"/>
          </w:tcPr>
          <w:p>
            <w:r>
              <w:rPr>
                <w:color w:val="FFFFFF"/>
              </w:rPr>
            </w:r>
            <w:r>
              <w:rPr>
                <w:b/>
                <w:color w:val="FFFFFF"/>
                <w:sz w:val="18"/>
              </w:rPr>
              <w:t>2 — Minor</w:t>
            </w:r>
          </w:p>
        </w:tc>
        <w:tc>
          <w:tcPr>
            <w:tcW w:type="dxa" w:w="1417"/>
            <w:shd w:val="clear" w:color="auto" w:fill="1F3A68"/>
          </w:tcPr>
          <w:p>
            <w:r>
              <w:rPr>
                <w:color w:val="FFFFFF"/>
              </w:rPr>
            </w:r>
            <w:r>
              <w:rPr>
                <w:b/>
                <w:color w:val="FFFFFF"/>
                <w:sz w:val="18"/>
              </w:rPr>
              <w:t>3 — Moderat</w:t>
            </w:r>
          </w:p>
        </w:tc>
        <w:tc>
          <w:tcPr>
            <w:tcW w:type="dxa" w:w="1417"/>
            <w:shd w:val="clear" w:color="auto" w:fill="1F3A68"/>
          </w:tcPr>
          <w:p>
            <w:r>
              <w:rPr>
                <w:color w:val="FFFFFF"/>
              </w:rPr>
            </w:r>
            <w:r>
              <w:rPr>
                <w:b/>
                <w:color w:val="FFFFFF"/>
                <w:sz w:val="18"/>
              </w:rPr>
              <w:t>4 — Major</w:t>
            </w:r>
          </w:p>
        </w:tc>
        <w:tc>
          <w:tcPr>
            <w:tcW w:type="dxa" w:w="1417"/>
            <w:shd w:val="clear" w:color="auto" w:fill="1F3A68"/>
          </w:tcPr>
          <w:p>
            <w:r>
              <w:rPr>
                <w:color w:val="FFFFFF"/>
              </w:rPr>
            </w:r>
            <w:r>
              <w:rPr>
                <w:b/>
                <w:color w:val="FFFFFF"/>
                <w:sz w:val="18"/>
              </w:rPr>
              <w:t>5 — Critic</w:t>
            </w:r>
          </w:p>
        </w:tc>
      </w:tr>
      <w:tr>
        <w:tc>
          <w:tcPr>
            <w:tcW w:type="dxa" w:w="2041"/>
          </w:tcPr>
          <w:p>
            <w:r/>
            <w:r>
              <w:rPr>
                <w:sz w:val="18"/>
              </w:rPr>
              <w:t>5 — Aproape sigur</w:t>
            </w:r>
          </w:p>
        </w:tc>
        <w:tc>
          <w:tcPr>
            <w:tcW w:type="dxa" w:w="1417"/>
          </w:tcPr>
          <w:p>
            <w:r/>
            <w:r>
              <w:rPr>
                <w:sz w:val="18"/>
              </w:rPr>
            </w:r>
          </w:p>
        </w:tc>
        <w:tc>
          <w:tcPr>
            <w:tcW w:type="dxa" w:w="1417"/>
          </w:tcPr>
          <w:p>
            <w:r/>
            <w:r>
              <w:rPr>
                <w:sz w:val="18"/>
              </w:rPr>
            </w:r>
          </w:p>
        </w:tc>
        <w:tc>
          <w:tcPr>
            <w:tcW w:type="dxa" w:w="1417"/>
          </w:tcPr>
          <w:p>
            <w:r/>
            <w:r>
              <w:rPr>
                <w:sz w:val="18"/>
              </w:rPr>
            </w:r>
          </w:p>
        </w:tc>
        <w:tc>
          <w:tcPr>
            <w:tcW w:type="dxa" w:w="1417"/>
          </w:tcPr>
          <w:p>
            <w:r/>
            <w:r>
              <w:rPr>
                <w:sz w:val="18"/>
              </w:rPr>
            </w:r>
          </w:p>
        </w:tc>
        <w:tc>
          <w:tcPr>
            <w:tcW w:type="dxa" w:w="1417"/>
          </w:tcPr>
          <w:p>
            <w:r/>
            <w:r>
              <w:rPr>
                <w:sz w:val="18"/>
              </w:rPr>
            </w:r>
          </w:p>
        </w:tc>
      </w:tr>
      <w:tr>
        <w:tc>
          <w:tcPr>
            <w:tcW w:type="dxa" w:w="2041"/>
          </w:tcPr>
          <w:p>
            <w:r/>
            <w:r>
              <w:rPr>
                <w:sz w:val="18"/>
              </w:rPr>
              <w:t>4 — Probabil</w:t>
            </w:r>
          </w:p>
        </w:tc>
        <w:tc>
          <w:tcPr>
            <w:tcW w:type="dxa" w:w="1417"/>
          </w:tcPr>
          <w:p>
            <w:r/>
            <w:r>
              <w:rPr>
                <w:sz w:val="18"/>
              </w:rPr>
            </w:r>
          </w:p>
        </w:tc>
        <w:tc>
          <w:tcPr>
            <w:tcW w:type="dxa" w:w="1417"/>
          </w:tcPr>
          <w:p>
            <w:r/>
            <w:r>
              <w:rPr>
                <w:sz w:val="18"/>
              </w:rPr>
            </w:r>
          </w:p>
        </w:tc>
        <w:tc>
          <w:tcPr>
            <w:tcW w:type="dxa" w:w="1417"/>
          </w:tcPr>
          <w:p>
            <w:r/>
            <w:r>
              <w:rPr>
                <w:sz w:val="18"/>
              </w:rPr>
              <w:t>R8</w:t>
            </w:r>
          </w:p>
        </w:tc>
        <w:tc>
          <w:tcPr>
            <w:tcW w:type="dxa" w:w="1417"/>
          </w:tcPr>
          <w:p>
            <w:r/>
            <w:r>
              <w:rPr>
                <w:sz w:val="18"/>
              </w:rPr>
            </w:r>
          </w:p>
        </w:tc>
        <w:tc>
          <w:tcPr>
            <w:tcW w:type="dxa" w:w="1417"/>
          </w:tcPr>
          <w:p>
            <w:r/>
            <w:r>
              <w:rPr>
                <w:sz w:val="18"/>
              </w:rPr>
            </w:r>
          </w:p>
        </w:tc>
      </w:tr>
      <w:tr>
        <w:tc>
          <w:tcPr>
            <w:tcW w:type="dxa" w:w="2041"/>
          </w:tcPr>
          <w:p>
            <w:r/>
            <w:r>
              <w:rPr>
                <w:sz w:val="18"/>
              </w:rPr>
              <w:t>3 — Posibil</w:t>
            </w:r>
          </w:p>
        </w:tc>
        <w:tc>
          <w:tcPr>
            <w:tcW w:type="dxa" w:w="1417"/>
          </w:tcPr>
          <w:p>
            <w:r/>
            <w:r>
              <w:rPr>
                <w:sz w:val="18"/>
              </w:rPr>
            </w:r>
          </w:p>
        </w:tc>
        <w:tc>
          <w:tcPr>
            <w:tcW w:type="dxa" w:w="1417"/>
          </w:tcPr>
          <w:p>
            <w:r/>
            <w:r>
              <w:rPr>
                <w:sz w:val="18"/>
              </w:rPr>
            </w:r>
          </w:p>
        </w:tc>
        <w:tc>
          <w:tcPr>
            <w:tcW w:type="dxa" w:w="1417"/>
          </w:tcPr>
          <w:p>
            <w:r/>
            <w:r>
              <w:rPr>
                <w:sz w:val="18"/>
              </w:rPr>
              <w:t>R6</w:t>
            </w:r>
          </w:p>
        </w:tc>
        <w:tc>
          <w:tcPr>
            <w:tcW w:type="dxa" w:w="1417"/>
          </w:tcPr>
          <w:p>
            <w:r/>
            <w:r>
              <w:rPr>
                <w:sz w:val="18"/>
              </w:rPr>
              <w:t>R2, R7</w:t>
            </w:r>
          </w:p>
        </w:tc>
        <w:tc>
          <w:tcPr>
            <w:tcW w:type="dxa" w:w="1417"/>
          </w:tcPr>
          <w:p>
            <w:r/>
            <w:r>
              <w:rPr>
                <w:sz w:val="18"/>
              </w:rPr>
              <w:t>R1</w:t>
            </w:r>
          </w:p>
        </w:tc>
      </w:tr>
      <w:tr>
        <w:tc>
          <w:tcPr>
            <w:tcW w:type="dxa" w:w="2041"/>
          </w:tcPr>
          <w:p>
            <w:r/>
            <w:r>
              <w:rPr>
                <w:sz w:val="18"/>
              </w:rPr>
              <w:t>2 — Puțin probabil</w:t>
            </w:r>
          </w:p>
        </w:tc>
        <w:tc>
          <w:tcPr>
            <w:tcW w:type="dxa" w:w="1417"/>
          </w:tcPr>
          <w:p>
            <w:r/>
            <w:r>
              <w:rPr>
                <w:sz w:val="18"/>
              </w:rPr>
            </w:r>
          </w:p>
        </w:tc>
        <w:tc>
          <w:tcPr>
            <w:tcW w:type="dxa" w:w="1417"/>
          </w:tcPr>
          <w:p>
            <w:r/>
            <w:r>
              <w:rPr>
                <w:sz w:val="18"/>
              </w:rPr>
            </w:r>
          </w:p>
        </w:tc>
        <w:tc>
          <w:tcPr>
            <w:tcW w:type="dxa" w:w="1417"/>
          </w:tcPr>
          <w:p>
            <w:r/>
            <w:r>
              <w:rPr>
                <w:sz w:val="18"/>
              </w:rPr>
              <w:t>R10</w:t>
            </w:r>
          </w:p>
        </w:tc>
        <w:tc>
          <w:tcPr>
            <w:tcW w:type="dxa" w:w="1417"/>
          </w:tcPr>
          <w:p>
            <w:r/>
            <w:r>
              <w:rPr>
                <w:sz w:val="18"/>
              </w:rPr>
              <w:t>R3, R9</w:t>
            </w:r>
          </w:p>
        </w:tc>
        <w:tc>
          <w:tcPr>
            <w:tcW w:type="dxa" w:w="1417"/>
          </w:tcPr>
          <w:p>
            <w:r/>
            <w:r>
              <w:rPr>
                <w:sz w:val="18"/>
              </w:rPr>
              <w:t>R4, R5</w:t>
            </w:r>
          </w:p>
        </w:tc>
      </w:tr>
      <w:tr>
        <w:tc>
          <w:tcPr>
            <w:tcW w:type="dxa" w:w="2041"/>
          </w:tcPr>
          <w:p>
            <w:r/>
            <w:r>
              <w:rPr>
                <w:sz w:val="18"/>
              </w:rPr>
              <w:t>1 — Rar</w:t>
            </w:r>
          </w:p>
        </w:tc>
        <w:tc>
          <w:tcPr>
            <w:tcW w:type="dxa" w:w="1417"/>
          </w:tcPr>
          <w:p>
            <w:r/>
            <w:r>
              <w:rPr>
                <w:sz w:val="18"/>
              </w:rPr>
            </w:r>
          </w:p>
        </w:tc>
        <w:tc>
          <w:tcPr>
            <w:tcW w:type="dxa" w:w="1417"/>
          </w:tcPr>
          <w:p>
            <w:r/>
            <w:r>
              <w:rPr>
                <w:sz w:val="18"/>
              </w:rPr>
            </w:r>
          </w:p>
        </w:tc>
        <w:tc>
          <w:tcPr>
            <w:tcW w:type="dxa" w:w="1417"/>
          </w:tcPr>
          <w:p>
            <w:r/>
            <w:r>
              <w:rPr>
                <w:sz w:val="18"/>
              </w:rPr>
            </w:r>
          </w:p>
        </w:tc>
        <w:tc>
          <w:tcPr>
            <w:tcW w:type="dxa" w:w="1417"/>
          </w:tcPr>
          <w:p>
            <w:r/>
            <w:r>
              <w:rPr>
                <w:sz w:val="18"/>
              </w:rPr>
            </w:r>
          </w:p>
        </w:tc>
        <w:tc>
          <w:tcPr>
            <w:tcW w:type="dxa" w:w="1417"/>
          </w:tcPr>
          <w:p>
            <w:r/>
            <w:r>
              <w:rPr>
                <w:sz w:val="18"/>
              </w:rPr>
            </w:r>
          </w:p>
        </w:tc>
      </w:tr>
    </w:tbl>
    <w:p>
      <w:pPr>
        <w:spacing w:after="120"/>
        <w:jc w:val="both"/>
      </w:pPr>
      <w:r>
        <w:rPr>
          <w:b w:val="0"/>
          <w:i/>
          <w:sz w:val="22"/>
        </w:rPr>
        <w:t>Niciun risc nu se situează în zona inacceptabilă (scor ≥ 20); riscurile din banda 12–15 (R1, R2, R7, R8) au măsuri de atenuare active încă din proiectarea soluției și puncte de verificare pe milestone-uri.</w:t>
      </w:r>
    </w:p>
    <w:p>
      <w:pPr>
        <w:pStyle w:val="Heading2"/>
      </w:pPr>
      <w:r>
        <w:rPr>
          <w:color w:val="1F3A68"/>
        </w:rPr>
        <w:t>C.9.3. Toleranța la risc și pragurile de escaladare</w:t>
      </w:r>
    </w:p>
    <w:p>
      <w:pPr>
        <w:pStyle w:val="ListBullet"/>
        <w:spacing w:after="40"/>
        <w:jc w:val="both"/>
      </w:pPr>
      <w:r>
        <w:rPr>
          <w:sz w:val="22"/>
        </w:rPr>
        <w:t>Riscuri tehnologice (R1–R3): toleranță medie — inovația implică incertitudine; gestionate prin măsurare obiectivă continuă pe corpusul de validare și puncte go/no-go la M4/M6/M10;</w:t>
      </w:r>
    </w:p>
    <w:p>
      <w:pPr>
        <w:pStyle w:val="ListBullet"/>
        <w:spacing w:after="40"/>
        <w:jc w:val="both"/>
      </w:pPr>
      <w:r>
        <w:rPr>
          <w:sz w:val="22"/>
        </w:rPr>
        <w:t>Riscuri de conformitate (R4–R5): toleranță zero — nicio lansare fără DPIA aprobată și pen-test remediat;</w:t>
      </w:r>
    </w:p>
    <w:p>
      <w:pPr>
        <w:pStyle w:val="ListBullet"/>
        <w:spacing w:after="40"/>
        <w:jc w:val="both"/>
      </w:pPr>
      <w:r>
        <w:rPr>
          <w:sz w:val="22"/>
        </w:rPr>
        <w:t>Riscuri comerciale (R7–R8): toleranță controlată — bugetele de achiziție se realocă lunar către canalele cu randament dovedit;</w:t>
      </w:r>
    </w:p>
    <w:p>
      <w:pPr>
        <w:pStyle w:val="ListBullet"/>
        <w:spacing w:after="40"/>
        <w:jc w:val="both"/>
      </w:pPr>
      <w:r>
        <w:rPr>
          <w:sz w:val="22"/>
        </w:rPr>
        <w:t>Prag de escaladare către management: scor ≥ 12 sau orice risc nou de conformitate.</w:t>
      </w:r>
    </w:p>
    <w:p>
      <w:pPr>
        <w:pStyle w:val="Heading2"/>
      </w:pPr>
      <w:r>
        <w:rPr>
          <w:color w:val="1F3A68"/>
        </w:rPr>
        <w:t>C.9.4. Continuitatea afacerii (Business Continuity)</w:t>
      </w:r>
    </w:p>
    <w:p>
      <w:pPr>
        <w:pStyle w:val="ListBullet"/>
        <w:spacing w:after="40"/>
        <w:jc w:val="both"/>
      </w:pPr>
      <w:r>
        <w:rPr>
          <w:sz w:val="22"/>
        </w:rPr>
        <w:t>Backup automat al bazei de date la 6 ore, retenție 35 de zile, test de restaurare trimestrial;</w:t>
      </w:r>
    </w:p>
    <w:p>
      <w:pPr>
        <w:pStyle w:val="ListBullet"/>
        <w:spacing w:after="40"/>
        <w:jc w:val="both"/>
      </w:pPr>
      <w:r>
        <w:rPr>
          <w:sz w:val="22"/>
        </w:rPr>
        <w:t>Obiective de recuperare: RPO 1 oră, RTO 4 ore, exercițiu de dezastru documentat înainte de lansare (faza 10.3);</w:t>
      </w:r>
    </w:p>
    <w:p>
      <w:pPr>
        <w:pStyle w:val="ListBullet"/>
        <w:spacing w:after="40"/>
        <w:jc w:val="both"/>
      </w:pPr>
      <w:r>
        <w:rPr>
          <w:sz w:val="22"/>
        </w:rPr>
        <w:t>Degradare elegantă: în caz de indisponibilitate a furnizorului AI, platforma acceptă documente în coadă și procesează la restabilire, cu informarea transparentă a utilizatorilor;</w:t>
      </w:r>
    </w:p>
    <w:p>
      <w:pPr>
        <w:pStyle w:val="ListBullet"/>
        <w:spacing w:after="40"/>
        <w:jc w:val="both"/>
      </w:pPr>
      <w:r>
        <w:rPr>
          <w:sz w:val="22"/>
        </w:rPr>
        <w:t>Plan de comunicare de criză și pagină de status public pentru clienții B2B (SLA).</w:t>
      </w:r>
    </w:p>
    <w:p>
      <w:pPr>
        <w:spacing w:after="120"/>
        <w:jc w:val="both"/>
      </w:pPr>
      <w:r>
        <w:rPr>
          <w:b/>
          <w:i w:val="0"/>
          <w:sz w:val="22"/>
        </w:rPr>
        <w:t>Concluzie: profilul de risc al proiectului este tipic unui proiect greenfield de inovare digitală, cu riscuri identificate, măsurabile și acoperite prin însăși arhitectura soluției (straturi deterministe peste AI), prin metodologia de implementare (validare timpurie, milestone-uri go/no-go, buffere) și prin bugetul de contingență. Niciun risc identificat nu are caracter blocant pentru fezabilitatea proiectului.</w:t>
      </w:r>
    </w:p>
    <w:p>
      <w:r>
        <w:br w:type="page"/>
      </w:r>
    </w:p>
    <w:p>
      <w:pPr>
        <w:pStyle w:val="Heading1"/>
      </w:pPr>
      <w:r>
        <w:rPr>
          <w:color w:val="1F3A68"/>
        </w:rPr>
        <w:t>Glosar de termeni tehnici (anexă la Partea a II-a)</w:t>
      </w:r>
    </w:p>
    <w:p>
      <w:pPr>
        <w:spacing w:after="120"/>
        <w:jc w:val="both"/>
      </w:pPr>
      <w:r>
        <w:rPr>
          <w:b w:val="0"/>
          <w:i w:val="0"/>
          <w:sz w:val="22"/>
        </w:rPr>
        <w:t>Pentru facilitarea evaluării, se definesc termenii tehnici utilizați în descrierea proiectului:</w:t>
      </w:r>
    </w:p>
    <w:tbl>
      <w:tblPr>
        <w:tblStyle w:val="LightGrid-Accent1"/>
        <w:tblW w:type="auto" w:w="0"/>
        <w:tblLook w:firstColumn="1" w:firstRow="1" w:lastColumn="0" w:lastRow="0" w:noHBand="0" w:noVBand="1" w:val="04A0"/>
      </w:tblPr>
      <w:tblGrid>
        <w:gridCol w:w="4873"/>
        <w:gridCol w:w="4873"/>
      </w:tblGrid>
      <w:tr>
        <w:tc>
          <w:tcPr>
            <w:tcW w:type="dxa" w:w="2041"/>
            <w:shd w:val="clear" w:color="auto" w:fill="1F3A68"/>
          </w:tcPr>
          <w:p>
            <w:r>
              <w:rPr>
                <w:color w:val="FFFFFF"/>
              </w:rPr>
            </w:r>
            <w:r>
              <w:rPr>
                <w:b/>
                <w:color w:val="FFFFFF"/>
                <w:sz w:val="18"/>
              </w:rPr>
              <w:t>Termen</w:t>
            </w:r>
          </w:p>
        </w:tc>
        <w:tc>
          <w:tcPr>
            <w:tcW w:type="dxa" w:w="7143"/>
            <w:shd w:val="clear" w:color="auto" w:fill="1F3A68"/>
          </w:tcPr>
          <w:p>
            <w:r>
              <w:rPr>
                <w:color w:val="FFFFFF"/>
              </w:rPr>
            </w:r>
            <w:r>
              <w:rPr>
                <w:b/>
                <w:color w:val="FFFFFF"/>
                <w:sz w:val="18"/>
              </w:rPr>
              <w:t>Definiție</w:t>
            </w:r>
          </w:p>
        </w:tc>
      </w:tr>
      <w:tr>
        <w:tc>
          <w:tcPr>
            <w:tcW w:type="dxa" w:w="2041"/>
          </w:tcPr>
          <w:p>
            <w:r/>
            <w:r>
              <w:rPr>
                <w:sz w:val="18"/>
              </w:rPr>
              <w:t>LOINC</w:t>
            </w:r>
          </w:p>
        </w:tc>
        <w:tc>
          <w:tcPr>
            <w:tcW w:type="dxa" w:w="7143"/>
          </w:tcPr>
          <w:p>
            <w:r/>
            <w:r>
              <w:rPr>
                <w:sz w:val="18"/>
              </w:rPr>
              <w:t>Logical Observation Identifiers Names and Codes — nomenclator internațional (Regenstrief Institute) de codificare a observațiilor de laborator; ~97.000 de coduri; standardul de referință pentru interoperabilitatea rezultatelor medicale.</w:t>
            </w:r>
          </w:p>
        </w:tc>
      </w:tr>
      <w:tr>
        <w:tc>
          <w:tcPr>
            <w:tcW w:type="dxa" w:w="2041"/>
          </w:tcPr>
          <w:p>
            <w:r/>
            <w:r>
              <w:rPr>
                <w:sz w:val="18"/>
              </w:rPr>
              <w:t>HL7 FHIR</w:t>
            </w:r>
          </w:p>
        </w:tc>
        <w:tc>
          <w:tcPr>
            <w:tcW w:type="dxa" w:w="7143"/>
          </w:tcPr>
          <w:p>
            <w:r/>
            <w:r>
              <w:rPr>
                <w:sz w:val="18"/>
              </w:rPr>
              <w:t>Fast Healthcare Interoperability Resources — standardul modern de schimb de date medicale între sisteme informatice, adoptat de Spațiul European al Datelor de Sănătate.</w:t>
            </w:r>
          </w:p>
        </w:tc>
      </w:tr>
      <w:tr>
        <w:tc>
          <w:tcPr>
            <w:tcW w:type="dxa" w:w="2041"/>
          </w:tcPr>
          <w:p>
            <w:r/>
            <w:r>
              <w:rPr>
                <w:sz w:val="18"/>
              </w:rPr>
              <w:t>EHDS</w:t>
            </w:r>
          </w:p>
        </w:tc>
        <w:tc>
          <w:tcPr>
            <w:tcW w:type="dxa" w:w="7143"/>
          </w:tcPr>
          <w:p>
            <w:r/>
            <w:r>
              <w:rPr>
                <w:sz w:val="18"/>
              </w:rPr>
              <w:t>European Health Data Space — cadrul european (Regulamentul (UE) 2025/327) pentru portabilitatea și utilizarea secundară a datelor de sănătate.</w:t>
            </w:r>
          </w:p>
        </w:tc>
      </w:tr>
      <w:tr>
        <w:tc>
          <w:tcPr>
            <w:tcW w:type="dxa" w:w="2041"/>
          </w:tcPr>
          <w:p>
            <w:r/>
            <w:r>
              <w:rPr>
                <w:sz w:val="18"/>
              </w:rPr>
              <w:t>LLM multimodal</w:t>
            </w:r>
          </w:p>
        </w:tc>
        <w:tc>
          <w:tcPr>
            <w:tcW w:type="dxa" w:w="7143"/>
          </w:tcPr>
          <w:p>
            <w:r/>
            <w:r>
              <w:rPr>
                <w:sz w:val="18"/>
              </w:rPr>
              <w:t>Model lingvistic mare capabil să proceseze simultan text și imagini/documente (ex. familia Google Gemini) — folosit pentru citirea buletinelor PDF eterogene.</w:t>
            </w:r>
          </w:p>
        </w:tc>
      </w:tr>
      <w:tr>
        <w:tc>
          <w:tcPr>
            <w:tcW w:type="dxa" w:w="2041"/>
          </w:tcPr>
          <w:p>
            <w:r/>
            <w:r>
              <w:rPr>
                <w:sz w:val="18"/>
              </w:rPr>
              <w:t>Embedding semantic</w:t>
            </w:r>
          </w:p>
        </w:tc>
        <w:tc>
          <w:tcPr>
            <w:tcW w:type="dxa" w:w="7143"/>
          </w:tcPr>
          <w:p>
            <w:r/>
            <w:r>
              <w:rPr>
                <w:sz w:val="18"/>
              </w:rPr>
              <w:t>Reprezentare vectorială numerică a unui text (aici: 384 dimensiuni), care permite compararea matematică a semnificațiilor prin similaritate cosinus.</w:t>
            </w:r>
          </w:p>
        </w:tc>
      </w:tr>
      <w:tr>
        <w:tc>
          <w:tcPr>
            <w:tcW w:type="dxa" w:w="2041"/>
          </w:tcPr>
          <w:p>
            <w:r/>
            <w:r>
              <w:rPr>
                <w:sz w:val="18"/>
              </w:rPr>
              <w:t>Potrivire fuzzy</w:t>
            </w:r>
          </w:p>
        </w:tc>
        <w:tc>
          <w:tcPr>
            <w:tcW w:type="dxa" w:w="7143"/>
          </w:tcPr>
          <w:p>
            <w:r/>
            <w:r>
              <w:rPr>
                <w:sz w:val="18"/>
              </w:rPr>
              <w:t>Tehnică de comparare tolerantă la diferențe de scriere (abrevieri, greșeli de tipar), bazată pe distanțe de editare între șiruri.</w:t>
            </w:r>
          </w:p>
        </w:tc>
      </w:tr>
      <w:tr>
        <w:tc>
          <w:tcPr>
            <w:tcW w:type="dxa" w:w="2041"/>
          </w:tcPr>
          <w:p>
            <w:r/>
            <w:r>
              <w:rPr>
                <w:sz w:val="18"/>
              </w:rPr>
              <w:t>Pipeline hibrid</w:t>
            </w:r>
          </w:p>
        </w:tc>
        <w:tc>
          <w:tcPr>
            <w:tcW w:type="dxa" w:w="7143"/>
          </w:tcPr>
          <w:p>
            <w:r/>
            <w:r>
              <w:rPr>
                <w:sz w:val="18"/>
              </w:rPr>
              <w:t>Lanț de procesare care combină mai multe tehnici (deterministe + statistice + semantice) cu un model de ponderare, pentru precizie superioară oricărei tehnici individuale.</w:t>
            </w:r>
          </w:p>
        </w:tc>
      </w:tr>
      <w:tr>
        <w:tc>
          <w:tcPr>
            <w:tcW w:type="dxa" w:w="2041"/>
          </w:tcPr>
          <w:p>
            <w:r/>
            <w:r>
              <w:rPr>
                <w:sz w:val="18"/>
              </w:rPr>
              <w:t>Structured output</w:t>
            </w:r>
          </w:p>
        </w:tc>
        <w:tc>
          <w:tcPr>
            <w:tcW w:type="dxa" w:w="7143"/>
          </w:tcPr>
          <w:p>
            <w:r/>
            <w:r>
              <w:rPr>
                <w:sz w:val="18"/>
              </w:rPr>
              <w:t>Constrângerea răspunsului unui model AI la o schemă strictă (JSON), eliminând răspunsurile malformate.</w:t>
            </w:r>
          </w:p>
        </w:tc>
      </w:tr>
      <w:tr>
        <w:tc>
          <w:tcPr>
            <w:tcW w:type="dxa" w:w="2041"/>
          </w:tcPr>
          <w:p>
            <w:r/>
            <w:r>
              <w:rPr>
                <w:sz w:val="18"/>
              </w:rPr>
              <w:t>Tier promotion</w:t>
            </w:r>
          </w:p>
        </w:tc>
        <w:tc>
          <w:tcPr>
            <w:tcW w:type="dxa" w:w="7143"/>
          </w:tcPr>
          <w:p>
            <w:r/>
            <w:r>
              <w:rPr>
                <w:sz w:val="18"/>
              </w:rPr>
              <w:t>Escaladarea automată de la un model AI economic la unul performant, exclusiv pentru cazurile care eșuează validările.</w:t>
            </w:r>
          </w:p>
        </w:tc>
      </w:tr>
      <w:tr>
        <w:tc>
          <w:tcPr>
            <w:tcW w:type="dxa" w:w="2041"/>
          </w:tcPr>
          <w:p>
            <w:r/>
            <w:r>
              <w:rPr>
                <w:sz w:val="18"/>
              </w:rPr>
              <w:t>Freemium</w:t>
            </w:r>
          </w:p>
        </w:tc>
        <w:tc>
          <w:tcPr>
            <w:tcW w:type="dxa" w:w="7143"/>
          </w:tcPr>
          <w:p>
            <w:r/>
            <w:r>
              <w:rPr>
                <w:sz w:val="18"/>
              </w:rPr>
              <w:t>Model comercial cu nivel de bază gratuit și funcționalități avansate contra abonament.</w:t>
            </w:r>
          </w:p>
        </w:tc>
      </w:tr>
      <w:tr>
        <w:tc>
          <w:tcPr>
            <w:tcW w:type="dxa" w:w="2041"/>
          </w:tcPr>
          <w:p>
            <w:r/>
            <w:r>
              <w:rPr>
                <w:sz w:val="18"/>
              </w:rPr>
              <w:t>Multi-tenant</w:t>
            </w:r>
          </w:p>
        </w:tc>
        <w:tc>
          <w:tcPr>
            <w:tcW w:type="dxa" w:w="7143"/>
          </w:tcPr>
          <w:p>
            <w:r/>
            <w:r>
              <w:rPr>
                <w:sz w:val="18"/>
              </w:rPr>
              <w:t>Arhitectură în care mai mulți clienți (clinici) folosesc aceeași instalare, cu izolare strictă a datelor între ei.</w:t>
            </w:r>
          </w:p>
        </w:tc>
      </w:tr>
      <w:tr>
        <w:tc>
          <w:tcPr>
            <w:tcW w:type="dxa" w:w="2041"/>
          </w:tcPr>
          <w:p>
            <w:r/>
            <w:r>
              <w:rPr>
                <w:sz w:val="18"/>
              </w:rPr>
              <w:t>CI/CD</w:t>
            </w:r>
          </w:p>
        </w:tc>
        <w:tc>
          <w:tcPr>
            <w:tcW w:type="dxa" w:w="7143"/>
          </w:tcPr>
          <w:p>
            <w:r/>
            <w:r>
              <w:rPr>
                <w:sz w:val="18"/>
              </w:rPr>
              <w:t>Integrare și livrare continuă — automatizarea build-ului, testării și publicării fiecărei versiuni.</w:t>
            </w:r>
          </w:p>
        </w:tc>
      </w:tr>
      <w:tr>
        <w:tc>
          <w:tcPr>
            <w:tcW w:type="dxa" w:w="2041"/>
          </w:tcPr>
          <w:p>
            <w:r/>
            <w:r>
              <w:rPr>
                <w:sz w:val="18"/>
              </w:rPr>
              <w:t>IaC</w:t>
            </w:r>
          </w:p>
        </w:tc>
        <w:tc>
          <w:tcPr>
            <w:tcW w:type="dxa" w:w="7143"/>
          </w:tcPr>
          <w:p>
            <w:r/>
            <w:r>
              <w:rPr>
                <w:sz w:val="18"/>
              </w:rPr>
              <w:t>Infrastructure as Code — definirea infrastructurii cloud în fișiere de cod versionate, reproductibile.</w:t>
            </w:r>
          </w:p>
        </w:tc>
      </w:tr>
      <w:tr>
        <w:tc>
          <w:tcPr>
            <w:tcW w:type="dxa" w:w="2041"/>
          </w:tcPr>
          <w:p>
            <w:r/>
            <w:r>
              <w:rPr>
                <w:sz w:val="18"/>
              </w:rPr>
              <w:t>DPIA</w:t>
            </w:r>
          </w:p>
        </w:tc>
        <w:tc>
          <w:tcPr>
            <w:tcW w:type="dxa" w:w="7143"/>
          </w:tcPr>
          <w:p>
            <w:r/>
            <w:r>
              <w:rPr>
                <w:sz w:val="18"/>
              </w:rPr>
              <w:t>Data Protection Impact Assessment — evaluarea de impact asupra protecției datelor, obligatorie GDPR pentru prelucrarea datelor de sănătate la scară largă.</w:t>
            </w:r>
          </w:p>
        </w:tc>
      </w:tr>
      <w:tr>
        <w:tc>
          <w:tcPr>
            <w:tcW w:type="dxa" w:w="2041"/>
          </w:tcPr>
          <w:p>
            <w:r/>
            <w:r>
              <w:rPr>
                <w:sz w:val="18"/>
              </w:rPr>
              <w:t>SCA / 3-D Secure</w:t>
            </w:r>
          </w:p>
        </w:tc>
        <w:tc>
          <w:tcPr>
            <w:tcW w:type="dxa" w:w="7143"/>
          </w:tcPr>
          <w:p>
            <w:r/>
            <w:r>
              <w:rPr>
                <w:sz w:val="18"/>
              </w:rPr>
              <w:t>Autentificarea strictă a clienților la plățile online, obligatorie în UE (PSD2).</w:t>
            </w:r>
          </w:p>
        </w:tc>
      </w:tr>
      <w:tr>
        <w:tc>
          <w:tcPr>
            <w:tcW w:type="dxa" w:w="2041"/>
          </w:tcPr>
          <w:p>
            <w:r/>
            <w:r>
              <w:rPr>
                <w:sz w:val="18"/>
              </w:rPr>
              <w:t>RPO / RTO</w:t>
            </w:r>
          </w:p>
        </w:tc>
        <w:tc>
          <w:tcPr>
            <w:tcW w:type="dxa" w:w="7143"/>
          </w:tcPr>
          <w:p>
            <w:r/>
            <w:r>
              <w:rPr>
                <w:sz w:val="18"/>
              </w:rPr>
              <w:t>Recovery Point/Time Objective — pierderea maximă de date, respectiv durata maximă de indisponibilitate acceptate la un dezastru.</w:t>
            </w:r>
          </w:p>
        </w:tc>
      </w:tr>
      <w:tr>
        <w:tc>
          <w:tcPr>
            <w:tcW w:type="dxa" w:w="2041"/>
          </w:tcPr>
          <w:p>
            <w:r/>
            <w:r>
              <w:rPr>
                <w:sz w:val="18"/>
              </w:rPr>
              <w:t>TRL</w:t>
            </w:r>
          </w:p>
        </w:tc>
        <w:tc>
          <w:tcPr>
            <w:tcW w:type="dxa" w:w="7143"/>
          </w:tcPr>
          <w:p>
            <w:r/>
            <w:r>
              <w:rPr>
                <w:sz w:val="18"/>
              </w:rPr>
              <w:t>Technology Readiness Level — scara 1–9 de maturitate tehnologică (de la concept la produs operațional pe piață).</w:t>
            </w:r>
          </w:p>
        </w:tc>
      </w:tr>
      <w:tr>
        <w:tc>
          <w:tcPr>
            <w:tcW w:type="dxa" w:w="2041"/>
          </w:tcPr>
          <w:p>
            <w:r/>
            <w:r>
              <w:rPr>
                <w:sz w:val="18"/>
              </w:rPr>
              <w:t>MRR / CAC</w:t>
            </w:r>
          </w:p>
        </w:tc>
        <w:tc>
          <w:tcPr>
            <w:tcW w:type="dxa" w:w="7143"/>
          </w:tcPr>
          <w:p>
            <w:r/>
            <w:r>
              <w:rPr>
                <w:sz w:val="18"/>
              </w:rPr>
              <w:t>Monthly Recurring Revenue — venitul lunar recurent; Customer Acquisition Cost — costul mediu de achiziție al unui client.</w:t>
            </w:r>
          </w:p>
        </w:tc>
      </w:tr>
      <w:tr>
        <w:tc>
          <w:tcPr>
            <w:tcW w:type="dxa" w:w="2041"/>
          </w:tcPr>
          <w:p>
            <w:r/>
            <w:r>
              <w:rPr>
                <w:sz w:val="18"/>
              </w:rPr>
              <w:t>WCAG 2.1 AA</w:t>
            </w:r>
          </w:p>
        </w:tc>
        <w:tc>
          <w:tcPr>
            <w:tcW w:type="dxa" w:w="7143"/>
          </w:tcPr>
          <w:p>
            <w:r/>
            <w:r>
              <w:rPr>
                <w:sz w:val="18"/>
              </w:rPr>
              <w:t>Standardul de accesibilitate web pentru persoane cu dizabilități, nivelul de conformitate AA.</w:t>
            </w:r>
          </w:p>
        </w:tc>
      </w:tr>
      <w:tr>
        <w:tc>
          <w:tcPr>
            <w:tcW w:type="dxa" w:w="2041"/>
          </w:tcPr>
          <w:p>
            <w:r/>
            <w:r>
              <w:rPr>
                <w:sz w:val="18"/>
              </w:rPr>
              <w:t>SLA</w:t>
            </w:r>
          </w:p>
        </w:tc>
        <w:tc>
          <w:tcPr>
            <w:tcW w:type="dxa" w:w="7143"/>
          </w:tcPr>
          <w:p>
            <w:r/>
            <w:r>
              <w:rPr>
                <w:sz w:val="18"/>
              </w:rPr>
              <w:t>Service Level Agreement — angajament contractual de disponibilitate și timp de răspuns.</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