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1</w:t>
      </w:r>
    </w:p>
    <w:p w14:paraId="5E65D2D3" w14:textId="79F06342" w:rsidR="00FE229D" w:rsidRDefault="00390FA7">
      <w:r>
        <w:t xml:space="preserve">N°: </w:t>
        <w:tab/>
        <w:tab/>
        <w:t>MEM-2025-0002</w:t>
      </w:r>
    </w:p>
    <w:p w14:paraId="0355D9DF" w14:textId="6C02E62D" w:rsidR="00FE229D" w:rsidRDefault="00390FA7">
      <w:r>
        <w:t xml:space="preserve">Tipo: </w:t>
        <w:tab/>
        <w:tab/>
        <w:t>Licencia sin goce (1 día)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3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03/11/2025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5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Cautelar y responder por el uso de los bienes de la empresa asignados a su cargo.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2025-11-05,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ssss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S.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06/11/2025),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