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42C1E"/>
          <w:sz w:val="52"/>
        </w:rPr>
        <w:t>Executive Business Proposal</w:t>
      </w:r>
    </w:p>
    <w:p>
      <w:pPr>
        <w:spacing w:after="320"/>
      </w:pPr>
      <w:r>
        <w:rPr>
          <w:rFonts w:ascii="Calibri" w:hAnsi="Calibri"/>
          <w:color w:val="065F46"/>
          <w:sz w:val="30"/>
        </w:rPr>
        <w:t>Commercial Strategy &amp; Value Unlock for the Hermit Intelligence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475569"/>
                <w:sz w:val="20"/>
              </w:rPr>
              <w:t>Target Audience:</w:t>
            </w:r>
          </w:p>
        </w:tc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Executive Leadership &amp; Board of Directors</w:t>
            </w:r>
          </w:p>
        </w:tc>
      </w:tr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475569"/>
                <w:sz w:val="20"/>
              </w:rPr>
              <w:t>Document Version:</w:t>
            </w:r>
          </w:p>
        </w:tc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1.0 (Confidential Commercial Brief)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042C1E"/>
          <w:sz w:val="32"/>
        </w:rPr>
        <w:t>1. Executive Summary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2"/>
        </w:rPr>
        <w:t>Hermit has matured from an internal media tracking tool into an enterprise-grade Energy Sector Intelligence &amp; Media Monitoring Platform. Zimbabwe and the Southern African Power Pool (SAPP) are undergoing an unprecedented multi-billion dollar clean energy transition, spurred by acute grid deficits, mining captive-power mandates, and aggressive IPP licensing. However, the market operates with severe information opacity.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2"/>
        </w:rPr>
        <w:t>By packaging Hermit as an institutional B2B intelligence subscription and advisory service, our company can capture high-margin, recurring revenue from mining conglomerates, commercial banks, IPP developers, and transaction advisory firms who cannot afford blind spots.</w:t>
      </w:r>
    </w:p>
    <w:p>
      <w:pPr>
        <w:keepNext/>
        <w:spacing w:before="320" w:after="120"/>
      </w:pPr>
      <w:r>
        <w:rPr>
          <w:rFonts w:ascii="Calibri" w:hAnsi="Calibri"/>
          <w:b/>
          <w:color w:val="042C1E"/>
          <w:sz w:val="32"/>
        </w:rPr>
        <w:t>2. The Market Opportunity &amp; Core Problem</w:t>
      </w:r>
    </w:p>
    <w:p>
      <w:pPr>
        <w:keepNext/>
        <w:spacing w:before="240" w:after="80"/>
      </w:pPr>
      <w:r>
        <w:rPr>
          <w:rFonts w:ascii="Calibri" w:hAnsi="Calibri"/>
          <w:b/>
          <w:color w:val="065F46"/>
          <w:sz w:val="25"/>
        </w:rPr>
        <w:t>The Industry Challenge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Severe Data Fragmentation: </w:t>
      </w:r>
      <w:r>
        <w:rPr>
          <w:rFonts w:ascii="Calibri" w:hAnsi="Calibri"/>
          <w:color w:val="0F172A"/>
          <w:sz w:val="21"/>
        </w:rPr>
        <w:t>Critical energy policies, tariff revisions, and procurement opportunities are scattered across 70+ state portals, private press, ZERA gazettes, and statutory instruments.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Costly Blindspots: </w:t>
      </w:r>
      <w:r>
        <w:rPr>
          <w:rFonts w:ascii="Calibri" w:hAnsi="Calibri"/>
          <w:color w:val="0F172A"/>
          <w:sz w:val="21"/>
        </w:rPr>
        <w:t>Missing a statutory instrument (SI) or grid allocation update can jeopardize multi-million-dollar project finance. Today, companies rely on slow, manual clippings or learn about policy shifts after competitors have already positioned themselves.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High Overhead: </w:t>
      </w:r>
      <w:r>
        <w:rPr>
          <w:rFonts w:ascii="Calibri" w:hAnsi="Calibri"/>
          <w:color w:val="0F172A"/>
          <w:sz w:val="21"/>
        </w:rPr>
        <w:t>Institutions spend thousands of dollars monthly paying analysts to aggregate fragmented press reports without taxonomy, verified citations, or historical searchability.</w:t>
      </w:r>
    </w:p>
    <w:p>
      <w:pPr>
        <w:keepNext/>
        <w:spacing w:before="240" w:after="80"/>
      </w:pPr>
      <w:r>
        <w:rPr>
          <w:rFonts w:ascii="Calibri" w:hAnsi="Calibri"/>
          <w:b/>
          <w:color w:val="065F46"/>
          <w:sz w:val="25"/>
        </w:rPr>
        <w:t>The Hermit Solution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Autonomous 24/7 Surveillance: </w:t>
      </w:r>
      <w:r>
        <w:rPr>
          <w:rFonts w:ascii="Calibri" w:hAnsi="Calibri"/>
          <w:color w:val="0F172A"/>
          <w:sz w:val="21"/>
        </w:rPr>
        <w:t>Continuously monitors 70+ high-value sources with automated deduplication, tag classification, and sentiment mapping.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Executive Daily Brief Generator: </w:t>
      </w:r>
      <w:r>
        <w:rPr>
          <w:rFonts w:ascii="Calibri" w:hAnsi="Calibri"/>
          <w:color w:val="0F172A"/>
          <w:sz w:val="21"/>
        </w:rPr>
        <w:t>Synthesizes hundreds of weekly articles into concise, actionable executive briefings categorized by Tariffs, Policy, Grid Updates, and Infrastructure.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Citation-Grounded AI Assistant: </w:t>
      </w:r>
      <w:r>
        <w:rPr>
          <w:rFonts w:ascii="Calibri" w:hAnsi="Calibri"/>
          <w:color w:val="0F172A"/>
          <w:sz w:val="21"/>
        </w:rPr>
        <w:t>Provides an on-demand AI drawer answering queries strictly against verifiable statutory records and articles, eliminating hallucinations and ensuring board-level reliability.</w:t>
      </w:r>
    </w:p>
    <w:p>
      <w:pPr>
        <w:keepNext/>
        <w:spacing w:before="320" w:after="120"/>
      </w:pPr>
      <w:r>
        <w:rPr>
          <w:rFonts w:ascii="Calibri" w:hAnsi="Calibri"/>
          <w:b/>
          <w:color w:val="042C1E"/>
          <w:sz w:val="32"/>
        </w:rPr>
        <w:t>3. Target Market &amp; Ideal Customer Profile (ICP)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65F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Client Segment</w:t>
            </w:r>
          </w:p>
        </w:tc>
        <w:tc>
          <w:tcPr>
            <w:tcW w:type="dxa" w:w="3120"/>
            <w:shd w:val="clear" w:color="auto" w:fill="065F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 Entities</w:t>
            </w:r>
          </w:p>
        </w:tc>
        <w:tc>
          <w:tcPr>
            <w:tcW w:type="dxa" w:w="3120"/>
            <w:shd w:val="clear" w:color="auto" w:fill="065F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Primary Business Driver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Mining Houses &amp; Heavy Industry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Zimplats, Caledonia Mining, Mimosa, RioZim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Captive solar/hydro feasibility, tariff escalators, grid reliability</w:t>
            </w:r>
          </w:p>
        </w:tc>
      </w:tr>
      <w:tr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Independent Power Producers (IPPs)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Nyangani Renewable, Centragrid, Intratrek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PPA approvals, tariff indexation, ZETDC grid connection queues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Commercial Banks &amp; DFIs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Stanbic, CBZ, CABS, Afreximbank, IFC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Due diligence, project debt underwriting, regulatory and political risk</w:t>
            </w:r>
          </w:p>
        </w:tc>
      </w:tr>
      <w:tr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Corporate Law &amp; Transaction Advisory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Energy M&amp;A teams, Deloitte, PwC, KPMG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Regulatory surveillance, statutory instruments, compliance advisory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042C1E"/>
          <w:sz w:val="32"/>
        </w:rPr>
        <w:t>4. Monetization Model &amp; Pricing Architecture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2"/>
        </w:rPr>
        <w:t>We recommend a three-tiered revenue model combining recurring software licenses with high-value consultative deliverables:</w:t>
      </w:r>
    </w:p>
    <w:p>
      <w:pPr>
        <w:keepNext/>
        <w:spacing w:before="240" w:after="80"/>
      </w:pPr>
      <w:r>
        <w:rPr>
          <w:rFonts w:ascii="Calibri" w:hAnsi="Calibri"/>
          <w:b/>
          <w:color w:val="065F46"/>
          <w:sz w:val="25"/>
        </w:rPr>
        <w:t>Stream A: Tiered Corporate SaaS (Recurring Monthly ARR)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Professional Seat ($250/mo): </w:t>
      </w:r>
      <w:r>
        <w:rPr>
          <w:rFonts w:ascii="Calibri" w:hAnsi="Calibri"/>
          <w:color w:val="0F172A"/>
          <w:sz w:val="21"/>
        </w:rPr>
        <w:t>Geared for independent energy consultants, engineers, and single analysts. Includes full portal search, daily briefs, and standard news feeds.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Corporate Team License ($1,200/mo): </w:t>
      </w:r>
      <w:r>
        <w:rPr>
          <w:rFonts w:ascii="Calibri" w:hAnsi="Calibri"/>
          <w:color w:val="0F172A"/>
          <w:sz w:val="21"/>
        </w:rPr>
        <w:t>Up to 5 corporate seats, real-time priority alerts via SMS/WhatsApp, full citation-backed AI assistant access, and one-click PDF board reports.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Enterprise License ($3,000/mo): </w:t>
      </w:r>
      <w:r>
        <w:rPr>
          <w:rFonts w:ascii="Calibri" w:hAnsi="Calibri"/>
          <w:color w:val="0F172A"/>
          <w:sz w:val="21"/>
        </w:rPr>
        <w:t>Unlimited team access, custom competitor/portfolio keyword surveillance, API access, and dedicated data account manager.</w:t>
      </w:r>
    </w:p>
    <w:p>
      <w:pPr>
        <w:keepNext/>
        <w:spacing w:before="240" w:after="80"/>
      </w:pPr>
      <w:r>
        <w:rPr>
          <w:rFonts w:ascii="Calibri" w:hAnsi="Calibri"/>
          <w:b/>
          <w:color w:val="065F46"/>
          <w:sz w:val="25"/>
        </w:rPr>
        <w:t>Stream B: Premium Industry Dossiers &amp; Advisory Packs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Quarterly 'State of Zimbabwe Energy' Dossier ($2,500/purchase): </w:t>
      </w:r>
      <w:r>
        <w:rPr>
          <w:rFonts w:ascii="Calibri" w:hAnsi="Calibri"/>
          <w:color w:val="0F172A"/>
          <w:sz w:val="21"/>
        </w:rPr>
        <w:t>Comprehensive 35-page deep dive on tariff trends, installed capacity vs. national targets, and currency risks.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Pre-Investment Due Diligence Packs ($5,000 - $10,000/report): </w:t>
      </w:r>
      <w:r>
        <w:rPr>
          <w:rFonts w:ascii="Calibri" w:hAnsi="Calibri"/>
          <w:color w:val="0F172A"/>
          <w:sz w:val="21"/>
        </w:rPr>
        <w:t>Tailored media and regulatory audits on specific energy assets or local consortia for international investors.</w:t>
      </w:r>
    </w:p>
    <w:p>
      <w:pPr>
        <w:keepNext/>
        <w:spacing w:before="240" w:after="80"/>
      </w:pPr>
      <w:r>
        <w:rPr>
          <w:rFonts w:ascii="Calibri" w:hAnsi="Calibri"/>
          <w:b/>
          <w:color w:val="065F46"/>
          <w:sz w:val="25"/>
        </w:rPr>
        <w:t>Stream C: Fast-Track Tender Surveillance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Procurement &amp; Tender Alerts ($500/mo add-on): </w:t>
      </w:r>
      <w:r>
        <w:rPr>
          <w:rFonts w:ascii="Calibri" w:hAnsi="Calibri"/>
          <w:color w:val="0F172A"/>
          <w:sz w:val="21"/>
        </w:rPr>
        <w:t>Real-time alerts tracking PRAZ, ZETDC, REA tenders, and private mine procurement RFPs delivered within 15 minutes of publication.</w:t>
      </w:r>
    </w:p>
    <w:p>
      <w:pPr>
        <w:keepNext/>
        <w:spacing w:before="320" w:after="120"/>
      </w:pPr>
      <w:r>
        <w:rPr>
          <w:rFonts w:ascii="Calibri" w:hAnsi="Calibri"/>
          <w:b/>
          <w:color w:val="042C1E"/>
          <w:sz w:val="32"/>
        </w:rPr>
        <w:t>5. First-Year Financial Projections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val="clear" w:color="auto"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Milestone Target</w:t>
            </w:r>
          </w:p>
        </w:tc>
        <w:tc>
          <w:tcPr>
            <w:tcW w:type="dxa" w:w="2340"/>
            <w:shd w:val="clear" w:color="auto"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Paying Accounts</w:t>
            </w:r>
          </w:p>
        </w:tc>
        <w:tc>
          <w:tcPr>
            <w:tcW w:type="dxa" w:w="2340"/>
            <w:shd w:val="clear" w:color="auto"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Projected Revenue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Q1: Launch &amp; Validation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 VIP corporate pilots → 4 converted accounts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4 Corporate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42C1E"/>
                <w:sz w:val="19"/>
              </w:rPr>
              <w:t>$4,800 / mo ($57,600 ARR)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Q2: Expansion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Direct enterprise sales + 1 Quarterly Dossier release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8 Corporate + 5 Dossiers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42C1E"/>
                <w:sz w:val="19"/>
              </w:rPr>
              <w:t>$12,100 / mo ($145,200 Run-Rate)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Q3 - Q4: Scale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15 Corporate accounts + 2 Enterprise tier + Dossiers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17 Accounts total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42C1E"/>
                <w:sz w:val="19"/>
              </w:rPr>
              <w:t>$25,000+ / mo ($300,000+ ARR)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2"/>
        </w:rPr>
        <w:t xml:space="preserve">High Operating Leverage: </w:t>
      </w:r>
      <w:r>
        <w:rPr>
          <w:rFonts w:ascii="Calibri" w:hAnsi="Calibri"/>
          <w:color w:val="0F172A"/>
          <w:sz w:val="22"/>
        </w:rPr>
        <w:t>Key Unit Economics: Operating margins exceed 85%. The platform infrastructure, database, and UI are already built; marginal costs per client consist almost entirely of low-cost LLM API tokens and server hosting.</w:t>
      </w:r>
    </w:p>
    <w:p>
      <w:pPr>
        <w:keepNext/>
        <w:spacing w:before="320" w:after="120"/>
      </w:pPr>
      <w:r>
        <w:rPr>
          <w:rFonts w:ascii="Calibri" w:hAnsi="Calibri"/>
          <w:b/>
          <w:color w:val="042C1E"/>
          <w:sz w:val="32"/>
        </w:rPr>
        <w:t>6. Competitive Moat &amp; Current Readiness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Fully Functional Platform: </w:t>
      </w:r>
      <w:r>
        <w:rPr>
          <w:rFonts w:ascii="Calibri" w:hAnsi="Calibri"/>
          <w:color w:val="0F172A"/>
          <w:sz w:val="21"/>
        </w:rPr>
        <w:t>Unlike a slide deck concept, Hermit is operational today with live ingestion from 70+ portals, Supabase authentication, and interactive dashboards.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Proprietary Domain Taxonomy: </w:t>
      </w:r>
      <w:r>
        <w:rPr>
          <w:rFonts w:ascii="Calibri" w:hAnsi="Calibri"/>
          <w:color w:val="0F172A"/>
          <w:sz w:val="21"/>
        </w:rPr>
        <w:t>Pre-calibrated specifically for Zimbabwean grid, IPP, currency, and renewable regulatory jargon.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Zero Hallucination Architecture: </w:t>
      </w:r>
      <w:r>
        <w:rPr>
          <w:rFonts w:ascii="Calibri" w:hAnsi="Calibri"/>
          <w:color w:val="0F172A"/>
          <w:sz w:val="21"/>
        </w:rPr>
        <w:t>The AI chat assistant cites verbatim sources and statutory numbers, satisfying the rigorous verification standards of corporate compliance teams.</w:t>
      </w:r>
    </w:p>
    <w:p>
      <w:pPr>
        <w:keepNext/>
        <w:spacing w:before="320" w:after="120"/>
      </w:pPr>
      <w:r>
        <w:rPr>
          <w:rFonts w:ascii="Calibri" w:hAnsi="Calibri"/>
          <w:b/>
          <w:color w:val="042C1E"/>
          <w:sz w:val="32"/>
        </w:rPr>
        <w:t>7. Immediate 90-Day Execution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Days 1 - 15: Corporate Packaging: </w:t>
      </w:r>
      <w:r>
        <w:rPr>
          <w:rFonts w:ascii="Calibri" w:hAnsi="Calibri"/>
          <w:color w:val="0F172A"/>
          <w:sz w:val="21"/>
        </w:rPr>
        <w:t>Finalize corporate landing page, export templates, and standardized client onboarding documents.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Days 16 - 45: The 'Alpha 20' Pilot Campaign: </w:t>
      </w:r>
      <w:r>
        <w:rPr>
          <w:rFonts w:ascii="Calibri" w:hAnsi="Calibri"/>
          <w:color w:val="0F172A"/>
          <w:sz w:val="21"/>
        </w:rPr>
        <w:t>Identify 20 key executives across 5 banks, 5 IPPs, 5 mining houses, and 5 advisory firms. Issue exclusive 30-day VIP trial credentials.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Days 46 - 60: Commercial Contracting: </w:t>
      </w:r>
      <w:r>
        <w:rPr>
          <w:rFonts w:ascii="Calibri" w:hAnsi="Calibri"/>
          <w:color w:val="0F172A"/>
          <w:sz w:val="21"/>
        </w:rPr>
        <w:t>Offer pilot participants an early-adopter annual contract with a 20% discount (e.g. $10,000/yr upfront). Convert 3 to 5 clients.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Days 61 - 90: Industry Dossier Launch: </w:t>
      </w:r>
      <w:r>
        <w:rPr>
          <w:rFonts w:ascii="Calibri" w:hAnsi="Calibri"/>
          <w:color w:val="0F172A"/>
          <w:sz w:val="21"/>
        </w:rPr>
        <w:t>Publish the Q1 Zimbabwe Clean Energy &amp; IPP Dossier to establish market authority and fuel inbound lead generation.</w:t>
      </w:r>
    </w:p>
    <w:p>
      <w:pPr>
        <w:keepNext/>
        <w:spacing w:before="320" w:after="120"/>
      </w:pPr>
      <w:r>
        <w:rPr>
          <w:rFonts w:ascii="Calibri" w:hAnsi="Calibri"/>
          <w:b/>
          <w:color w:val="042C1E"/>
          <w:sz w:val="32"/>
        </w:rPr>
        <w:t>8. The Decision / Next Steps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2"/>
        </w:rPr>
        <w:t>To move forward with commercializing Hermit, we request leadership approval on two items: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Commercial Pilot Authorization: </w:t>
      </w:r>
      <w:r>
        <w:rPr>
          <w:rFonts w:ascii="Calibri" w:hAnsi="Calibri"/>
          <w:color w:val="0F172A"/>
          <w:sz w:val="21"/>
        </w:rPr>
        <w:t>Permission to initiate outbound engagement with 20 select target enterprises under the Hermit banner.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Go-To-Market Resource: </w:t>
      </w:r>
      <w:r>
        <w:rPr>
          <w:rFonts w:ascii="Calibri" w:hAnsi="Calibri"/>
          <w:color w:val="0F172A"/>
          <w:sz w:val="21"/>
        </w:rPr>
        <w:t>A nominal commercialization budget of under $2,000 for executive presentation collateral, digital onboarding materials, and target outreach.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