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07C41"/>
          <w:sz w:val="20"/>
        </w:rPr>
        <w:t>HERMIT SUSTAINABILITY ADVISORY</w:t>
      </w:r>
    </w:p>
    <w:p>
      <w:pPr>
        <w:spacing w:before="0" w:after="80"/>
      </w:pPr>
      <w:r>
        <w:rPr>
          <w:b/>
          <w:color w:val="0E2B3E"/>
          <w:sz w:val="44"/>
        </w:rPr>
        <w:t>Active Funding Opportunities &amp; Project Preparation Facilities</w:t>
      </w:r>
    </w:p>
    <w:p>
      <w:pPr>
        <w:spacing w:before="0" w:after="360"/>
      </w:pPr>
      <w:r>
        <w:rPr>
          <w:i/>
          <w:color w:val="646464"/>
          <w:sz w:val="22"/>
        </w:rPr>
        <w:t>Strategic Capital Matching for the Quad Nexus: Energy, Water, Food &amp; Waste-to-Energy | October 2026</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0" w:after="80"/>
            </w:pPr>
            <w:r>
              <w:rPr>
                <w:b/>
                <w:color w:val="0E2B3E"/>
                <w:sz w:val="22"/>
              </w:rPr>
              <w:t>Strategic Alignment &amp; Context</w:t>
            </w:r>
          </w:p>
          <w:p>
            <w:pPr>
              <w:spacing w:before="0" w:after="0"/>
            </w:pPr>
            <w:r>
              <w:rPr>
                <w:sz w:val="19"/>
              </w:rPr>
              <w:t>Hermit Sustainability Advisory is positioned uniquely across Africa at the Quad Nexus of Energy, Water, Food, and Waste-to-Energy. With core strengths in bankable project preparation (PVsyst hourly yield simulation, first-principles hydraulic modeling, Class 5 costing, ESIA scoping, and SPV structuring) as well as an active pipeline (Kariba 250–1,000 MW hydro-solar hybrid, Osborne 100 MW floating solar, Midlands 50 MW, Rufaro 50 MW, NRZ-CPF rooftop solar, and small hydro Odzani/Nyahode), funding must target Project Preparation Facilities (PPF), concessional climate capital, and catalytic grant windows. The 10 facilities below represent the highest-conviction active opportunities.</w:t>
            </w:r>
          </w:p>
        </w:tc>
      </w:tr>
    </w:tbl>
    <w:p>
      <w:pPr>
        <w:spacing w:after="240"/>
      </w:pPr>
    </w:p>
    <w:p>
      <w:pPr>
        <w:spacing w:before="280" w:after="40"/>
      </w:pPr>
      <w:r>
        <w:rPr>
          <w:b/>
          <w:color w:val="107C41"/>
          <w:sz w:val="26"/>
        </w:rPr>
        <w:t xml:space="preserve">1. </w:t>
      </w:r>
      <w:r>
        <w:rPr>
          <w:b/>
          <w:color w:val="0E2B3E"/>
          <w:sz w:val="26"/>
        </w:rPr>
        <w:t>Sustainable Energy Fund for Africa (SEFA) – AfDB</w:t>
      </w:r>
    </w:p>
    <w:p>
      <w:pPr>
        <w:spacing w:before="0" w:after="80"/>
      </w:pPr>
      <w:r>
        <w:rPr>
          <w:b/>
          <w:sz w:val="19"/>
        </w:rPr>
        <w:t xml:space="preserve">Funding Type: </w:t>
      </w:r>
      <w:r>
        <w:rPr>
          <w:sz w:val="19"/>
        </w:rPr>
        <w:t>Project Preparation Grants ($250,000 – $1,000,000+) &amp; Concessional Debt/Equity</w:t>
        <w:br/>
      </w:r>
      <w:r>
        <w:rPr>
          <w:b/>
          <w:sz w:val="19"/>
        </w:rPr>
        <w:t xml:space="preserve">Thematic Focus: </w:t>
      </w:r>
      <w:r>
        <w:rPr>
          <w:sz w:val="19"/>
        </w:rPr>
        <w:t>Green Baseload &amp; Energy Efficiency (floating PV, hydro-solar hybridization, storage)</w:t>
      </w:r>
    </w:p>
    <w:p>
      <w:pPr>
        <w:spacing w:before="80" w:after="40"/>
      </w:pPr>
      <w:r>
        <w:rPr>
          <w:b/>
          <w:color w:val="0E2B3E"/>
          <w:sz w:val="20"/>
        </w:rPr>
        <w:t>Key Eligibility &amp; Requirements:</w:t>
      </w:r>
    </w:p>
    <w:p>
      <w:pPr>
        <w:pStyle w:val="ListBullet"/>
        <w:spacing w:before="0" w:after="40"/>
      </w:pPr>
      <w:r>
        <w:rPr>
          <w:sz w:val="19"/>
        </w:rPr>
        <w:t>Target project must be located in an African Development Bank (AfDB) regional member country (Zimbabwe is eligible).</w:t>
      </w:r>
    </w:p>
    <w:p>
      <w:pPr>
        <w:pStyle w:val="ListBullet"/>
        <w:spacing w:before="0" w:after="40"/>
      </w:pPr>
      <w:r>
        <w:rPr>
          <w:sz w:val="19"/>
        </w:rPr>
        <w:t>Proven technical feasibility and data integrity (Hermit's Class 5 cost accuracy, hourly PVsyst simulations, and hydraulic models directly satisfy this).</w:t>
      </w:r>
    </w:p>
    <w:p>
      <w:pPr>
        <w:pStyle w:val="ListBullet"/>
        <w:spacing w:before="0" w:after="40"/>
      </w:pPr>
      <w:r>
        <w:rPr>
          <w:sz w:val="19"/>
        </w:rPr>
        <w:t>Demonstrated developmental impact, GHG emissions abatement, and alignment with national clean energy compacts.</w:t>
      </w:r>
    </w:p>
    <w:p>
      <w:pPr>
        <w:spacing w:before="80" w:after="200"/>
      </w:pPr>
      <w:r>
        <w:rPr>
          <w:b/>
          <w:color w:val="107C41"/>
          <w:sz w:val="19"/>
        </w:rPr>
        <w:t xml:space="preserve">Strategic Fit &amp; Decision Factors: </w:t>
      </w:r>
      <w:r>
        <w:rPr>
          <w:sz w:val="19"/>
        </w:rPr>
        <w:t>SEFA has an explicit mandate prioritizing innovative hybridization (floating solar on hydro reservoirs and storage integration). Hermit's Kariba (250–1,000 MW) and Osborne Dam (100 MW) concepts are ideal candidates. Note: Approval cycles run 6–12 months.</w:t>
      </w:r>
    </w:p>
    <w:p>
      <w:pPr>
        <w:spacing w:before="280" w:after="40"/>
      </w:pPr>
      <w:r>
        <w:rPr>
          <w:b/>
          <w:color w:val="107C41"/>
          <w:sz w:val="26"/>
        </w:rPr>
        <w:t xml:space="preserve">2. </w:t>
      </w:r>
      <w:r>
        <w:rPr>
          <w:b/>
          <w:color w:val="0E2B3E"/>
          <w:sz w:val="26"/>
        </w:rPr>
        <w:t>Energy and Environment Partnership Trust Fund (EEP Africa)</w:t>
      </w:r>
    </w:p>
    <w:p>
      <w:pPr>
        <w:spacing w:before="0" w:after="80"/>
      </w:pPr>
      <w:r>
        <w:rPr>
          <w:b/>
          <w:sz w:val="19"/>
        </w:rPr>
        <w:t xml:space="preserve">Funding Type: </w:t>
      </w:r>
      <w:r>
        <w:rPr>
          <w:sz w:val="19"/>
        </w:rPr>
        <w:t>Early-Stage Innovation &amp; Feasibility Grants (€200,000 – €1,000,000)</w:t>
        <w:br/>
      </w:r>
      <w:r>
        <w:rPr>
          <w:b/>
          <w:sz w:val="19"/>
        </w:rPr>
        <w:t xml:space="preserve">Thematic Focus: </w:t>
      </w:r>
      <w:r>
        <w:rPr>
          <w:sz w:val="19"/>
        </w:rPr>
        <w:t>Productive Use of Energy (PUE), Agricultural Nexus, Clean Cooking, and Waste-to-Energy</w:t>
      </w:r>
    </w:p>
    <w:p>
      <w:pPr>
        <w:spacing w:before="80" w:after="40"/>
      </w:pPr>
      <w:r>
        <w:rPr>
          <w:b/>
          <w:color w:val="0E2B3E"/>
          <w:sz w:val="20"/>
        </w:rPr>
        <w:t>Key Eligibility &amp; Requirements:</w:t>
      </w:r>
    </w:p>
    <w:p>
      <w:pPr>
        <w:pStyle w:val="ListBullet"/>
        <w:spacing w:before="0" w:after="40"/>
      </w:pPr>
      <w:r>
        <w:rPr>
          <w:sz w:val="19"/>
        </w:rPr>
        <w:t>Private sector developer or consortium incorporated/operating in Southern/East Africa (Zimbabwe is an active EEP country).</w:t>
      </w:r>
    </w:p>
    <w:p>
      <w:pPr>
        <w:pStyle w:val="ListBullet"/>
        <w:spacing w:before="0" w:after="40"/>
      </w:pPr>
      <w:r>
        <w:rPr>
          <w:sz w:val="19"/>
        </w:rPr>
        <w:t>Co-financing requirement: Applicants must typically provide 20% to 30% matching funds (can include approved in-kind contributions).</w:t>
      </w:r>
    </w:p>
    <w:p>
      <w:pPr>
        <w:pStyle w:val="ListBullet"/>
        <w:spacing w:before="0" w:after="40"/>
      </w:pPr>
      <w:r>
        <w:rPr>
          <w:sz w:val="19"/>
        </w:rPr>
        <w:t>Direct commercial viability path with clear social, environmental, and gender inclusion indicators.</w:t>
      </w:r>
    </w:p>
    <w:p>
      <w:pPr>
        <w:spacing w:before="80" w:after="200"/>
      </w:pPr>
      <w:r>
        <w:rPr>
          <w:b/>
          <w:color w:val="107C41"/>
          <w:sz w:val="19"/>
        </w:rPr>
        <w:t xml:space="preserve">Strategic Fit &amp; Decision Factors: </w:t>
      </w:r>
      <w:r>
        <w:rPr>
          <w:sz w:val="19"/>
        </w:rPr>
        <w:t>Highly accessible for locally-owned African businesses with competitive, transparent biannual calls. Highest fit for Hermit’s Water &amp; Food pillars (PAYG solar pumping for farmers, municipal/agricultural waste-to-energy pilots).</w:t>
      </w:r>
    </w:p>
    <w:p>
      <w:pPr>
        <w:spacing w:before="280" w:after="40"/>
      </w:pPr>
      <w:r>
        <w:rPr>
          <w:b/>
          <w:color w:val="107C41"/>
          <w:sz w:val="26"/>
        </w:rPr>
        <w:t xml:space="preserve">3. </w:t>
      </w:r>
      <w:r>
        <w:rPr>
          <w:b/>
          <w:color w:val="0E2B3E"/>
          <w:sz w:val="26"/>
        </w:rPr>
        <w:t>GET.invest Finance Readiness Support &amp; Catalyst (EU-backed)</w:t>
      </w:r>
    </w:p>
    <w:p>
      <w:pPr>
        <w:spacing w:before="0" w:after="80"/>
      </w:pPr>
      <w:r>
        <w:rPr>
          <w:b/>
          <w:sz w:val="19"/>
        </w:rPr>
        <w:t xml:space="preserve">Funding Type: </w:t>
      </w:r>
      <w:r>
        <w:rPr>
          <w:sz w:val="19"/>
        </w:rPr>
        <w:t>Non-Reimbursable Technical Assistance, Financial Modeling Validation &amp; DFI Matchmaking</w:t>
        <w:br/>
      </w:r>
      <w:r>
        <w:rPr>
          <w:b/>
          <w:sz w:val="19"/>
        </w:rPr>
        <w:t xml:space="preserve">Thematic Focus: </w:t>
      </w:r>
      <w:r>
        <w:rPr>
          <w:sz w:val="19"/>
        </w:rPr>
        <w:t>Decentralized Renewables, IPP Structuring, Commercial &amp; Industrial (C&amp;I) Solar</w:t>
      </w:r>
    </w:p>
    <w:p>
      <w:pPr>
        <w:spacing w:before="80" w:after="40"/>
      </w:pPr>
      <w:r>
        <w:rPr>
          <w:b/>
          <w:color w:val="0E2B3E"/>
          <w:sz w:val="20"/>
        </w:rPr>
        <w:t>Key Eligibility &amp; Requirements:</w:t>
      </w:r>
    </w:p>
    <w:p>
      <w:pPr>
        <w:pStyle w:val="ListBullet"/>
        <w:spacing w:before="0" w:after="40"/>
      </w:pPr>
      <w:r>
        <w:rPr>
          <w:sz w:val="19"/>
        </w:rPr>
        <w:t>Private clean energy project developers operating in Sub-Saharan Africa.</w:t>
      </w:r>
    </w:p>
    <w:p>
      <w:pPr>
        <w:pStyle w:val="ListBullet"/>
        <w:spacing w:before="0" w:after="40"/>
      </w:pPr>
      <w:r>
        <w:rPr>
          <w:sz w:val="19"/>
        </w:rPr>
        <w:t>Project at pre-feasibility, feasibility, or structuring stage with identified creditworthy off-takers or viable business model.</w:t>
      </w:r>
    </w:p>
    <w:p>
      <w:pPr>
        <w:spacing w:before="80" w:after="200"/>
      </w:pPr>
      <w:r>
        <w:rPr>
          <w:b/>
          <w:color w:val="107C41"/>
          <w:sz w:val="19"/>
        </w:rPr>
        <w:t xml:space="preserve">Strategic Fit &amp; Decision Factors: </w:t>
      </w:r>
      <w:r>
        <w:rPr>
          <w:sz w:val="19"/>
        </w:rPr>
        <w:t>Does not grant cash directly, but pays top-tier international transaction and legal specialists to audit models and SPV structures. Directly bridges Hermit to 40+ European DFIs and climate lenders without diluting equity.</w:t>
      </w:r>
    </w:p>
    <w:p>
      <w:pPr>
        <w:spacing w:before="280" w:after="40"/>
      </w:pPr>
      <w:r>
        <w:rPr>
          <w:b/>
          <w:color w:val="107C41"/>
          <w:sz w:val="26"/>
        </w:rPr>
        <w:t xml:space="preserve">4. </w:t>
      </w:r>
      <w:r>
        <w:rPr>
          <w:b/>
          <w:color w:val="0E2B3E"/>
          <w:sz w:val="26"/>
        </w:rPr>
        <w:t>Infrastructure Development Bank of Zimbabwe (IDBZ) – PPDF</w:t>
      </w:r>
    </w:p>
    <w:p>
      <w:pPr>
        <w:spacing w:before="0" w:after="80"/>
      </w:pPr>
      <w:r>
        <w:rPr>
          <w:b/>
          <w:sz w:val="19"/>
        </w:rPr>
        <w:t xml:space="preserve">Funding Type: </w:t>
      </w:r>
      <w:r>
        <w:rPr>
          <w:sz w:val="19"/>
        </w:rPr>
        <w:t>Local &amp; Foreign Currency Project Preparation Grants &amp; Co-Funding ($50,000 – $500,000)</w:t>
        <w:br/>
      </w:r>
      <w:r>
        <w:rPr>
          <w:b/>
          <w:sz w:val="19"/>
        </w:rPr>
        <w:t xml:space="preserve">Thematic Focus: </w:t>
      </w:r>
      <w:r>
        <w:rPr>
          <w:sz w:val="19"/>
        </w:rPr>
        <w:t>National Renewable Energy (Solar, Small-Hydro, Biomass) and Irrigation Infrastructure</w:t>
      </w:r>
    </w:p>
    <w:p>
      <w:pPr>
        <w:spacing w:before="80" w:after="40"/>
      </w:pPr>
      <w:r>
        <w:rPr>
          <w:b/>
          <w:color w:val="0E2B3E"/>
          <w:sz w:val="20"/>
        </w:rPr>
        <w:t>Key Eligibility &amp; Requirements:</w:t>
      </w:r>
    </w:p>
    <w:p>
      <w:pPr>
        <w:pStyle w:val="ListBullet"/>
        <w:spacing w:before="0" w:after="40"/>
      </w:pPr>
      <w:r>
        <w:rPr>
          <w:sz w:val="19"/>
        </w:rPr>
        <w:t>Zimbabwean project or SPV with statutory clearances underway (ZERA licensing, ZINWA abstraction rights, EMA ESIA).</w:t>
      </w:r>
    </w:p>
    <w:p>
      <w:pPr>
        <w:pStyle w:val="ListBullet"/>
        <w:spacing w:before="0" w:after="40"/>
      </w:pPr>
      <w:r>
        <w:rPr>
          <w:sz w:val="19"/>
        </w:rPr>
        <w:t>Proven promoter technical capacity and clear alignment with Zimbabwe National Energy Compact / Vision 2030.</w:t>
      </w:r>
    </w:p>
    <w:p>
      <w:pPr>
        <w:spacing w:before="80" w:after="200"/>
      </w:pPr>
      <w:r>
        <w:rPr>
          <w:b/>
          <w:color w:val="107C41"/>
          <w:sz w:val="19"/>
        </w:rPr>
        <w:t xml:space="preserve">Strategic Fit &amp; Decision Factors: </w:t>
      </w:r>
      <w:r>
        <w:rPr>
          <w:sz w:val="19"/>
        </w:rPr>
        <w:t>Direct Partner Advantage: IDBZ is already an established development partner in Hermit's profile. Offers the fastest domestic turnaround for permitting and preparing projects like Midlands 50 MW, Bushmead 10 MW, or Odzani/Nyahode small-hydro.</w:t>
      </w:r>
    </w:p>
    <w:p>
      <w:pPr>
        <w:spacing w:before="280" w:after="40"/>
      </w:pPr>
      <w:r>
        <w:rPr>
          <w:b/>
          <w:color w:val="107C41"/>
          <w:sz w:val="26"/>
        </w:rPr>
        <w:t xml:space="preserve">5. </w:t>
      </w:r>
      <w:r>
        <w:rPr>
          <w:b/>
          <w:color w:val="0E2B3E"/>
          <w:sz w:val="26"/>
        </w:rPr>
        <w:t>Water and Energy for Food (WE4F) Grand Challenge – S. Africa Hub</w:t>
      </w:r>
    </w:p>
    <w:p>
      <w:pPr>
        <w:spacing w:before="0" w:after="80"/>
      </w:pPr>
      <w:r>
        <w:rPr>
          <w:b/>
          <w:sz w:val="19"/>
        </w:rPr>
        <w:t xml:space="preserve">Funding Type: </w:t>
      </w:r>
      <w:r>
        <w:rPr>
          <w:sz w:val="19"/>
        </w:rPr>
        <w:t>Non-Dilutive Innovation Grants ($50,000 – $500,000) &amp; Acceleration Support</w:t>
        <w:br/>
      </w:r>
      <w:r>
        <w:rPr>
          <w:b/>
          <w:sz w:val="19"/>
        </w:rPr>
        <w:t xml:space="preserve">Thematic Focus: </w:t>
      </w:r>
      <w:r>
        <w:rPr>
          <w:sz w:val="19"/>
        </w:rPr>
        <w:t>Interconnection of Clean Energy Solutions, Sustainable Water Resource Management, and Food Security</w:t>
      </w:r>
    </w:p>
    <w:p>
      <w:pPr>
        <w:spacing w:before="80" w:after="40"/>
      </w:pPr>
      <w:r>
        <w:rPr>
          <w:b/>
          <w:color w:val="0E2B3E"/>
          <w:sz w:val="20"/>
        </w:rPr>
        <w:t>Key Eligibility &amp; Requirements:</w:t>
      </w:r>
    </w:p>
    <w:p>
      <w:pPr>
        <w:pStyle w:val="ListBullet"/>
        <w:spacing w:before="0" w:after="40"/>
      </w:pPr>
      <w:r>
        <w:rPr>
          <w:sz w:val="19"/>
        </w:rPr>
        <w:t>Operating private enterprise with proven technology or service at the Water-Energy-Food nexus.</w:t>
      </w:r>
    </w:p>
    <w:p>
      <w:pPr>
        <w:pStyle w:val="ListBullet"/>
        <w:spacing w:before="0" w:after="40"/>
      </w:pPr>
      <w:r>
        <w:rPr>
          <w:sz w:val="19"/>
        </w:rPr>
        <w:t>Measurable indicators demonstrating water conservation, agricultural yield improvements, or post-harvest loss reduction.</w:t>
      </w:r>
    </w:p>
    <w:p>
      <w:pPr>
        <w:spacing w:before="80" w:after="200"/>
      </w:pPr>
      <w:r>
        <w:rPr>
          <w:b/>
          <w:color w:val="107C41"/>
          <w:sz w:val="19"/>
        </w:rPr>
        <w:t xml:space="preserve">Strategic Fit &amp; Decision Factors: </w:t>
      </w:r>
      <w:r>
        <w:rPr>
          <w:sz w:val="19"/>
        </w:rPr>
        <w:t>Perfect 1:1 match for Hermit’s Quad Nexus framework. Ideal vehicle to fund scaled rollouts of solar-powered water pumping, farmer PAYG irrigation models, and agricultural waste valorization.</w:t>
      </w:r>
    </w:p>
    <w:p>
      <w:pPr>
        <w:spacing w:before="280" w:after="40"/>
      </w:pPr>
      <w:r>
        <w:rPr>
          <w:b/>
          <w:color w:val="107C41"/>
          <w:sz w:val="26"/>
        </w:rPr>
        <w:t xml:space="preserve">6. </w:t>
      </w:r>
      <w:r>
        <w:rPr>
          <w:b/>
          <w:color w:val="0E2B3E"/>
          <w:sz w:val="26"/>
        </w:rPr>
        <w:t>Development Bank of Southern Africa (DBSA) – PPF</w:t>
      </w:r>
    </w:p>
    <w:p>
      <w:pPr>
        <w:spacing w:before="0" w:after="80"/>
      </w:pPr>
      <w:r>
        <w:rPr>
          <w:b/>
          <w:sz w:val="19"/>
        </w:rPr>
        <w:t xml:space="preserve">Funding Type: </w:t>
      </w:r>
      <w:r>
        <w:rPr>
          <w:sz w:val="19"/>
        </w:rPr>
        <w:t>Project Preparation Capital &amp; Replayable Grants for Feasibility Studies ($500k – $3M+)</w:t>
        <w:br/>
      </w:r>
      <w:r>
        <w:rPr>
          <w:b/>
          <w:sz w:val="19"/>
        </w:rPr>
        <w:t xml:space="preserve">Thematic Focus: </w:t>
      </w:r>
      <w:r>
        <w:rPr>
          <w:sz w:val="19"/>
        </w:rPr>
        <w:t>SADC Regional Infrastructure, Cross-Border Power Integration, and SAPP-Interconnected IPPs</w:t>
      </w:r>
    </w:p>
    <w:p>
      <w:pPr>
        <w:spacing w:before="80" w:after="40"/>
      </w:pPr>
      <w:r>
        <w:rPr>
          <w:b/>
          <w:color w:val="0E2B3E"/>
          <w:sz w:val="20"/>
        </w:rPr>
        <w:t>Key Eligibility &amp; Requirements:</w:t>
      </w:r>
    </w:p>
    <w:p>
      <w:pPr>
        <w:pStyle w:val="ListBullet"/>
        <w:spacing w:before="0" w:after="40"/>
      </w:pPr>
      <w:r>
        <w:rPr>
          <w:sz w:val="19"/>
        </w:rPr>
        <w:t>SADC-based project with clear utility-scale grid integration and regional economic benefits.</w:t>
      </w:r>
    </w:p>
    <w:p>
      <w:pPr>
        <w:pStyle w:val="ListBullet"/>
        <w:spacing w:before="0" w:after="40"/>
      </w:pPr>
      <w:r>
        <w:rPr>
          <w:sz w:val="19"/>
        </w:rPr>
        <w:t>Sponsors must commit to bankable governance standards and transparent PPA / grid interconnection negotiations.</w:t>
      </w:r>
    </w:p>
    <w:p>
      <w:pPr>
        <w:spacing w:before="80" w:after="200"/>
      </w:pPr>
      <w:r>
        <w:rPr>
          <w:b/>
          <w:color w:val="107C41"/>
          <w:sz w:val="19"/>
        </w:rPr>
        <w:t xml:space="preserve">Strategic Fit &amp; Decision Factors: </w:t>
      </w:r>
      <w:r>
        <w:rPr>
          <w:sz w:val="19"/>
        </w:rPr>
        <w:t>Best suited for large multi-megawatt projects (Midlands 50 MW, Rufaro 50 MW, or Kariba phases) intended to feed into the ZETDC national grid or wheel power across borders via the Southern African Power Pool (SAPP) Day-Ahead Market.</w:t>
      </w:r>
    </w:p>
    <w:p>
      <w:pPr>
        <w:spacing w:before="280" w:after="40"/>
      </w:pPr>
      <w:r>
        <w:rPr>
          <w:b/>
          <w:color w:val="107C41"/>
          <w:sz w:val="26"/>
        </w:rPr>
        <w:t xml:space="preserve">7. </w:t>
      </w:r>
      <w:r>
        <w:rPr>
          <w:b/>
          <w:color w:val="0E2B3E"/>
          <w:sz w:val="26"/>
        </w:rPr>
        <w:t>Global Cleantech Innovation Programme (GCIP) – UNIDO / GEF</w:t>
      </w:r>
    </w:p>
    <w:p>
      <w:pPr>
        <w:spacing w:before="0" w:after="80"/>
      </w:pPr>
      <w:r>
        <w:rPr>
          <w:b/>
          <w:sz w:val="19"/>
        </w:rPr>
        <w:t xml:space="preserve">Funding Type: </w:t>
      </w:r>
      <w:r>
        <w:rPr>
          <w:sz w:val="19"/>
        </w:rPr>
        <w:t>Enterprise Grants ($20,000 – $100,000), Incubation, and Global Investor Showcases</w:t>
        <w:br/>
      </w:r>
      <w:r>
        <w:rPr>
          <w:b/>
          <w:sz w:val="19"/>
        </w:rPr>
        <w:t xml:space="preserve">Thematic Focus: </w:t>
      </w:r>
      <w:r>
        <w:rPr>
          <w:sz w:val="19"/>
        </w:rPr>
        <w:t>Cleantech Innovations in Renewable Energy, Energy Efficiency, and Waste-to-Energy Circular Economy</w:t>
      </w:r>
    </w:p>
    <w:p>
      <w:pPr>
        <w:spacing w:before="80" w:after="40"/>
      </w:pPr>
      <w:r>
        <w:rPr>
          <w:b/>
          <w:color w:val="0E2B3E"/>
          <w:sz w:val="20"/>
        </w:rPr>
        <w:t>Key Eligibility &amp; Requirements:</w:t>
      </w:r>
    </w:p>
    <w:p>
      <w:pPr>
        <w:pStyle w:val="ListBullet"/>
        <w:spacing w:before="0" w:after="40"/>
      </w:pPr>
      <w:r>
        <w:rPr>
          <w:sz w:val="19"/>
        </w:rPr>
        <w:t>Locally incorporated SME in an active GEF/UNIDO partner country (Zimbabwe is eligible).</w:t>
      </w:r>
    </w:p>
    <w:p>
      <w:pPr>
        <w:pStyle w:val="ListBullet"/>
        <w:spacing w:before="0" w:after="40"/>
      </w:pPr>
      <w:r>
        <w:rPr>
          <w:sz w:val="19"/>
        </w:rPr>
        <w:t>Demonstration of innovative clean technology applications with scalable commercial models.</w:t>
      </w:r>
    </w:p>
    <w:p>
      <w:pPr>
        <w:spacing w:before="80" w:after="200"/>
      </w:pPr>
      <w:r>
        <w:rPr>
          <w:b/>
          <w:color w:val="107C41"/>
          <w:sz w:val="19"/>
        </w:rPr>
        <w:t xml:space="preserve">Strategic Fit &amp; Decision Factors: </w:t>
      </w:r>
      <w:r>
        <w:rPr>
          <w:sz w:val="19"/>
        </w:rPr>
        <w:t>Hermit explicitly lists UNIDO as a development partner. Leveraging this relationship provides an immediate head start and high credibility during competitive GCIP national and regional cohorts.</w:t>
      </w:r>
    </w:p>
    <w:p>
      <w:pPr>
        <w:spacing w:before="280" w:after="40"/>
      </w:pPr>
      <w:r>
        <w:rPr>
          <w:b/>
          <w:color w:val="107C41"/>
          <w:sz w:val="26"/>
        </w:rPr>
        <w:t xml:space="preserve">8. </w:t>
      </w:r>
      <w:r>
        <w:rPr>
          <w:b/>
          <w:color w:val="0E2B3E"/>
          <w:sz w:val="26"/>
        </w:rPr>
        <w:t>Africa Enterprise Challenge Fund (AECF) – REACT Clean Energy</w:t>
      </w:r>
    </w:p>
    <w:p>
      <w:pPr>
        <w:spacing w:before="0" w:after="80"/>
      </w:pPr>
      <w:r>
        <w:rPr>
          <w:b/>
          <w:sz w:val="19"/>
        </w:rPr>
        <w:t xml:space="preserve">Funding Type: </w:t>
      </w:r>
      <w:r>
        <w:rPr>
          <w:sz w:val="19"/>
        </w:rPr>
        <w:t>Catalytic Challenge Grants &amp; Concessional Financing ($100,000 – $1,500,000)</w:t>
        <w:br/>
      </w:r>
      <w:r>
        <w:rPr>
          <w:b/>
          <w:sz w:val="19"/>
        </w:rPr>
        <w:t xml:space="preserve">Thematic Focus: </w:t>
      </w:r>
      <w:r>
        <w:rPr>
          <w:sz w:val="19"/>
        </w:rPr>
        <w:t>Off-Grid &amp; Distributed Clean Energy Access, Solar Agro-Processing, and Productive Use</w:t>
      </w:r>
    </w:p>
    <w:p>
      <w:pPr>
        <w:spacing w:before="80" w:after="40"/>
      </w:pPr>
      <w:r>
        <w:rPr>
          <w:b/>
          <w:color w:val="0E2B3E"/>
          <w:sz w:val="20"/>
        </w:rPr>
        <w:t>Key Eligibility &amp; Requirements:</w:t>
      </w:r>
    </w:p>
    <w:p>
      <w:pPr>
        <w:pStyle w:val="ListBullet"/>
        <w:spacing w:before="0" w:after="40"/>
      </w:pPr>
      <w:r>
        <w:rPr>
          <w:sz w:val="19"/>
        </w:rPr>
        <w:t>For-profit business operating in eligible African markets (including Zimbabwe and SADC).</w:t>
      </w:r>
    </w:p>
    <w:p>
      <w:pPr>
        <w:pStyle w:val="ListBullet"/>
        <w:spacing w:before="0" w:after="40"/>
      </w:pPr>
      <w:r>
        <w:rPr>
          <w:sz w:val="19"/>
        </w:rPr>
        <w:t>Proven positive impact on rural livelihoods, low-income communities, and smallholder farming clusters.</w:t>
      </w:r>
    </w:p>
    <w:p>
      <w:pPr>
        <w:spacing w:before="80" w:after="200"/>
      </w:pPr>
      <w:r>
        <w:rPr>
          <w:b/>
          <w:color w:val="107C41"/>
          <w:sz w:val="19"/>
        </w:rPr>
        <w:t xml:space="preserve">Strategic Fit &amp; Decision Factors: </w:t>
      </w:r>
      <w:r>
        <w:rPr>
          <w:sz w:val="19"/>
        </w:rPr>
        <w:t>Matches Hermit's distributed solutions—combining institutional/household NSF-certified water purification (eSpring rollout) with rural mini-grids and PAYG agricultural productive energy systems.</w:t>
      </w:r>
    </w:p>
    <w:p>
      <w:pPr>
        <w:spacing w:before="280" w:after="40"/>
      </w:pPr>
      <w:r>
        <w:rPr>
          <w:b/>
          <w:color w:val="107C41"/>
          <w:sz w:val="26"/>
        </w:rPr>
        <w:t xml:space="preserve">9. </w:t>
      </w:r>
      <w:r>
        <w:rPr>
          <w:b/>
          <w:color w:val="0E2B3E"/>
          <w:sz w:val="26"/>
        </w:rPr>
        <w:t>Climate Technology Centre and Network (CTCN) – Technical Assistance</w:t>
      </w:r>
    </w:p>
    <w:p>
      <w:pPr>
        <w:spacing w:before="0" w:after="80"/>
      </w:pPr>
      <w:r>
        <w:rPr>
          <w:b/>
          <w:sz w:val="19"/>
        </w:rPr>
        <w:t xml:space="preserve">Funding Type: </w:t>
      </w:r>
      <w:r>
        <w:rPr>
          <w:sz w:val="19"/>
        </w:rPr>
        <w:t>Fully Funded Technical Assistance (up to $250,000 per intervention, Non-Reimbursable)</w:t>
        <w:br/>
      </w:r>
      <w:r>
        <w:rPr>
          <w:b/>
          <w:sz w:val="19"/>
        </w:rPr>
        <w:t xml:space="preserve">Thematic Focus: </w:t>
      </w:r>
      <w:r>
        <w:rPr>
          <w:sz w:val="19"/>
        </w:rPr>
        <w:t>Climate Adaptation and Mitigation Technology Transfer, Grid Integration, and Clean Policy</w:t>
      </w:r>
    </w:p>
    <w:p>
      <w:pPr>
        <w:spacing w:before="80" w:after="40"/>
      </w:pPr>
      <w:r>
        <w:rPr>
          <w:b/>
          <w:color w:val="0E2B3E"/>
          <w:sz w:val="20"/>
        </w:rPr>
        <w:t>Key Eligibility &amp; Requirements:</w:t>
      </w:r>
    </w:p>
    <w:p>
      <w:pPr>
        <w:pStyle w:val="ListBullet"/>
        <w:spacing w:before="0" w:after="40"/>
      </w:pPr>
      <w:r>
        <w:rPr>
          <w:sz w:val="19"/>
        </w:rPr>
        <w:t>Requests must be submitted and endorsed via Zimbabwe's National Designated Entity (NDE)—the Climate Change Management Department.</w:t>
      </w:r>
    </w:p>
    <w:p>
      <w:pPr>
        <w:pStyle w:val="ListBullet"/>
        <w:spacing w:before="0" w:after="40"/>
      </w:pPr>
      <w:r>
        <w:rPr>
          <w:sz w:val="19"/>
        </w:rPr>
        <w:t>Demonstrated alignment with Zimbabwe’s Nationally Determined Contributions (NDC) under the Paris Agreement.</w:t>
      </w:r>
    </w:p>
    <w:p>
      <w:pPr>
        <w:spacing w:before="80" w:after="200"/>
      </w:pPr>
      <w:r>
        <w:rPr>
          <w:b/>
          <w:color w:val="107C41"/>
          <w:sz w:val="19"/>
        </w:rPr>
        <w:t xml:space="preserve">Strategic Fit &amp; Decision Factors: </w:t>
      </w:r>
      <w:r>
        <w:rPr>
          <w:sz w:val="19"/>
        </w:rPr>
        <w:t>Given Hermit’s role advising the Ministry of Energy on the Zimbabwe National Energy Compact and AU/SADC frameworks, Hermit can co-design national-level feasibility or floating solar master-plan studies with zero capital expenditure.</w:t>
      </w:r>
    </w:p>
    <w:p>
      <w:pPr>
        <w:spacing w:before="280" w:after="40"/>
      </w:pPr>
      <w:r>
        <w:rPr>
          <w:b/>
          <w:color w:val="107C41"/>
          <w:sz w:val="26"/>
        </w:rPr>
        <w:t xml:space="preserve">10. </w:t>
      </w:r>
      <w:r>
        <w:rPr>
          <w:b/>
          <w:color w:val="0E2B3E"/>
          <w:sz w:val="26"/>
        </w:rPr>
        <w:t>InfraCo Africa (Part of PIDG – Private Infrastructure Development Group)</w:t>
      </w:r>
    </w:p>
    <w:p>
      <w:pPr>
        <w:spacing w:before="0" w:after="80"/>
      </w:pPr>
      <w:r>
        <w:rPr>
          <w:b/>
          <w:sz w:val="19"/>
        </w:rPr>
        <w:t xml:space="preserve">Funding Type: </w:t>
      </w:r>
      <w:r>
        <w:rPr>
          <w:sz w:val="19"/>
        </w:rPr>
        <w:t>Early-Stage Co-Development Risk Capital &amp; Minority Equity ($500,000 – $5,000,000+)</w:t>
        <w:br/>
      </w:r>
      <w:r>
        <w:rPr>
          <w:b/>
          <w:sz w:val="19"/>
        </w:rPr>
        <w:t xml:space="preserve">Thematic Focus: </w:t>
      </w:r>
      <w:r>
        <w:rPr>
          <w:sz w:val="19"/>
        </w:rPr>
        <w:t>Pioneering &amp; High-Impact Renewable Infrastructure in Frontier African Markets</w:t>
      </w:r>
    </w:p>
    <w:p>
      <w:pPr>
        <w:spacing w:before="80" w:after="40"/>
      </w:pPr>
      <w:r>
        <w:rPr>
          <w:b/>
          <w:color w:val="0E2B3E"/>
          <w:sz w:val="20"/>
        </w:rPr>
        <w:t>Key Eligibility &amp; Requirements:</w:t>
      </w:r>
    </w:p>
    <w:p>
      <w:pPr>
        <w:pStyle w:val="ListBullet"/>
        <w:spacing w:before="0" w:after="40"/>
      </w:pPr>
      <w:r>
        <w:rPr>
          <w:sz w:val="19"/>
        </w:rPr>
        <w:t>Structured Special Purpose Vehicle (SPV) with long-term commercial operational intent.</w:t>
      </w:r>
    </w:p>
    <w:p>
      <w:pPr>
        <w:pStyle w:val="ListBullet"/>
        <w:spacing w:before="0" w:after="40"/>
      </w:pPr>
      <w:r>
        <w:rPr>
          <w:sz w:val="19"/>
        </w:rPr>
        <w:t>Strict compliance with international ESG standards (IFC Performance Standards).</w:t>
      </w:r>
    </w:p>
    <w:p>
      <w:pPr>
        <w:pStyle w:val="ListBullet"/>
        <w:spacing w:before="0" w:after="40"/>
      </w:pPr>
      <w:r>
        <w:rPr>
          <w:sz w:val="19"/>
        </w:rPr>
        <w:t>Pioneering asset class where commercial financiers require development risk to be absorbed first.</w:t>
      </w:r>
    </w:p>
    <w:p>
      <w:pPr>
        <w:spacing w:before="80" w:after="200"/>
      </w:pPr>
      <w:r>
        <w:rPr>
          <w:b/>
          <w:color w:val="107C41"/>
          <w:sz w:val="19"/>
        </w:rPr>
        <w:t xml:space="preserve">Strategic Fit &amp; Decision Factors: </w:t>
      </w:r>
      <w:r>
        <w:rPr>
          <w:sz w:val="19"/>
        </w:rPr>
        <w:t>The premier strategic partner for Hermit's flagship mega-projects: Kariba Floating Solar (250–1,000 MW) and Osborne Dam (100 MW). InfraCo acts as an active co-developer, unlocking subsequent senior debt from IFC, AfDB, and global climate funds.</w:t>
      </w:r>
    </w:p>
    <w:p>
      <w:r>
        <w:br w:type="page"/>
      </w:r>
    </w:p>
    <w:p>
      <w:pPr>
        <w:spacing w:before="200" w:after="80"/>
      </w:pPr>
      <w:r>
        <w:rPr>
          <w:b/>
          <w:color w:val="0E2B3E"/>
          <w:sz w:val="32"/>
        </w:rPr>
        <w:t>Strategic Prioritization Matrix</w:t>
      </w:r>
    </w:p>
    <w:p>
      <w:pPr>
        <w:spacing w:before="0" w:after="240"/>
      </w:pPr>
      <w:r>
        <w:rPr>
          <w:sz w:val="20"/>
        </w:rPr>
        <w:t>Recommended deployment sequence matching Hermit’s portfolio assets to facility speed and mandate: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0E2B3E"/>
            <w:tcMar>
              <w:top w:w="100" w:type="dxa"/>
              <w:bottom w:w="100" w:type="dxa"/>
              <w:left w:w="100" w:type="dxa"/>
              <w:right w:w="100" w:type="dxa"/>
            </w:tcMar>
          </w:tcPr>
          <w:p>
            <w:pPr>
              <w:jc w:val="center"/>
            </w:pPr>
            <w:r>
              <w:rPr>
                <w:b/>
                <w:color w:val="FFFFFF"/>
                <w:sz w:val="18"/>
              </w:rPr>
              <w:t>Facility</w:t>
            </w:r>
          </w:p>
        </w:tc>
        <w:tc>
          <w:tcPr>
            <w:tcW w:type="dxa" w:w="3024"/>
            <w:shd w:fill="0E2B3E"/>
            <w:tcMar>
              <w:top w:w="100" w:type="dxa"/>
              <w:bottom w:w="100" w:type="dxa"/>
              <w:left w:w="100" w:type="dxa"/>
              <w:right w:w="100" w:type="dxa"/>
            </w:tcMar>
          </w:tcPr>
          <w:p>
            <w:pPr>
              <w:jc w:val="center"/>
            </w:pPr>
            <w:r>
              <w:rPr>
                <w:b/>
                <w:color w:val="FFFFFF"/>
                <w:sz w:val="18"/>
              </w:rPr>
              <w:t>Best Hermit Pipeline Asset</w:t>
            </w:r>
          </w:p>
        </w:tc>
        <w:tc>
          <w:tcPr>
            <w:tcW w:type="dxa" w:w="1872"/>
            <w:shd w:fill="0E2B3E"/>
            <w:tcMar>
              <w:top w:w="100" w:type="dxa"/>
              <w:bottom w:w="100" w:type="dxa"/>
              <w:left w:w="100" w:type="dxa"/>
              <w:right w:w="100" w:type="dxa"/>
            </w:tcMar>
          </w:tcPr>
          <w:p>
            <w:pPr>
              <w:jc w:val="center"/>
            </w:pPr>
            <w:r>
              <w:rPr>
                <w:b/>
                <w:color w:val="FFFFFF"/>
                <w:sz w:val="18"/>
              </w:rPr>
              <w:t>Instrument</w:t>
            </w:r>
          </w:p>
        </w:tc>
        <w:tc>
          <w:tcPr>
            <w:tcW w:type="dxa" w:w="1584"/>
            <w:shd w:fill="0E2B3E"/>
            <w:tcMar>
              <w:top w:w="100" w:type="dxa"/>
              <w:bottom w:w="100" w:type="dxa"/>
              <w:left w:w="100" w:type="dxa"/>
              <w:right w:w="100" w:type="dxa"/>
            </w:tcMar>
          </w:tcPr>
          <w:p>
            <w:pPr>
              <w:jc w:val="center"/>
            </w:pPr>
            <w:r>
              <w:rPr>
                <w:b/>
                <w:color w:val="FFFFFF"/>
                <w:sz w:val="18"/>
              </w:rPr>
              <w:t>Expected Turnaround</w:t>
            </w:r>
          </w:p>
        </w:tc>
        <w:tc>
          <w:tcPr>
            <w:tcW w:type="dxa" w:w="1440"/>
            <w:shd w:fill="0E2B3E"/>
            <w:tcMar>
              <w:top w:w="100" w:type="dxa"/>
              <w:bottom w:w="100" w:type="dxa"/>
              <w:left w:w="100" w:type="dxa"/>
              <w:right w:w="100" w:type="dxa"/>
            </w:tcMar>
          </w:tcPr>
          <w:p>
            <w:pPr>
              <w:jc w:val="center"/>
            </w:pPr>
            <w:r>
              <w:rPr>
                <w:b/>
                <w:color w:val="FFFFFF"/>
                <w:sz w:val="18"/>
              </w:rPr>
              <w:t>Priority</w:t>
            </w:r>
          </w:p>
        </w:tc>
      </w:tr>
      <w:tr>
        <w:tc>
          <w:tcPr>
            <w:tcW w:type="dxa" w:w="2016"/>
            <w:shd w:fill="F9FBFD"/>
            <w:tcMar>
              <w:top w:w="80" w:type="dxa"/>
              <w:bottom w:w="80" w:type="dxa"/>
              <w:left w:w="100" w:type="dxa"/>
              <w:right w:w="100" w:type="dxa"/>
            </w:tcMar>
          </w:tcPr>
          <w:p>
            <w:r>
              <w:rPr>
                <w:sz w:val="17"/>
              </w:rPr>
              <w:t>IDBZ PPDF</w:t>
            </w:r>
          </w:p>
        </w:tc>
        <w:tc>
          <w:tcPr>
            <w:tcW w:type="dxa" w:w="3024"/>
            <w:shd w:fill="F9FBFD"/>
            <w:tcMar>
              <w:top w:w="80" w:type="dxa"/>
              <w:bottom w:w="80" w:type="dxa"/>
              <w:left w:w="100" w:type="dxa"/>
              <w:right w:w="100" w:type="dxa"/>
            </w:tcMar>
          </w:tcPr>
          <w:p>
            <w:r>
              <w:rPr>
                <w:sz w:val="17"/>
              </w:rPr>
              <w:t>Midlands 50MW / Bushmead 10MW / Odzani</w:t>
            </w:r>
          </w:p>
        </w:tc>
        <w:tc>
          <w:tcPr>
            <w:tcW w:type="dxa" w:w="1872"/>
            <w:shd w:fill="F9FBFD"/>
            <w:tcMar>
              <w:top w:w="80" w:type="dxa"/>
              <w:bottom w:w="80" w:type="dxa"/>
              <w:left w:w="100" w:type="dxa"/>
              <w:right w:w="100" w:type="dxa"/>
            </w:tcMar>
          </w:tcPr>
          <w:p>
            <w:pPr>
              <w:jc w:val="center"/>
            </w:pPr>
            <w:r>
              <w:rPr>
                <w:sz w:val="17"/>
              </w:rPr>
              <w:t>Preparation Grant</w:t>
            </w:r>
          </w:p>
        </w:tc>
        <w:tc>
          <w:tcPr>
            <w:tcW w:type="dxa" w:w="1584"/>
            <w:shd w:fill="F9FBFD"/>
            <w:tcMar>
              <w:top w:w="80" w:type="dxa"/>
              <w:bottom w:w="80" w:type="dxa"/>
              <w:left w:w="100" w:type="dxa"/>
              <w:right w:w="100" w:type="dxa"/>
            </w:tcMar>
          </w:tcPr>
          <w:p>
            <w:pPr>
              <w:jc w:val="center"/>
            </w:pPr>
            <w:r>
              <w:rPr>
                <w:sz w:val="17"/>
              </w:rPr>
              <w:t>2 – 4 months</w:t>
            </w:r>
          </w:p>
        </w:tc>
        <w:tc>
          <w:tcPr>
            <w:tcW w:type="dxa" w:w="1440"/>
            <w:shd w:fill="F9FBFD"/>
            <w:tcMar>
              <w:top w:w="80" w:type="dxa"/>
              <w:bottom w:w="80" w:type="dxa"/>
              <w:left w:w="100" w:type="dxa"/>
              <w:right w:w="100" w:type="dxa"/>
            </w:tcMar>
          </w:tcPr>
          <w:p>
            <w:pPr>
              <w:jc w:val="center"/>
            </w:pPr>
            <w:r>
              <w:rPr>
                <w:b/>
                <w:color w:val="107C41"/>
                <w:sz w:val="17"/>
              </w:rPr>
              <w:t>Immediate</w:t>
            </w:r>
          </w:p>
        </w:tc>
      </w:tr>
      <w:tr>
        <w:tc>
          <w:tcPr>
            <w:tcW w:type="dxa" w:w="2016"/>
            <w:shd w:fill="FFFFFF"/>
            <w:tcMar>
              <w:top w:w="80" w:type="dxa"/>
              <w:bottom w:w="80" w:type="dxa"/>
              <w:left w:w="100" w:type="dxa"/>
              <w:right w:w="100" w:type="dxa"/>
            </w:tcMar>
          </w:tcPr>
          <w:p>
            <w:r>
              <w:rPr>
                <w:sz w:val="17"/>
              </w:rPr>
              <w:t>GET.invest</w:t>
            </w:r>
          </w:p>
        </w:tc>
        <w:tc>
          <w:tcPr>
            <w:tcW w:type="dxa" w:w="3024"/>
            <w:shd w:fill="FFFFFF"/>
            <w:tcMar>
              <w:top w:w="80" w:type="dxa"/>
              <w:bottom w:w="80" w:type="dxa"/>
              <w:left w:w="100" w:type="dxa"/>
              <w:right w:w="100" w:type="dxa"/>
            </w:tcMar>
          </w:tcPr>
          <w:p>
            <w:r>
              <w:rPr>
                <w:sz w:val="17"/>
              </w:rPr>
              <w:t>NRZ-CPF Portfolio / Midlands 50MW</w:t>
            </w:r>
          </w:p>
        </w:tc>
        <w:tc>
          <w:tcPr>
            <w:tcW w:type="dxa" w:w="1872"/>
            <w:shd w:fill="FFFFFF"/>
            <w:tcMar>
              <w:top w:w="80" w:type="dxa"/>
              <w:bottom w:w="80" w:type="dxa"/>
              <w:left w:w="100" w:type="dxa"/>
              <w:right w:w="100" w:type="dxa"/>
            </w:tcMar>
          </w:tcPr>
          <w:p>
            <w:pPr>
              <w:jc w:val="center"/>
            </w:pPr>
            <w:r>
              <w:rPr>
                <w:sz w:val="17"/>
              </w:rPr>
              <w:t>TA &amp; DFI Access</w:t>
            </w:r>
          </w:p>
        </w:tc>
        <w:tc>
          <w:tcPr>
            <w:tcW w:type="dxa" w:w="1584"/>
            <w:shd w:fill="FFFFFF"/>
            <w:tcMar>
              <w:top w:w="80" w:type="dxa"/>
              <w:bottom w:w="80" w:type="dxa"/>
              <w:left w:w="100" w:type="dxa"/>
              <w:right w:w="100" w:type="dxa"/>
            </w:tcMar>
          </w:tcPr>
          <w:p>
            <w:pPr>
              <w:jc w:val="center"/>
            </w:pPr>
            <w:r>
              <w:rPr>
                <w:sz w:val="17"/>
              </w:rPr>
              <w:t>1 – 3 months</w:t>
            </w:r>
          </w:p>
        </w:tc>
        <w:tc>
          <w:tcPr>
            <w:tcW w:type="dxa" w:w="1440"/>
            <w:shd w:fill="FFFFFF"/>
            <w:tcMar>
              <w:top w:w="80" w:type="dxa"/>
              <w:bottom w:w="80" w:type="dxa"/>
              <w:left w:w="100" w:type="dxa"/>
              <w:right w:w="100" w:type="dxa"/>
            </w:tcMar>
          </w:tcPr>
          <w:p>
            <w:pPr>
              <w:jc w:val="center"/>
            </w:pPr>
            <w:r>
              <w:rPr>
                <w:b/>
                <w:color w:val="107C41"/>
                <w:sz w:val="17"/>
              </w:rPr>
              <w:t>Immediate</w:t>
            </w:r>
          </w:p>
        </w:tc>
      </w:tr>
      <w:tr>
        <w:tc>
          <w:tcPr>
            <w:tcW w:type="dxa" w:w="2016"/>
            <w:shd w:fill="F9FBFD"/>
            <w:tcMar>
              <w:top w:w="80" w:type="dxa"/>
              <w:bottom w:w="80" w:type="dxa"/>
              <w:left w:w="100" w:type="dxa"/>
              <w:right w:w="100" w:type="dxa"/>
            </w:tcMar>
          </w:tcPr>
          <w:p>
            <w:r>
              <w:rPr>
                <w:sz w:val="17"/>
              </w:rPr>
              <w:t>EEP Africa</w:t>
            </w:r>
          </w:p>
        </w:tc>
        <w:tc>
          <w:tcPr>
            <w:tcW w:type="dxa" w:w="3024"/>
            <w:shd w:fill="F9FBFD"/>
            <w:tcMar>
              <w:top w:w="80" w:type="dxa"/>
              <w:bottom w:w="80" w:type="dxa"/>
              <w:left w:w="100" w:type="dxa"/>
              <w:right w:w="100" w:type="dxa"/>
            </w:tcMar>
          </w:tcPr>
          <w:p>
            <w:r>
              <w:rPr>
                <w:sz w:val="17"/>
              </w:rPr>
              <w:t>Ag-Solar PUE / PAYG &amp; Biogas Pilots</w:t>
            </w:r>
          </w:p>
        </w:tc>
        <w:tc>
          <w:tcPr>
            <w:tcW w:type="dxa" w:w="1872"/>
            <w:shd w:fill="F9FBFD"/>
            <w:tcMar>
              <w:top w:w="80" w:type="dxa"/>
              <w:bottom w:w="80" w:type="dxa"/>
              <w:left w:w="100" w:type="dxa"/>
              <w:right w:w="100" w:type="dxa"/>
            </w:tcMar>
          </w:tcPr>
          <w:p>
            <w:pPr>
              <w:jc w:val="center"/>
            </w:pPr>
            <w:r>
              <w:rPr>
                <w:sz w:val="17"/>
              </w:rPr>
              <w:t>Grant (€200k–€1M)</w:t>
            </w:r>
          </w:p>
        </w:tc>
        <w:tc>
          <w:tcPr>
            <w:tcW w:type="dxa" w:w="1584"/>
            <w:shd w:fill="F9FBFD"/>
            <w:tcMar>
              <w:top w:w="80" w:type="dxa"/>
              <w:bottom w:w="80" w:type="dxa"/>
              <w:left w:w="100" w:type="dxa"/>
              <w:right w:w="100" w:type="dxa"/>
            </w:tcMar>
          </w:tcPr>
          <w:p>
            <w:pPr>
              <w:jc w:val="center"/>
            </w:pPr>
            <w:r>
              <w:rPr>
                <w:sz w:val="17"/>
              </w:rPr>
              <w:t>4 – 6 months</w:t>
            </w:r>
          </w:p>
        </w:tc>
        <w:tc>
          <w:tcPr>
            <w:tcW w:type="dxa" w:w="1440"/>
            <w:shd w:fill="F9FBFD"/>
            <w:tcMar>
              <w:top w:w="80" w:type="dxa"/>
              <w:bottom w:w="80" w:type="dxa"/>
              <w:left w:w="100" w:type="dxa"/>
              <w:right w:w="100" w:type="dxa"/>
            </w:tcMar>
          </w:tcPr>
          <w:p>
            <w:pPr>
              <w:jc w:val="center"/>
            </w:pPr>
            <w:r>
              <w:rPr>
                <w:b/>
                <w:color w:val="107C41"/>
                <w:sz w:val="17"/>
              </w:rPr>
              <w:t>High</w:t>
            </w:r>
          </w:p>
        </w:tc>
      </w:tr>
      <w:tr>
        <w:tc>
          <w:tcPr>
            <w:tcW w:type="dxa" w:w="2016"/>
            <w:shd w:fill="FFFFFF"/>
            <w:tcMar>
              <w:top w:w="80" w:type="dxa"/>
              <w:bottom w:w="80" w:type="dxa"/>
              <w:left w:w="100" w:type="dxa"/>
              <w:right w:w="100" w:type="dxa"/>
            </w:tcMar>
          </w:tcPr>
          <w:p>
            <w:r>
              <w:rPr>
                <w:sz w:val="17"/>
              </w:rPr>
              <w:t>WE4F Challenge</w:t>
            </w:r>
          </w:p>
        </w:tc>
        <w:tc>
          <w:tcPr>
            <w:tcW w:type="dxa" w:w="3024"/>
            <w:shd w:fill="FFFFFF"/>
            <w:tcMar>
              <w:top w:w="80" w:type="dxa"/>
              <w:bottom w:w="80" w:type="dxa"/>
              <w:left w:w="100" w:type="dxa"/>
              <w:right w:w="100" w:type="dxa"/>
            </w:tcMar>
          </w:tcPr>
          <w:p>
            <w:r>
              <w:rPr>
                <w:sz w:val="17"/>
              </w:rPr>
              <w:t>Water Pumping / Irrigation &amp; Ag Nexus</w:t>
            </w:r>
          </w:p>
        </w:tc>
        <w:tc>
          <w:tcPr>
            <w:tcW w:type="dxa" w:w="1872"/>
            <w:shd w:fill="FFFFFF"/>
            <w:tcMar>
              <w:top w:w="80" w:type="dxa"/>
              <w:bottom w:w="80" w:type="dxa"/>
              <w:left w:w="100" w:type="dxa"/>
              <w:right w:w="100" w:type="dxa"/>
            </w:tcMar>
          </w:tcPr>
          <w:p>
            <w:pPr>
              <w:jc w:val="center"/>
            </w:pPr>
            <w:r>
              <w:rPr>
                <w:sz w:val="17"/>
              </w:rPr>
              <w:t>Grant ($50k–$500k)</w:t>
            </w:r>
          </w:p>
        </w:tc>
        <w:tc>
          <w:tcPr>
            <w:tcW w:type="dxa" w:w="1584"/>
            <w:shd w:fill="FFFFFF"/>
            <w:tcMar>
              <w:top w:w="80" w:type="dxa"/>
              <w:bottom w:w="80" w:type="dxa"/>
              <w:left w:w="100" w:type="dxa"/>
              <w:right w:w="100" w:type="dxa"/>
            </w:tcMar>
          </w:tcPr>
          <w:p>
            <w:pPr>
              <w:jc w:val="center"/>
            </w:pPr>
            <w:r>
              <w:rPr>
                <w:sz w:val="17"/>
              </w:rPr>
              <w:t>3 – 6 months</w:t>
            </w:r>
          </w:p>
        </w:tc>
        <w:tc>
          <w:tcPr>
            <w:tcW w:type="dxa" w:w="1440"/>
            <w:shd w:fill="FFFFFF"/>
            <w:tcMar>
              <w:top w:w="80" w:type="dxa"/>
              <w:bottom w:w="80" w:type="dxa"/>
              <w:left w:w="100" w:type="dxa"/>
              <w:right w:w="100" w:type="dxa"/>
            </w:tcMar>
          </w:tcPr>
          <w:p>
            <w:pPr>
              <w:jc w:val="center"/>
            </w:pPr>
            <w:r>
              <w:rPr>
                <w:b/>
                <w:color w:val="107C41"/>
                <w:sz w:val="17"/>
              </w:rPr>
              <w:t>High</w:t>
            </w:r>
          </w:p>
        </w:tc>
      </w:tr>
      <w:tr>
        <w:tc>
          <w:tcPr>
            <w:tcW w:type="dxa" w:w="2016"/>
            <w:shd w:fill="F9FBFD"/>
            <w:tcMar>
              <w:top w:w="80" w:type="dxa"/>
              <w:bottom w:w="80" w:type="dxa"/>
              <w:left w:w="100" w:type="dxa"/>
              <w:right w:w="100" w:type="dxa"/>
            </w:tcMar>
          </w:tcPr>
          <w:p>
            <w:r>
              <w:rPr>
                <w:sz w:val="17"/>
              </w:rPr>
              <w:t>AfDB SEFA</w:t>
            </w:r>
          </w:p>
        </w:tc>
        <w:tc>
          <w:tcPr>
            <w:tcW w:type="dxa" w:w="3024"/>
            <w:shd w:fill="F9FBFD"/>
            <w:tcMar>
              <w:top w:w="80" w:type="dxa"/>
              <w:bottom w:w="80" w:type="dxa"/>
              <w:left w:w="100" w:type="dxa"/>
              <w:right w:w="100" w:type="dxa"/>
            </w:tcMar>
          </w:tcPr>
          <w:p>
            <w:r>
              <w:rPr>
                <w:sz w:val="17"/>
              </w:rPr>
              <w:t>Kariba / Osborne Floating Hydro-Hybrid</w:t>
            </w:r>
          </w:p>
        </w:tc>
        <w:tc>
          <w:tcPr>
            <w:tcW w:type="dxa" w:w="1872"/>
            <w:shd w:fill="F9FBFD"/>
            <w:tcMar>
              <w:top w:w="80" w:type="dxa"/>
              <w:bottom w:w="80" w:type="dxa"/>
              <w:left w:w="100" w:type="dxa"/>
              <w:right w:w="100" w:type="dxa"/>
            </w:tcMar>
          </w:tcPr>
          <w:p>
            <w:pPr>
              <w:jc w:val="center"/>
            </w:pPr>
            <w:r>
              <w:rPr>
                <w:sz w:val="17"/>
              </w:rPr>
              <w:t>PPF ($250k–$1M+)</w:t>
            </w:r>
          </w:p>
        </w:tc>
        <w:tc>
          <w:tcPr>
            <w:tcW w:type="dxa" w:w="1584"/>
            <w:shd w:fill="F9FBFD"/>
            <w:tcMar>
              <w:top w:w="80" w:type="dxa"/>
              <w:bottom w:w="80" w:type="dxa"/>
              <w:left w:w="100" w:type="dxa"/>
              <w:right w:w="100" w:type="dxa"/>
            </w:tcMar>
          </w:tcPr>
          <w:p>
            <w:pPr>
              <w:jc w:val="center"/>
            </w:pPr>
            <w:r>
              <w:rPr>
                <w:sz w:val="17"/>
              </w:rPr>
              <w:t>6 – 12 months</w:t>
            </w:r>
          </w:p>
        </w:tc>
        <w:tc>
          <w:tcPr>
            <w:tcW w:type="dxa" w:w="1440"/>
            <w:shd w:fill="F9FBFD"/>
            <w:tcMar>
              <w:top w:w="80" w:type="dxa"/>
              <w:bottom w:w="80" w:type="dxa"/>
              <w:left w:w="100" w:type="dxa"/>
              <w:right w:w="100" w:type="dxa"/>
            </w:tcMar>
          </w:tcPr>
          <w:p>
            <w:pPr>
              <w:jc w:val="center"/>
            </w:pPr>
            <w:r>
              <w:rPr>
                <w:sz w:val="17"/>
              </w:rPr>
              <w:t>Strategic</w:t>
            </w:r>
          </w:p>
        </w:tc>
      </w:tr>
      <w:tr>
        <w:tc>
          <w:tcPr>
            <w:tcW w:type="dxa" w:w="2016"/>
            <w:shd w:fill="FFFFFF"/>
            <w:tcMar>
              <w:top w:w="80" w:type="dxa"/>
              <w:bottom w:w="80" w:type="dxa"/>
              <w:left w:w="100" w:type="dxa"/>
              <w:right w:w="100" w:type="dxa"/>
            </w:tcMar>
          </w:tcPr>
          <w:p>
            <w:r>
              <w:rPr>
                <w:sz w:val="17"/>
              </w:rPr>
              <w:t>InfraCo Africa</w:t>
            </w:r>
          </w:p>
        </w:tc>
        <w:tc>
          <w:tcPr>
            <w:tcW w:type="dxa" w:w="3024"/>
            <w:shd w:fill="FFFFFF"/>
            <w:tcMar>
              <w:top w:w="80" w:type="dxa"/>
              <w:bottom w:w="80" w:type="dxa"/>
              <w:left w:w="100" w:type="dxa"/>
              <w:right w:w="100" w:type="dxa"/>
            </w:tcMar>
          </w:tcPr>
          <w:p>
            <w:r>
              <w:rPr>
                <w:sz w:val="17"/>
              </w:rPr>
              <w:t>Kariba 250–1000MW Floating Solar SPV</w:t>
            </w:r>
          </w:p>
        </w:tc>
        <w:tc>
          <w:tcPr>
            <w:tcW w:type="dxa" w:w="1872"/>
            <w:shd w:fill="FFFFFF"/>
            <w:tcMar>
              <w:top w:w="80" w:type="dxa"/>
              <w:bottom w:w="80" w:type="dxa"/>
              <w:left w:w="100" w:type="dxa"/>
              <w:right w:w="100" w:type="dxa"/>
            </w:tcMar>
          </w:tcPr>
          <w:p>
            <w:pPr>
              <w:jc w:val="center"/>
            </w:pPr>
            <w:r>
              <w:rPr>
                <w:sz w:val="17"/>
              </w:rPr>
              <w:t>Co-Dev Equity</w:t>
            </w:r>
          </w:p>
        </w:tc>
        <w:tc>
          <w:tcPr>
            <w:tcW w:type="dxa" w:w="1584"/>
            <w:shd w:fill="FFFFFF"/>
            <w:tcMar>
              <w:top w:w="80" w:type="dxa"/>
              <w:bottom w:w="80" w:type="dxa"/>
              <w:left w:w="100" w:type="dxa"/>
              <w:right w:w="100" w:type="dxa"/>
            </w:tcMar>
          </w:tcPr>
          <w:p>
            <w:pPr>
              <w:jc w:val="center"/>
            </w:pPr>
            <w:r>
              <w:rPr>
                <w:sz w:val="17"/>
              </w:rPr>
              <w:t>6 – 12 months</w:t>
            </w:r>
          </w:p>
        </w:tc>
        <w:tc>
          <w:tcPr>
            <w:tcW w:type="dxa" w:w="1440"/>
            <w:shd w:fill="FFFFFF"/>
            <w:tcMar>
              <w:top w:w="80" w:type="dxa"/>
              <w:bottom w:w="80" w:type="dxa"/>
              <w:left w:w="100" w:type="dxa"/>
              <w:right w:w="100" w:type="dxa"/>
            </w:tcMar>
          </w:tcPr>
          <w:p>
            <w:pPr>
              <w:jc w:val="center"/>
            </w:pPr>
            <w:r>
              <w:rPr>
                <w:sz w:val="17"/>
              </w:rPr>
              <w:t>Strategic</w:t>
            </w:r>
          </w:p>
        </w:tc>
      </w:tr>
      <w:tr>
        <w:tc>
          <w:tcPr>
            <w:tcW w:type="dxa" w:w="2016"/>
            <w:shd w:fill="F9FBFD"/>
            <w:tcMar>
              <w:top w:w="80" w:type="dxa"/>
              <w:bottom w:w="80" w:type="dxa"/>
              <w:left w:w="100" w:type="dxa"/>
              <w:right w:w="100" w:type="dxa"/>
            </w:tcMar>
          </w:tcPr>
          <w:p>
            <w:r>
              <w:rPr>
                <w:sz w:val="17"/>
              </w:rPr>
              <w:t>UNIDO GCIP</w:t>
            </w:r>
          </w:p>
        </w:tc>
        <w:tc>
          <w:tcPr>
            <w:tcW w:type="dxa" w:w="3024"/>
            <w:shd w:fill="F9FBFD"/>
            <w:tcMar>
              <w:top w:w="80" w:type="dxa"/>
              <w:bottom w:w="80" w:type="dxa"/>
              <w:left w:w="100" w:type="dxa"/>
              <w:right w:w="100" w:type="dxa"/>
            </w:tcMar>
          </w:tcPr>
          <w:p>
            <w:r>
              <w:rPr>
                <w:sz w:val="17"/>
              </w:rPr>
              <w:t>Waste-to-Energy Valorization Models</w:t>
            </w:r>
          </w:p>
        </w:tc>
        <w:tc>
          <w:tcPr>
            <w:tcW w:type="dxa" w:w="1872"/>
            <w:shd w:fill="F9FBFD"/>
            <w:tcMar>
              <w:top w:w="80" w:type="dxa"/>
              <w:bottom w:w="80" w:type="dxa"/>
              <w:left w:w="100" w:type="dxa"/>
              <w:right w:w="100" w:type="dxa"/>
            </w:tcMar>
          </w:tcPr>
          <w:p>
            <w:pPr>
              <w:jc w:val="center"/>
            </w:pPr>
            <w:r>
              <w:rPr>
                <w:sz w:val="17"/>
              </w:rPr>
              <w:t>Grant / Accelerator</w:t>
            </w:r>
          </w:p>
        </w:tc>
        <w:tc>
          <w:tcPr>
            <w:tcW w:type="dxa" w:w="1584"/>
            <w:shd w:fill="F9FBFD"/>
            <w:tcMar>
              <w:top w:w="80" w:type="dxa"/>
              <w:bottom w:w="80" w:type="dxa"/>
              <w:left w:w="100" w:type="dxa"/>
              <w:right w:w="100" w:type="dxa"/>
            </w:tcMar>
          </w:tcPr>
          <w:p>
            <w:pPr>
              <w:jc w:val="center"/>
            </w:pPr>
            <w:r>
              <w:rPr>
                <w:sz w:val="17"/>
              </w:rPr>
              <w:t>3 – 5 months</w:t>
            </w:r>
          </w:p>
        </w:tc>
        <w:tc>
          <w:tcPr>
            <w:tcW w:type="dxa" w:w="1440"/>
            <w:shd w:fill="F9FBFD"/>
            <w:tcMar>
              <w:top w:w="80" w:type="dxa"/>
              <w:bottom w:w="80" w:type="dxa"/>
              <w:left w:w="100" w:type="dxa"/>
              <w:right w:w="100" w:type="dxa"/>
            </w:tcMar>
          </w:tcPr>
          <w:p>
            <w:pPr>
              <w:jc w:val="center"/>
            </w:pPr>
            <w:r>
              <w:rPr>
                <w:sz w:val="17"/>
              </w:rPr>
              <w:t>Medium</w:t>
            </w:r>
          </w:p>
        </w:tc>
      </w:tr>
      <w:tr>
        <w:tc>
          <w:tcPr>
            <w:tcW w:type="dxa" w:w="2016"/>
            <w:shd w:fill="FFFFFF"/>
            <w:tcMar>
              <w:top w:w="80" w:type="dxa"/>
              <w:bottom w:w="80" w:type="dxa"/>
              <w:left w:w="100" w:type="dxa"/>
              <w:right w:w="100" w:type="dxa"/>
            </w:tcMar>
          </w:tcPr>
          <w:p>
            <w:r>
              <w:rPr>
                <w:sz w:val="17"/>
              </w:rPr>
              <w:t>AECF REACT</w:t>
            </w:r>
          </w:p>
        </w:tc>
        <w:tc>
          <w:tcPr>
            <w:tcW w:type="dxa" w:w="3024"/>
            <w:shd w:fill="FFFFFF"/>
            <w:tcMar>
              <w:top w:w="80" w:type="dxa"/>
              <w:bottom w:w="80" w:type="dxa"/>
              <w:left w:w="100" w:type="dxa"/>
              <w:right w:w="100" w:type="dxa"/>
            </w:tcMar>
          </w:tcPr>
          <w:p>
            <w:r>
              <w:rPr>
                <w:sz w:val="17"/>
              </w:rPr>
              <w:t>eSpring &amp; Distributed Community PUE</w:t>
            </w:r>
          </w:p>
        </w:tc>
        <w:tc>
          <w:tcPr>
            <w:tcW w:type="dxa" w:w="1872"/>
            <w:shd w:fill="FFFFFF"/>
            <w:tcMar>
              <w:top w:w="80" w:type="dxa"/>
              <w:bottom w:w="80" w:type="dxa"/>
              <w:left w:w="100" w:type="dxa"/>
              <w:right w:w="100" w:type="dxa"/>
            </w:tcMar>
          </w:tcPr>
          <w:p>
            <w:pPr>
              <w:jc w:val="center"/>
            </w:pPr>
            <w:r>
              <w:rPr>
                <w:sz w:val="17"/>
              </w:rPr>
              <w:t>Challenge Grant</w:t>
            </w:r>
          </w:p>
        </w:tc>
        <w:tc>
          <w:tcPr>
            <w:tcW w:type="dxa" w:w="1584"/>
            <w:shd w:fill="FFFFFF"/>
            <w:tcMar>
              <w:top w:w="80" w:type="dxa"/>
              <w:bottom w:w="80" w:type="dxa"/>
              <w:left w:w="100" w:type="dxa"/>
              <w:right w:w="100" w:type="dxa"/>
            </w:tcMar>
          </w:tcPr>
          <w:p>
            <w:pPr>
              <w:jc w:val="center"/>
            </w:pPr>
            <w:r>
              <w:rPr>
                <w:sz w:val="17"/>
              </w:rPr>
              <w:t>4 – 6 months</w:t>
            </w:r>
          </w:p>
        </w:tc>
        <w:tc>
          <w:tcPr>
            <w:tcW w:type="dxa" w:w="1440"/>
            <w:shd w:fill="FFFFFF"/>
            <w:tcMar>
              <w:top w:w="80" w:type="dxa"/>
              <w:bottom w:w="80" w:type="dxa"/>
              <w:left w:w="100" w:type="dxa"/>
              <w:right w:w="100" w:type="dxa"/>
            </w:tcMar>
          </w:tcPr>
          <w:p>
            <w:pPr>
              <w:jc w:val="center"/>
            </w:pPr>
            <w:r>
              <w:rPr>
                <w:sz w:val="17"/>
              </w:rPr>
              <w:t>Medium</w:t>
            </w:r>
          </w:p>
        </w:tc>
      </w:tr>
      <w:tr>
        <w:tc>
          <w:tcPr>
            <w:tcW w:type="dxa" w:w="2016"/>
            <w:shd w:fill="F9FBFD"/>
            <w:tcMar>
              <w:top w:w="80" w:type="dxa"/>
              <w:bottom w:w="80" w:type="dxa"/>
              <w:left w:w="100" w:type="dxa"/>
              <w:right w:w="100" w:type="dxa"/>
            </w:tcMar>
          </w:tcPr>
          <w:p>
            <w:r>
              <w:rPr>
                <w:sz w:val="17"/>
              </w:rPr>
              <w:t>DBSA PPF</w:t>
            </w:r>
          </w:p>
        </w:tc>
        <w:tc>
          <w:tcPr>
            <w:tcW w:type="dxa" w:w="3024"/>
            <w:shd w:fill="F9FBFD"/>
            <w:tcMar>
              <w:top w:w="80" w:type="dxa"/>
              <w:bottom w:w="80" w:type="dxa"/>
              <w:left w:w="100" w:type="dxa"/>
              <w:right w:w="100" w:type="dxa"/>
            </w:tcMar>
          </w:tcPr>
          <w:p>
            <w:r>
              <w:rPr>
                <w:sz w:val="17"/>
              </w:rPr>
              <w:t>Rufaro / Midlands 50MW Grid Tied</w:t>
            </w:r>
          </w:p>
        </w:tc>
        <w:tc>
          <w:tcPr>
            <w:tcW w:type="dxa" w:w="1872"/>
            <w:shd w:fill="F9FBFD"/>
            <w:tcMar>
              <w:top w:w="80" w:type="dxa"/>
              <w:bottom w:w="80" w:type="dxa"/>
              <w:left w:w="100" w:type="dxa"/>
              <w:right w:w="100" w:type="dxa"/>
            </w:tcMar>
          </w:tcPr>
          <w:p>
            <w:pPr>
              <w:jc w:val="center"/>
            </w:pPr>
            <w:r>
              <w:rPr>
                <w:sz w:val="17"/>
              </w:rPr>
              <w:t>PPF Subsidized</w:t>
            </w:r>
          </w:p>
        </w:tc>
        <w:tc>
          <w:tcPr>
            <w:tcW w:type="dxa" w:w="1584"/>
            <w:shd w:fill="F9FBFD"/>
            <w:tcMar>
              <w:top w:w="80" w:type="dxa"/>
              <w:bottom w:w="80" w:type="dxa"/>
              <w:left w:w="100" w:type="dxa"/>
              <w:right w:w="100" w:type="dxa"/>
            </w:tcMar>
          </w:tcPr>
          <w:p>
            <w:pPr>
              <w:jc w:val="center"/>
            </w:pPr>
            <w:r>
              <w:rPr>
                <w:sz w:val="17"/>
              </w:rPr>
              <w:t>6 – 9 months</w:t>
            </w:r>
          </w:p>
        </w:tc>
        <w:tc>
          <w:tcPr>
            <w:tcW w:type="dxa" w:w="1440"/>
            <w:shd w:fill="F9FBFD"/>
            <w:tcMar>
              <w:top w:w="80" w:type="dxa"/>
              <w:bottom w:w="80" w:type="dxa"/>
              <w:left w:w="100" w:type="dxa"/>
              <w:right w:w="100" w:type="dxa"/>
            </w:tcMar>
          </w:tcPr>
          <w:p>
            <w:pPr>
              <w:jc w:val="center"/>
            </w:pPr>
            <w:r>
              <w:rPr>
                <w:sz w:val="17"/>
              </w:rPr>
              <w:t>Strategic</w:t>
            </w:r>
          </w:p>
        </w:tc>
      </w:tr>
      <w:tr>
        <w:tc>
          <w:tcPr>
            <w:tcW w:type="dxa" w:w="2016"/>
            <w:shd w:fill="FFFFFF"/>
            <w:tcMar>
              <w:top w:w="80" w:type="dxa"/>
              <w:bottom w:w="80" w:type="dxa"/>
              <w:left w:w="100" w:type="dxa"/>
              <w:right w:w="100" w:type="dxa"/>
            </w:tcMar>
          </w:tcPr>
          <w:p>
            <w:r>
              <w:rPr>
                <w:sz w:val="17"/>
              </w:rPr>
              <w:t>CTCN (UNFCCC)</w:t>
            </w:r>
          </w:p>
        </w:tc>
        <w:tc>
          <w:tcPr>
            <w:tcW w:type="dxa" w:w="3024"/>
            <w:shd w:fill="FFFFFF"/>
            <w:tcMar>
              <w:top w:w="80" w:type="dxa"/>
              <w:bottom w:w="80" w:type="dxa"/>
              <w:left w:w="100" w:type="dxa"/>
              <w:right w:w="100" w:type="dxa"/>
            </w:tcMar>
          </w:tcPr>
          <w:p>
            <w:r>
              <w:rPr>
                <w:sz w:val="17"/>
              </w:rPr>
              <w:t>National Floating Solar Master Plan</w:t>
            </w:r>
          </w:p>
        </w:tc>
        <w:tc>
          <w:tcPr>
            <w:tcW w:type="dxa" w:w="1872"/>
            <w:shd w:fill="FFFFFF"/>
            <w:tcMar>
              <w:top w:w="80" w:type="dxa"/>
              <w:bottom w:w="80" w:type="dxa"/>
              <w:left w:w="100" w:type="dxa"/>
              <w:right w:w="100" w:type="dxa"/>
            </w:tcMar>
          </w:tcPr>
          <w:p>
            <w:pPr>
              <w:jc w:val="center"/>
            </w:pPr>
            <w:r>
              <w:rPr>
                <w:sz w:val="17"/>
              </w:rPr>
              <w:t>TA Services ($250k)</w:t>
            </w:r>
          </w:p>
        </w:tc>
        <w:tc>
          <w:tcPr>
            <w:tcW w:type="dxa" w:w="1584"/>
            <w:shd w:fill="FFFFFF"/>
            <w:tcMar>
              <w:top w:w="80" w:type="dxa"/>
              <w:bottom w:w="80" w:type="dxa"/>
              <w:left w:w="100" w:type="dxa"/>
              <w:right w:w="100" w:type="dxa"/>
            </w:tcMar>
          </w:tcPr>
          <w:p>
            <w:pPr>
              <w:jc w:val="center"/>
            </w:pPr>
            <w:r>
              <w:rPr>
                <w:sz w:val="17"/>
              </w:rPr>
              <w:t>4 – 8 months</w:t>
            </w:r>
          </w:p>
        </w:tc>
        <w:tc>
          <w:tcPr>
            <w:tcW w:type="dxa" w:w="1440"/>
            <w:shd w:fill="FFFFFF"/>
            <w:tcMar>
              <w:top w:w="80" w:type="dxa"/>
              <w:bottom w:w="80" w:type="dxa"/>
              <w:left w:w="100" w:type="dxa"/>
              <w:right w:w="100" w:type="dxa"/>
            </w:tcMar>
          </w:tcPr>
          <w:p>
            <w:pPr>
              <w:jc w:val="center"/>
            </w:pPr>
            <w:r>
              <w:rPr>
                <w:sz w:val="17"/>
              </w:rPr>
              <w:t>Policy Co-Op</w:t>
            </w:r>
          </w:p>
        </w:tc>
      </w:tr>
    </w:tbl>
    <w:p>
      <w:pPr>
        <w:spacing w:after="240"/>
      </w:pPr>
    </w:p>
    <w:p>
      <w:pPr>
        <w:spacing w:before="160" w:after="80"/>
      </w:pPr>
      <w:r>
        <w:rPr>
          <w:b/>
          <w:color w:val="0E2B3E"/>
          <w:sz w:val="24"/>
        </w:rPr>
        <w:t>Recommended Immediate Action Plan</w:t>
      </w:r>
    </w:p>
    <w:p>
      <w:pPr>
        <w:pStyle w:val="ListBullet"/>
        <w:spacing w:before="40" w:after="40"/>
      </w:pPr>
      <w:r>
        <w:rPr>
          <w:sz w:val="19"/>
        </w:rPr>
        <w:t>Phase 1 (Month 1): Package Hermit’s existing PVsyst models, Class 5 CapEx estimates, and grid-connection studies into a standardized Project Information Memorandum (PIM) for the Midlands 50 MW and NRZ-CPF portfolio.</w:t>
      </w:r>
    </w:p>
    <w:p>
      <w:pPr>
        <w:pStyle w:val="ListBullet"/>
        <w:spacing w:before="40" w:after="40"/>
      </w:pPr>
      <w:r>
        <w:rPr>
          <w:sz w:val="19"/>
        </w:rPr>
        <w:t>Phase 2 (Month 1–2): Submit a formal application to GET.invest for financial model review and investor matchmaking; simultaneously engage IDBZ under the existing development partnership for PPDF feasibility co-funding.</w:t>
      </w:r>
    </w:p>
    <w:p>
      <w:pPr>
        <w:pStyle w:val="ListBullet"/>
        <w:spacing w:before="40" w:after="40"/>
      </w:pPr>
      <w:r>
        <w:rPr>
          <w:sz w:val="19"/>
        </w:rPr>
        <w:t>Phase 3 (Month 2–4): Prepare an SPV co-development concept note for the Kariba Floating Solar project and engage AfDB SEFA / InfraCo Africa as anchor project preparation financiers.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