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Instrukcja CSM v1.5</w:t>
      </w:r>
    </w:p>
    <w:p>
      <w:r>
        <w:t>CSM for Word pseudonimizuje dokument lokalnie przed praca z Claude for Word i pozwala przywrocic wersje jawna po zakonczeniu pracy.</w:t>
      </w:r>
    </w:p>
    <w:p>
      <w:r>
        <w:t>Najwazniejsze kategorie obejmuja OSOBA, FIRMA, PESEL, ADRES, SEKRET oraz RACHUNEK_BANKOWY.</w:t>
      </w:r>
    </w:p>
    <w:p>
      <w:r>
        <w:t>Obrazy, komentarze, naglowki, stopki i metadane wymagaja kontroli po anonimizacji, szczegolnie gdy dokument zawiera skany albo osadzone grafiki.</w:t>
      </w:r>
    </w:p>
    <w:p>
      <w:r>
        <w:t>Reguly reczne, mapy i kopie awaryjne sa przechowywane lokalnie. Nie wysylaj map ani katalogu backups poza kancelarie bez kontroli danych.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CSM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CSM v1.3</dc:title>
  <dc:creator>CSM</dc:creator>
</cp:coreProperties>
</file>