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endnotes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2.png" ContentType="image/png"/>
  <Override PartName="/word/media/image9.png" ContentType="image/png"/>
  <Override PartName="/word/media/image13.png" ContentType="image/png"/>
  <Override PartName="/word/media/image16.png" ContentType="image/png"/>
  <Override PartName="/word/media/image14.png" ContentType="image/png"/>
  <Override PartName="/word/media/image1.jpeg" ContentType="image/jpeg"/>
  <Override PartName="/word/media/image2.jpeg" ContentType="image/jpeg"/>
  <Override PartName="/word/media/image5.jpeg" ContentType="image/jpeg"/>
  <Override PartName="/word/media/image10.jpeg" ContentType="image/jpeg"/>
  <Override PartName="/word/media/image15.png" ContentType="image/png"/>
  <Override PartName="/word/media/image3.jpeg" ContentType="image/jpeg"/>
  <Override PartName="/word/media/image4.png" ContentType="image/png"/>
  <Override PartName="/word/media/image6.png" ContentType="image/png"/>
  <Override PartName="/word/media/image7.jpeg" ContentType="image/jpeg"/>
  <Override PartName="/word/media/image11.png" ContentType="image/png"/>
  <Override PartName="/word/media/image8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ackground w:color="FFFFFF"/>
  <w:body>
    <w:p>
      <w:pPr>
        <w:pStyle w:val="Normal"/>
        <w:jc w:val="center"/>
        <w:rPr/>
      </w:pPr>
      <w:r>
        <w:rPr/>
        <w:drawing>
          <wp:inline distT="0" distB="0" distL="0" distR="0">
            <wp:extent cx="5286375" cy="790575"/>
            <wp:effectExtent l="0" t="0" r="0" b="0"/>
            <wp:docPr id="1" name="Obraz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24" t="-161" r="-24" b="-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  <w:t>Nazwa Wydziału</w:t>
      </w:r>
    </w:p>
    <w:p>
      <w:pPr>
        <w:pStyle w:val="Normal"/>
        <w:jc w:val="center"/>
        <w:rPr>
          <w:b/>
          <w:b/>
          <w:sz w:val="24"/>
        </w:rPr>
      </w:pPr>
      <w:r>
        <w:rPr>
          <w:b/>
          <w:sz w:val="24"/>
        </w:rPr>
      </w:r>
    </w:p>
    <w:p>
      <w:pPr>
        <w:pStyle w:val="TextBody"/>
        <w:rPr>
          <w:b/>
          <w:b/>
        </w:rPr>
      </w:pPr>
      <w:r>
        <w:rPr>
          <w:b/>
        </w:rPr>
      </w:r>
    </w:p>
    <w:p>
      <w:pPr>
        <w:pStyle w:val="TextBody"/>
        <w:jc w:val="center"/>
        <w:rPr>
          <w:b/>
          <w:b/>
        </w:rPr>
      </w:pPr>
      <w:r>
        <w:rPr>
          <w:b/>
        </w:rPr>
      </w:r>
    </w:p>
    <w:p>
      <w:pPr>
        <w:pStyle w:val="TextBody"/>
        <w:jc w:val="center"/>
        <w:rPr>
          <w:b/>
          <w:b/>
        </w:rPr>
      </w:pPr>
      <w:r>
        <w:rPr>
          <w:b/>
        </w:rPr>
        <w:t xml:space="preserve">Nazwa Katedry </w:t>
      </w:r>
    </w:p>
    <w:p>
      <w:pPr>
        <w:pStyle w:val="TextBody"/>
        <w:spacing w:lineRule="atLeast" w:line="285"/>
        <w:jc w:val="center"/>
        <w:rPr/>
      </w:pPr>
      <w:bookmarkStart w:id="0" w:name="WACViewPanel_ClipboardElement_Copy_3"/>
      <w:bookmarkEnd w:id="0"/>
      <w:r>
        <w:rPr>
          <w:rFonts w:cs="Times New Roman" w:ascii="Times New Roman" w:hAnsi="Times New Roman"/>
          <w:b/>
        </w:rPr>
        <w:t>Katedra Inżynierii Oprogramowania</w:t>
      </w:r>
      <w:r>
        <w:rPr/>
        <w:t> </w:t>
      </w:r>
    </w:p>
    <w:p>
      <w:pPr>
        <w:pStyle w:val="TextBody"/>
        <w:jc w:val="center"/>
        <w:rPr/>
      </w:pPr>
      <w:r>
        <w:rPr/>
        <w:t>Zarządzanie projektami (IM)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b/>
          <w:b/>
        </w:rPr>
      </w:pPr>
      <w:r>
        <w:rPr>
          <w:b/>
        </w:rPr>
        <w:t>Piotr Wrona</w:t>
      </w:r>
    </w:p>
    <w:p>
      <w:pPr>
        <w:pStyle w:val="TextBody"/>
        <w:jc w:val="center"/>
        <w:rPr/>
      </w:pPr>
      <w:r>
        <w:rPr/>
        <w:t>Nr albumu s25773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Tytuł pracy dyplomowej</w:t>
      </w:r>
    </w:p>
    <w:p>
      <w:pPr>
        <w:pStyle w:val="TextBody"/>
        <w:jc w:val="center"/>
        <w:rPr/>
      </w:pPr>
      <w:r>
        <w:rPr/>
        <w:t>“</w:t>
      </w:r>
      <w:r>
        <w:rPr/>
        <w:t>Procedura bezpieczeństwa dla ciągłej integracji oprogramowania oparta na DevSecOps.” </w:t>
      </w:r>
    </w:p>
    <w:p>
      <w:pPr>
        <w:pStyle w:val="TextBody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ind w:left="4956" w:hanging="0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TextBody"/>
        <w:ind w:left="4956" w:hanging="0"/>
        <w:rPr/>
      </w:pPr>
      <w:r>
        <w:rPr/>
        <w:t xml:space="preserve">Rodzaj pracy </w:t>
      </w:r>
    </w:p>
    <w:p>
      <w:pPr>
        <w:pStyle w:val="TextBody"/>
        <w:ind w:left="4956" w:hanging="0"/>
        <w:rPr>
          <w:sz w:val="22"/>
          <w:szCs w:val="22"/>
        </w:rPr>
      </w:pPr>
      <w:r>
        <w:rPr>
          <w:sz w:val="22"/>
          <w:szCs w:val="22"/>
        </w:rPr>
        <w:t>magisterska</w:t>
      </w:r>
    </w:p>
    <w:p>
      <w:pPr>
        <w:pStyle w:val="TextBody"/>
        <w:ind w:left="4956" w:hanging="0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extBody"/>
        <w:ind w:left="4920" w:hanging="0"/>
        <w:rPr/>
      </w:pPr>
      <w:r>
        <w:rPr/>
        <w:t>Imię i nazwisko promotora</w:t>
      </w:r>
    </w:p>
    <w:p>
      <w:pPr>
        <w:pStyle w:val="TextBody"/>
        <w:ind w:left="4920" w:hanging="0"/>
        <w:rPr>
          <w:sz w:val="22"/>
          <w:szCs w:val="22"/>
        </w:rPr>
      </w:pPr>
      <w:bookmarkStart w:id="1" w:name="WACViewPanel_ClipboardElement"/>
      <w:bookmarkEnd w:id="1"/>
      <w:r>
        <w:rPr>
          <w:sz w:val="22"/>
          <w:szCs w:val="22"/>
        </w:rPr>
        <w:t>Dr. Hab. Inż. Piotr Habela </w:t>
      </w:r>
    </w:p>
    <w:p>
      <w:pPr>
        <w:pStyle w:val="TextBody"/>
        <w:ind w:left="4920" w:hanging="0"/>
        <w:rPr/>
      </w:pPr>
      <w:r>
        <w:rPr/>
      </w:r>
    </w:p>
    <w:p>
      <w:pPr>
        <w:pStyle w:val="TextBody"/>
        <w:ind w:left="4956" w:hanging="0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miejsce, miesiąc, rok obrony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Toaheading"/>
        <w:rPr/>
      </w:pPr>
      <w:r>
        <w:rPr/>
        <w:t>Spis Treści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rPr/>
          </w:pPr>
          <w:r>
            <w:fldChar w:fldCharType="begin"/>
          </w:r>
          <w:r>
            <w:rPr>
              <w:rStyle w:val="IndexLink"/>
            </w:rPr>
            <w:instrText xml:space="preserve"> TOC \f \o "1-9" \h</w:instrText>
          </w:r>
          <w:r>
            <w:rPr>
              <w:rStyle w:val="IndexLink"/>
            </w:rPr>
            <w:fldChar w:fldCharType="separate"/>
          </w:r>
          <w:hyperlink w:anchor="__RefHeading___Toc425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Wstęp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27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 pracy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27_451261914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Założenia</w:t>
              <w:tab/>
              <w:t>4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437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Praktyki DevSecOps</w:t>
              <w:tab/>
              <w:t>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38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Geneza</w:t>
              <w:tab/>
              <w:t>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0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Cele DevSecOps</w:t>
              <w:tab/>
              <w:t>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2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Manifest DevSecOps</w:t>
              <w:tab/>
              <w:t>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44_3912164325">
            <w:r>
              <w:rPr>
                <w:rStyle w:val="IndexLink"/>
              </w:rPr>
              <w:t>Podejścia do DevSecOps</w:t>
              <w:tab/>
              <w:t>8</w:t>
            </w:r>
          </w:hyperlink>
        </w:p>
        <w:p>
          <w:pPr>
            <w:pStyle w:val="Contents1"/>
            <w:rPr/>
          </w:pPr>
          <w:hyperlink w:anchor="__RefHeading___Toc429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Rozwiązanie projektowe</w:t>
              <w:tab/>
              <w:t>9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49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Rozwiązanie wejściowe</w:t>
              <w:tab/>
              <w:t>9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733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struktury aplikacji</w:t>
              <w:tab/>
              <w:t>9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35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środowiska aplikacji</w:t>
              <w:tab/>
              <w:t>10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37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bazy danych</w:t>
              <w:tab/>
              <w:t>10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739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Wybór modelu i architektury dla projektu</w:t>
              <w:tab/>
              <w:t>11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431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Modele infrastrukturalne</w:t>
              <w:tab/>
              <w:t>11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41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Propozycja infrastruktury</w:t>
              <w:tab/>
              <w:t>11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435_451261914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Wejściowy proces CI/CD dla projektu</w:t>
              <w:tab/>
              <w:t>14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57_1453835382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Cel projektowania i stosowania CI/CD</w:t>
              <w:tab/>
              <w:t>14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743_3420670368">
            <w:r>
              <w:rPr>
                <w:rStyle w:val="IndexLink"/>
              </w:rPr>
              <w:t>Propozycja procesu CI/CD dla projektu</w:t>
              <w:tab/>
              <w:t>15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51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Rozwiązanie wyjściowe</w:t>
              <w:tab/>
              <w:t>18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54_3912164325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Planowanie bezpieczeństwa</w:t>
              <w:tab/>
              <w:t>18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2677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Miary bezpieczeństwa procesu CI/CD</w:t>
              <w:tab/>
              <w:t>18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2679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Planowanie implementacji do procesu CI/CD</w:t>
              <w:tab/>
              <w:t>19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2681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Zarządzanie sekretami</w:t>
              <w:tab/>
              <w:t>20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4350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Udoskonalony proces CI/CD</w:t>
              <w:tab/>
              <w:t>21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160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Rola kodu źródłowego w bezpieczeństwie aplikacji</w:t>
              <w:tab/>
              <w:t>23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62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Zastosowanie Sonarqube w celu zwiększania bezpieczeństwa</w:t>
              <w:tab/>
              <w:t>23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3610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Wprowadzenie bramki jakościowej dla kodu źródłowego</w:t>
              <w:tab/>
              <w:t>26</w:t>
            </w:r>
          </w:hyperlink>
        </w:p>
        <w:p>
          <w:pPr>
            <w:pStyle w:val="Contents3"/>
            <w:tabs>
              <w:tab w:val="clear" w:pos="8505"/>
              <w:tab w:val="right" w:pos="9072" w:leader="dot"/>
            </w:tabs>
            <w:rPr/>
          </w:pPr>
          <w:hyperlink w:anchor="__RefHeading___Toc3612_3420670368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Bezpieczeństwo infrastruktury i implementacja rozwiązania</w:t>
              <w:tab/>
              <w:t>27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46_3912164325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Bezpieczeństwo infrastruktury cloudowej</w:t>
              <w:tab/>
              <w:t>27</w:t>
            </w:r>
          </w:hyperlink>
        </w:p>
        <w:p>
          <w:pPr>
            <w:pStyle w:val="Contents4"/>
            <w:tabs>
              <w:tab w:val="clear" w:pos="8222"/>
              <w:tab w:val="right" w:pos="9072" w:leader="dot"/>
            </w:tabs>
            <w:rPr/>
          </w:pPr>
          <w:hyperlink w:anchor="__RefHeading___Toc156_3912164325">
            <w:r>
              <w:rPr>
                <w:rStyle w:val="IndexLink"/>
              </w:rPr>
              <w:t>Skanowanie infrastruktury</w:t>
              <w:tab/>
              <w:t>27</w:t>
            </w:r>
          </w:hyperlink>
        </w:p>
        <w:p>
          <w:pPr>
            <w:pStyle w:val="Contents1"/>
            <w:rPr/>
          </w:pPr>
          <w:hyperlink w:anchor="__RefHeading___Toc425_451261914_Copy_1">
            <w:r>
              <w:rPr>
                <w:rStyle w:val="IndexLink"/>
              </w:rPr>
              <w:t xml:space="preserve"> </w:t>
            </w:r>
            <w:r>
              <w:rPr>
                <w:rStyle w:val="IndexLink"/>
              </w:rPr>
              <w:t>Wnioski z przeprowadzonego projektu</w:t>
              <w:tab/>
              <w:t>28</w:t>
            </w:r>
          </w:hyperlink>
        </w:p>
        <w:p>
          <w:pPr>
            <w:pStyle w:val="Contents2"/>
            <w:tabs>
              <w:tab w:val="clear" w:pos="8789"/>
              <w:tab w:val="right" w:pos="9072" w:leader="dot"/>
            </w:tabs>
            <w:rPr/>
          </w:pPr>
          <w:hyperlink w:anchor="__RefHeading___Toc169_3912164325">
            <w:r>
              <w:rPr>
                <w:rStyle w:val="IndexLink"/>
              </w:rPr>
              <w:t>Stopień spełnienia założeń projektowych</w:t>
              <w:tab/>
              <w:t>28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1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2" w:name="__RefHeading___Toc425_451261914"/>
      <w:bookmarkEnd w:id="2"/>
      <w:r>
        <w:rPr>
          <w:rFonts w:cs="Verdana" w:ascii="Verdana" w:hAnsi="Verdana"/>
        </w:rPr>
        <w:tab/>
        <w:t>Wstęp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3" w:name="__RefHeading___Toc427_451261914"/>
      <w:bookmarkEnd w:id="3"/>
      <w:r>
        <w:rPr>
          <w:rFonts w:cs="Verdana" w:ascii="Verdana" w:hAnsi="Verdana"/>
        </w:rPr>
        <w:tab/>
        <w:t>Cel pracy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ab/>
        <w:t>Celem pracy jest analiza procesu ciągłego dostarczania i eksploatacji oprogramowania, a następnie wyszczególnienie miejsc podatnych z punktu widzenia jego bezpieczeństwa. Zaproponowane zostaną rozwiązania na redukcję wrażliwości i docelowo zabezpieczenie kodu źródłowego. W niektórych sytuacjach przedstawione zostanie porównanie narzędzi, z wyszczególnieniem wad i zalet. 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Opracowanie ma pozwolić na jak najgłębsze przedstawienie zagadnienia oraz porządkuję zagadnienie DevSecOps. Dzięki temu, praca będzie przydatna dla osób zajmujących się procesami ciągłego dostarczania i eksploatacji oprogramowania jako uzupełnienie wiedzy, ale również będzie niezwykle przydatna dla osób poznających tematykę i chcących zaczerpnąć bazową wiedzę z zakresu bezpieczeństwa przy procesach CI/CD. 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4" w:name="__RefHeading___Toc427_451261914_Copy_1"/>
      <w:bookmarkEnd w:id="4"/>
      <w:r>
        <w:rPr>
          <w:rFonts w:cs="Verdana" w:ascii="Verdana" w:hAnsi="Verdana"/>
          <w:b w:val="false"/>
          <w:sz w:val="20"/>
          <w:szCs w:val="20"/>
        </w:rPr>
        <w:tab/>
      </w:r>
      <w:r>
        <w:rPr>
          <w:rFonts w:cs="Verdana" w:ascii="Verdana" w:hAnsi="Verdana"/>
        </w:rPr>
        <w:t>Założenia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5" w:name="__RefHeading___Toc437_451261914"/>
      <w:bookmarkEnd w:id="5"/>
      <w:r>
        <w:rPr>
          <w:rFonts w:cs="Verdana" w:ascii="Verdana" w:hAnsi="Verdana"/>
        </w:rPr>
        <w:tab/>
        <w:t>Praktyki DevSecOps</w:t>
      </w:r>
    </w:p>
    <w:p>
      <w:pPr>
        <w:pStyle w:val="Heading3"/>
        <w:numPr>
          <w:ilvl w:val="2"/>
          <w:numId w:val="1"/>
        </w:numPr>
        <w:rPr>
          <w:rFonts w:ascii="Verdana" w:hAnsi="Verdana" w:cs="Verdana"/>
        </w:rPr>
      </w:pPr>
      <w:bookmarkStart w:id="6" w:name="__RefHeading___Toc138_3912164325"/>
      <w:bookmarkEnd w:id="6"/>
      <w:r>
        <w:rPr>
          <w:rFonts w:cs="Verdana" w:ascii="Verdana" w:hAnsi="Verdana"/>
        </w:rPr>
        <w:tab/>
        <w:t>Geneza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7" w:name="__RefHeading___Toc140_3912164325"/>
      <w:bookmarkEnd w:id="7"/>
      <w:r>
        <w:rPr/>
        <w:tab/>
        <w:t>Cele DevSecOps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8" w:name="__RefHeading___Toc142_3912164325"/>
      <w:bookmarkEnd w:id="8"/>
      <w:r>
        <w:rPr/>
        <w:tab/>
        <w:t>Manifest DevSecOps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W celu poprawnego zrozumienia badanego zagadnienia konieczne jest przybliżenie terminu DevSecOps. Został on podobnie jak koncept podejścia Agile zebrany w zbiór reguł, które tworzą manifest</w:t>
      </w:r>
      <w:r>
        <w:rPr>
          <w:rStyle w:val="EndnoteAnchor"/>
          <w:sz w:val="20"/>
          <w:szCs w:val="20"/>
        </w:rPr>
        <w:endnoteReference w:id="2"/>
      </w:r>
      <w:r>
        <w:rPr>
          <w:sz w:val="20"/>
          <w:szCs w:val="20"/>
        </w:rPr>
        <w:t xml:space="preserve">. W tym przypadku jego twórcami są: 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Ian Allison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Justin Tiplitsky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Scott Kennedy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Nigel Kersten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Shannon Lietz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Fabian Lim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Michelle Nikulshin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Christian Price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Ravi Dhungel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Kyle Rose</w:t>
      </w:r>
    </w:p>
    <w:p>
      <w:pPr>
        <w:pStyle w:val="TextBody"/>
        <w:numPr>
          <w:ilvl w:val="0"/>
          <w:numId w:val="2"/>
        </w:numPr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Brandon Sherman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  <w:t>Ropatrzmy poszczególne tezy stawiane przez manifest:</w:t>
      </w:r>
    </w:p>
    <w:p>
      <w:pPr>
        <w:pStyle w:val="TextBody"/>
        <w:spacing w:lineRule="atLeast" w:line="285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spacing w:lineRule="atLeast" w:line="285"/>
        <w:jc w:val="center"/>
        <w:rPr/>
      </w:pPr>
      <w:r>
        <w:rPr>
          <w:rStyle w:val="Strong"/>
        </w:rPr>
        <w:t>„</w:t>
      </w:r>
      <w:r>
        <w:rPr>
          <w:rStyle w:val="Strong"/>
        </w:rPr>
        <w:t>Leaning in</w:t>
      </w:r>
      <w:r>
        <w:rPr/>
        <w:t xml:space="preserve"> over Always Saying “No””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Przez to hasło należy rozumieć pewną transformację podejściową członków zespołu z częstego mówienia „nie” do świadomego wkładu w rozwijanie kwestii bezpieczeństwa. Temat ten nie może być odkładany jako nieistotny, a kwestie związane z inicjatywami w tej materii muszą być wspierane. </w:t>
      </w:r>
    </w:p>
    <w:p>
      <w:pPr>
        <w:pStyle w:val="TextBody"/>
        <w:spacing w:lineRule="atLeast" w:line="285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TextBody"/>
        <w:spacing w:lineRule="atLeast" w:line="285"/>
        <w:jc w:val="center"/>
        <w:rPr/>
      </w:pPr>
      <w:r>
        <w:rPr>
          <w:rStyle w:val="Strong"/>
          <w:b w:val="false"/>
        </w:rPr>
        <w:t>„</w:t>
      </w:r>
      <w:r>
        <w:rPr>
          <w:rStyle w:val="Strong"/>
        </w:rPr>
        <w:t>Data &amp; Security Science</w:t>
      </w:r>
      <w:r>
        <w:rPr/>
        <w:t xml:space="preserve"> over Fear, Uncertainty and Doubt”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DevSecOps musi być oparty na profesjonalnym podejściu, wspomaganym przez rzetelne raporty wykorzystywanych narzędzi niż podejściu chaotycznym i kierowanym przez strach. </w:t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</w:r>
    </w:p>
    <w:p>
      <w:pPr>
        <w:pStyle w:val="TextBody"/>
        <w:spacing w:lineRule="atLeast" w:line="285"/>
        <w:jc w:val="center"/>
        <w:rPr/>
      </w:pPr>
      <w:r>
        <w:rPr/>
        <w:br/>
        <w:t>„</w:t>
      </w:r>
      <w:r>
        <w:rPr>
          <w:rStyle w:val="Strong"/>
        </w:rPr>
        <w:t>Open Contribution &amp; Collaboration</w:t>
      </w:r>
      <w:r>
        <w:rPr/>
        <w:t xml:space="preserve"> over Security-Only Requirements”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 xml:space="preserve">Tworzenie oprogramowania opiera się na integracji wielu produkty zewnętrznych oraz wewnętrznych.  Dlatego, konieczna jest świadomość wszystkich elementów oraz jak je zintegrować aby stworzyć bezpieczny system. </w:t>
      </w:r>
    </w:p>
    <w:p>
      <w:pPr>
        <w:pStyle w:val="TextBody"/>
        <w:spacing w:lineRule="atLeast" w:line="285"/>
        <w:rPr/>
      </w:pPr>
      <w:r>
        <w:rPr/>
        <w:br/>
        <w:t>„</w:t>
      </w:r>
      <w:r>
        <w:rPr>
          <w:rStyle w:val="Strong"/>
        </w:rPr>
        <w:t>Consumable Security Services with APIs</w:t>
      </w:r>
      <w:r>
        <w:rPr/>
        <w:t xml:space="preserve"> over Mandated Security Controls &amp; Paperwork”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 xml:space="preserve">Priorytem powinno być stworzenie procesu który możemy wyrażać jako pewnego rodzaju usługę zapewniania bezpieczeństwa zamiast skupiać się na narzędziach służących wykonywaniu danej funkcjonalności. </w:t>
      </w:r>
    </w:p>
    <w:p>
      <w:pPr>
        <w:pStyle w:val="TextBody"/>
        <w:spacing w:lineRule="atLeast" w:line="285"/>
        <w:jc w:val="center"/>
        <w:rPr/>
      </w:pPr>
      <w:r>
        <w:rPr/>
        <w:br/>
        <w:t>„</w:t>
      </w:r>
      <w:r>
        <w:rPr>
          <w:rStyle w:val="Strong"/>
        </w:rPr>
        <w:t>Business Driven Security Scores</w:t>
      </w:r>
      <w:r>
        <w:rPr/>
        <w:t xml:space="preserve"> over Rubber Stamp Security”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Konieczne jest dostosowanie naszych wymogów dotyczących bezpieczeństwa do wymagań biznesu. Każda implementacja powinna być oceniana pod względem jej użyteczności, zamiast zwykłego ohczenia działania jako zrobione.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Red &amp; Blue Team Exploit Testing</w:t>
      </w:r>
      <w:r>
        <w:rPr/>
        <w:t xml:space="preserve"> over Relying on Scans &amp; Theoretical Vulnerabilities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Tworzenie zespółów czerwony/niebiescy do nauki obrony naszego systemu. W zalożeniu podejście to odwzorowuję bardziej realistyczne przebieg potencjalnego ataku przy użyciu najbardziej aktualnych narzędzi penetracyjnych.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24x7 Proactive Security Monitoring</w:t>
      </w:r>
      <w:r>
        <w:rPr/>
        <w:t xml:space="preserve"> over Reacting after being Informed of an Incident</w:t>
      </w:r>
    </w:p>
    <w:p>
      <w:pPr>
        <w:pStyle w:val="TextBody"/>
        <w:spacing w:lineRule="atLeast" w:line="285"/>
        <w:rPr/>
      </w:pPr>
      <w:r>
        <w:rPr>
          <w:sz w:val="22"/>
          <w:szCs w:val="22"/>
        </w:rPr>
        <w:tab/>
      </w:r>
      <w:r>
        <w:rPr>
          <w:sz w:val="20"/>
          <w:szCs w:val="20"/>
        </w:rPr>
        <w:t>Ciągłe skanowanie naszego systemu pozwala nam wykrywać zdarzenia potencjalnie niebezpieczne i przeciwdziałać im przed szkodą.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Shared Threat Intelligence</w:t>
      </w:r>
      <w:r>
        <w:rPr/>
        <w:t xml:space="preserve"> over Keeping Info to Ourselves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Ciągła wymiana informacji jest kluczem do rozwijania świadomości i poszerzania wiedzy wszystkich członków zespołu. Takie działania pozwalają na szybszą reakcję  i lepszą odpowiedź w przypadku sytuacji zagrożenia.</w:t>
      </w:r>
    </w:p>
    <w:p>
      <w:pPr>
        <w:pStyle w:val="TextBody"/>
        <w:spacing w:lineRule="atLeast" w:line="285"/>
        <w:jc w:val="center"/>
        <w:rPr/>
      </w:pPr>
      <w:r>
        <w:rPr/>
        <w:br/>
      </w:r>
      <w:r>
        <w:rPr>
          <w:rStyle w:val="Strong"/>
        </w:rPr>
        <w:t>Compliance Operations</w:t>
      </w:r>
      <w:r>
        <w:rPr/>
        <w:t xml:space="preserve"> over Clipboards &amp; Checklists</w:t>
      </w:r>
    </w:p>
    <w:p>
      <w:pPr>
        <w:pStyle w:val="TextBody"/>
        <w:spacing w:lineRule="atLeast" w:line="285"/>
        <w:rPr/>
      </w:pPr>
      <w:r>
        <w:rPr/>
        <w:tab/>
      </w:r>
      <w:r>
        <w:rPr>
          <w:sz w:val="20"/>
          <w:szCs w:val="20"/>
        </w:rPr>
        <w:t>Ciągła kontrola ponad ufność w checklisty.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9" w:name="__RefHeading___Toc144_3912164325"/>
      <w:bookmarkEnd w:id="9"/>
      <w:r>
        <w:rPr/>
        <w:t>Podejścia do DevSecOps</w:t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Normal"/>
        <w:spacing w:lineRule="atLeast" w:line="285"/>
        <w:rPr/>
      </w:pPr>
      <w:r>
        <w:rPr/>
      </w:r>
      <w:r>
        <w:br w:type="page"/>
      </w:r>
    </w:p>
    <w:p>
      <w:pPr>
        <w:pStyle w:val="Heading1"/>
        <w:numPr>
          <w:ilvl w:val="0"/>
          <w:numId w:val="0"/>
        </w:numPr>
        <w:ind w:left="0" w:hanging="0"/>
        <w:rPr/>
      </w:pPr>
      <w:bookmarkStart w:id="10" w:name="__RefHeading___Toc429_451261914"/>
      <w:bookmarkEnd w:id="10"/>
      <w:r>
        <w:rPr/>
        <w:tab/>
        <w:t>Rozwiązanie projektowe</w:t>
      </w:r>
    </w:p>
    <w:p>
      <w:pPr>
        <w:pStyle w:val="TextBody"/>
        <w:rPr/>
      </w:pPr>
      <w:r>
        <w:rPr/>
      </w:r>
    </w:p>
    <w:p>
      <w:pPr>
        <w:pStyle w:val="Heading2"/>
        <w:numPr>
          <w:ilvl w:val="0"/>
          <w:numId w:val="0"/>
        </w:numPr>
        <w:ind w:left="0" w:hanging="0"/>
        <w:rPr/>
      </w:pPr>
      <w:bookmarkStart w:id="11" w:name="__RefHeading___Toc149_3912164325"/>
      <w:bookmarkEnd w:id="11"/>
      <w:r>
        <w:rPr>
          <w:rFonts w:cs="Verdana" w:ascii="Verdana" w:hAnsi="Verdana"/>
        </w:rPr>
        <w:tab/>
      </w:r>
      <w:r>
        <w:rPr/>
        <w:t>Rozwiązanie wejściowe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12" w:name="__RefHeading___Toc733_3420670368"/>
      <w:bookmarkEnd w:id="12"/>
      <w:r>
        <w:rPr/>
        <w:tab/>
      </w:r>
      <w:r>
        <w:rPr>
          <w:sz w:val="26"/>
          <w:szCs w:val="26"/>
        </w:rPr>
        <w:t>Wybór struktury aplikacji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>W ostatnich latach, trend rozwijania aplikacji sukcesywnie przesuwa się z dużych monolitycznych aplikacji na aplikacje mikro serwisowe. Tabela poniżej opisuję główne różnice dla obu podejść.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535"/>
        <w:gridCol w:w="4536"/>
      </w:tblGrid>
      <w:tr>
        <w:trPr/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Podejście monoliticzne</w:t>
            </w:r>
          </w:p>
        </w:tc>
        <w:tc>
          <w:tcPr>
            <w:tcW w:w="4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jc w:val="center"/>
              <w:rPr/>
            </w:pPr>
            <w:r>
              <w:rPr/>
              <w:t>Podejście mikroserwisowe</w:t>
            </w:r>
          </w:p>
        </w:tc>
      </w:tr>
      <w:tr>
        <w:trPr/>
        <w:tc>
          <w:tcPr>
            <w:tcW w:w="45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15"/>
              </w:numPr>
              <w:rPr/>
            </w:pPr>
            <w:r>
              <w:rPr/>
              <w:t>Potencjalna awaria powoduję duże problemy funkcjonalnościowe i może sparaliżować cały system</w:t>
            </w:r>
          </w:p>
          <w:p>
            <w:pPr>
              <w:pStyle w:val="TableContents"/>
              <w:widowControl w:val="false"/>
              <w:numPr>
                <w:ilvl w:val="0"/>
                <w:numId w:val="15"/>
              </w:numPr>
              <w:rPr/>
            </w:pPr>
            <w:r>
              <w:rPr/>
              <w:t>Zmiany w aplikacji są trudne, ze względu na złożoność kodu źródłowego</w:t>
            </w:r>
          </w:p>
          <w:p>
            <w:pPr>
              <w:pStyle w:val="TableContents"/>
              <w:widowControl w:val="false"/>
              <w:numPr>
                <w:ilvl w:val="0"/>
                <w:numId w:val="15"/>
              </w:numPr>
              <w:rPr/>
            </w:pPr>
            <w:r>
              <w:rPr/>
              <w:t>Środowiska uruchumieniowe często wymagają dużych zasobów i są uruchamiane na dużych maszynach serwerowych</w:t>
            </w:r>
          </w:p>
        </w:tc>
        <w:tc>
          <w:tcPr>
            <w:tcW w:w="453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Contents"/>
              <w:widowControl w:val="false"/>
              <w:numPr>
                <w:ilvl w:val="0"/>
                <w:numId w:val="16"/>
              </w:numPr>
              <w:rPr/>
            </w:pPr>
            <w:r>
              <w:rPr/>
              <w:t>Potencjalna awaria powoduję utratę pojedynczej funkcjonalności ale nie powoduję awarii całego systemu</w:t>
            </w:r>
          </w:p>
          <w:p>
            <w:pPr>
              <w:pStyle w:val="TableContents"/>
              <w:widowControl w:val="false"/>
              <w:numPr>
                <w:ilvl w:val="0"/>
                <w:numId w:val="16"/>
              </w:numPr>
              <w:jc w:val="left"/>
              <w:rPr/>
            </w:pPr>
            <w:r>
              <w:rPr/>
              <w:t>Zmiany w aplikacji są proste, ze względu na rozdzielenie kodu źródłowego na mniejsze części</w:t>
            </w:r>
          </w:p>
          <w:p>
            <w:pPr>
              <w:pStyle w:val="TableContents"/>
              <w:widowControl w:val="false"/>
              <w:numPr>
                <w:ilvl w:val="0"/>
                <w:numId w:val="16"/>
              </w:numPr>
              <w:jc w:val="left"/>
              <w:rPr/>
            </w:pPr>
            <w:r>
              <w:rPr/>
              <w:t>Środowisko nie wymaga dużo zasobów i jest to zazwyczaj kontener lub pod</w:t>
            </w:r>
          </w:p>
        </w:tc>
      </w:tr>
    </w:tbl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Rozpatrując przedstawione porównanie, łatwo można dostrzec przeważające zalety podejścia mikro serwisowego. Z tego powodu, projekt przewiduję zastosowanie konteneryzacji zarówno dla serwera www oraz serwera baz danych.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uproszczeniu konteneryzacja jest wydzieleniem małego środowiska uruchomieniowego, z izolacją zasobów, konfiguracji czy udostępnieniem osobnego interfejsu sieciowego. Kontener jest budowany na podstawie pliku „Dockerfile”, który zawiera predefiniowany obraz docker’a i uruchamia kod źródłowy na tak przygotowanym środowisku.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58" w:after="29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13" w:name="__RefHeading___Toc735_3420670368"/>
      <w:bookmarkEnd w:id="13"/>
      <w:r>
        <w:rPr/>
        <w:tab/>
        <w:t>Wybór środowiska aplikacji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Projekt przewiduje użycie aplikacji node.js jako środowiska uruchomieniowego. Wyróżnia się ono następującymi cechami: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wieloplatformowa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bardzo duża szybkość obsługi zapytań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łatwość tworzenia zaawansowanych programów</w:t>
      </w:r>
    </w:p>
    <w:p>
      <w:pPr>
        <w:pStyle w:val="TextBody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duża liczba framework’ów przyspieszających pisanie aplikację</w:t>
      </w:r>
    </w:p>
    <w:p>
      <w:pPr>
        <w:pStyle w:val="TextBody"/>
        <w:rPr/>
      </w:pPr>
      <w:r>
        <w:rPr/>
        <w:t xml:space="preserve">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Node.js wykorzystuję składnie języka JavaScript, który cechuję się elastycznością (możliwość zastosowania programowania funkcyjnego czy obiektowego) oraz dużą czytelnością (jest to język wysokopoziomowy).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4" w:name="__RefHeading___Toc737_3420670368"/>
      <w:bookmarkEnd w:id="14"/>
      <w:r>
        <w:rPr/>
        <w:tab/>
        <w:t>Wybór bazy danych</w:t>
        <w:tab/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Aplikacja wykorzystuję bazę danych do przechowywania informacji o video, udostępnianym przez serwer www. Dla przytoczonego zastosowania, nie jest wymaga złożona relacyjność, a optymalne jest zestawienie klucz wartość. Wybór bazy padł na nierelacyjną bazę mongodb.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Baza cechuję się: </w:t>
      </w:r>
    </w:p>
    <w:p>
      <w:pPr>
        <w:pStyle w:val="TextBody"/>
        <w:numPr>
          <w:ilvl w:val="0"/>
          <w:numId w:val="13"/>
        </w:numPr>
        <w:spacing w:before="30" w:after="0"/>
        <w:rPr>
          <w:sz w:val="20"/>
          <w:szCs w:val="20"/>
        </w:rPr>
      </w:pPr>
      <w:r>
        <w:rPr>
          <w:sz w:val="20"/>
          <w:szCs w:val="20"/>
        </w:rPr>
        <w:t>dużą liczbą obsługiwanych typów danych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obsługą kursorów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zapytaniami ad-hoc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zapytaniami do zagnieżdżonych pól dokumentów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indeksowaniem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wsparciem dla agregacji danych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spacing w:before="30" w:after="0"/>
        <w:rPr>
          <w:sz w:val="20"/>
          <w:szCs w:val="20"/>
        </w:rPr>
      </w:pPr>
      <w:r>
        <w:rPr>
          <w:sz w:val="20"/>
          <w:szCs w:val="20"/>
        </w:rPr>
        <w:t>możliwością składowania plików w bazie</w:t>
      </w:r>
    </w:p>
    <w:p>
      <w:pPr>
        <w:pStyle w:val="TextBody"/>
        <w:numPr>
          <w:ilvl w:val="0"/>
          <w:numId w:val="13"/>
        </w:numPr>
        <w:tabs>
          <w:tab w:val="clear" w:pos="708"/>
          <w:tab w:val="left" w:pos="0" w:leader="none"/>
        </w:tabs>
        <w:rPr>
          <w:sz w:val="20"/>
          <w:szCs w:val="20"/>
        </w:rPr>
      </w:pPr>
      <w:r>
        <w:rPr>
          <w:sz w:val="20"/>
          <w:szCs w:val="20"/>
        </w:rPr>
        <w:t>architekturą zaprojektowana z myślą o łatwej replikacji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15" w:name="__RefHeading___Toc739_3420670368"/>
      <w:bookmarkEnd w:id="15"/>
      <w:r>
        <w:rPr/>
        <w:tab/>
        <w:t>Wybór modelu i architektury dla projektu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6" w:name="__RefHeading___Toc431_451261914"/>
      <w:bookmarkEnd w:id="16"/>
      <w:r>
        <w:rPr/>
        <w:tab/>
        <w:t>Modele infrastrukturalne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Główny podział infrastruktury współczesnych aplikacji opiera się na lokalizacji serwerów i dysponowaniem zakresem obowiązków dotyczących obsługi. Wyróżniamy: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On-premises – infrastruktura zlokalizowana w przedsiębiorstwie. Pełna obsługa hardware’u przypada na zatrudnionych administratorów sieci.</w:t>
      </w:r>
    </w:p>
    <w:p>
      <w:pPr>
        <w:pStyle w:val="TextBody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Cloud – w tym modelu przesuwamy odpowiedzialność za obsługę sprzętu na zewnętrznych dostawców. Ze względu na zakres obowiązków, w rozwiązaniach chmurowych możemy wymienić: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SaaS (Software as a Service) – model zakłada kompletne przeniesienie odpowiedzialności za sprzęt, infrastrukturę oraz aplikację na rzecz dostawcy.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PaaS (Platform as a Service) – polega na udostępnieniu przez dostawce gotowej infrastruktury oraz sprzętu do budowy aplikacji.</w:t>
      </w:r>
    </w:p>
    <w:p>
      <w:pPr>
        <w:pStyle w:val="TextBody"/>
        <w:numPr>
          <w:ilvl w:val="1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IaaS (Infrastructure as a Service) – w tym modelu zarówno budowa infrastruktury oraz aplikacji leży po stronie użytkownika końcowego. Dostawca odpowiada tylko za sprzęt.</w:t>
      </w:r>
    </w:p>
    <w:p>
      <w:pPr>
        <w:pStyle w:val="TextBody"/>
        <w:ind w:left="1080" w:hanging="0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praktyce zdarza się, że rolę się przeplatają a obok modelu IaaS stosujemy rozwiązania SaaS. Jednym z częstych przypadków jest stosowanie usług Elasticsearch do monitorowania naszej infrastruktury Iaas.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Heading4"/>
        <w:numPr>
          <w:ilvl w:val="0"/>
          <w:numId w:val="0"/>
        </w:numPr>
        <w:ind w:left="0" w:hanging="0"/>
        <w:rPr/>
      </w:pPr>
      <w:bookmarkStart w:id="17" w:name="__RefHeading___Toc741_3420670368"/>
      <w:bookmarkEnd w:id="17"/>
      <w:r>
        <w:rPr/>
        <w:tab/>
        <w:t>Propozycja infrastruktury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 xml:space="preserve">Na potrzeby rozwiązania projektowego, użyta została chmura AWS w modelu IaaS. Występują też pewne elementy zbliżone do modelu PaaS, takie jak zastowanie AWS ECS, w podejściu fargate. </w:t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Głównym logicznym podziałem naszej infrastruktury jest VPC (Virtual Private Cloud), który definiuję naszą sieć i zakres adresów. Architektura jest 2-tierowa i wyróżnia 3 podsieci publiczne oraz 3 podsieci prywatne. Cała sieć znajduję się w jednym regionie eu-central-1 (Frankfurt), co w pewien sposób powoduję podatność na awarię w obrębie regionu, natomiast pewną redundantność uzyskujemy poprzez wydzielenie 3 AZ (Avaliability zone): 1A, 1B, 1C.</w:t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8">
            <wp:simplePos x="0" y="0"/>
            <wp:positionH relativeFrom="column">
              <wp:posOffset>363855</wp:posOffset>
            </wp:positionH>
            <wp:positionV relativeFrom="paragraph">
              <wp:posOffset>123190</wp:posOffset>
            </wp:positionV>
            <wp:extent cx="4871720" cy="5027930"/>
            <wp:effectExtent l="0" t="0" r="0" b="0"/>
            <wp:wrapTopAndBottom/>
            <wp:docPr id="2" name="Obraz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50279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Każda podsieć publiczna ma maskę 255.255.255.0 która obejmuję 254 adresy. Dla naszego rozwiązania projektowe zakres możliwyhch destynacji jest nieproporocjonalnie duży, natomiast umożliwa to ewentualne dalsze rozwijanie infrastruktury czy mozliwości skalowania.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Wejściem do naszego systemu jest IG (Internet Gateway) który przyjmuję cały ruch publiczny i kieruje go na ALB (Application Load Balancer). Odpowiada on za dystrubucję ruchu, terminację certyfikatu SSL oraz częściową obsługę błędów (np.: poprzez odpowiedź na błąd 404).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Kontenery aplikacji znajdują się w podsieciach prywatnych i są zarządzane przez serwis ECS (Elastic Container Service) w modelu Fargate. Podejście to cechuje: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brak konieczności administracji serwerów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mikroserwisowość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łatwość skalowania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skalowalność horyzontalna</w:t>
      </w:r>
    </w:p>
    <w:p>
      <w:pPr>
        <w:pStyle w:val="TextBody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duża dostępność poprzez dystrubucję pomiędzy 3 zony</w:t>
      </w:r>
    </w:p>
    <w:p>
      <w:pPr>
        <w:pStyle w:val="TextBody"/>
        <w:ind w:left="72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drawing>
          <wp:anchor behindDoc="0" distT="72390" distB="72390" distL="72390" distR="72390" simplePos="0" locked="0" layoutInCell="0" allowOverlap="1" relativeHeight="9">
            <wp:simplePos x="0" y="0"/>
            <wp:positionH relativeFrom="column">
              <wp:posOffset>327025</wp:posOffset>
            </wp:positionH>
            <wp:positionV relativeFrom="paragraph">
              <wp:posOffset>88265</wp:posOffset>
            </wp:positionV>
            <wp:extent cx="4863465" cy="5743575"/>
            <wp:effectExtent l="0" t="0" r="0" b="0"/>
            <wp:wrapTopAndBottom/>
            <wp:docPr id="3" name="Obraz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7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465" cy="574357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3"/>
        <w:numPr>
          <w:ilvl w:val="2"/>
          <w:numId w:val="1"/>
        </w:numPr>
        <w:rPr>
          <w:rFonts w:ascii="Verdana" w:hAnsi="Verdana" w:cs="Verdana"/>
        </w:rPr>
      </w:pPr>
      <w:bookmarkStart w:id="18" w:name="__RefHeading___Toc435_451261914"/>
      <w:bookmarkEnd w:id="18"/>
      <w:r>
        <w:rPr>
          <w:rFonts w:cs="Verdana" w:ascii="Verdana" w:hAnsi="Verdana"/>
        </w:rPr>
        <w:tab/>
        <w:t>Wejściowy proces CI/CD dla projektu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19" w:name="__RefHeading___Toc57_1453835382"/>
      <w:bookmarkEnd w:id="19"/>
      <w:r>
        <w:rPr/>
        <w:tab/>
      </w:r>
      <w:r>
        <w:rPr>
          <w:sz w:val="24"/>
          <w:szCs w:val="24"/>
        </w:rPr>
        <w:t>Cel projektowania i stosowania CI/CD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ab/>
        <w:t xml:space="preserve">Trend tworzenia aplikacji na przestrzeni ostatnich lat zmienił się z typowego podejścia waterfall do podejścia agile. Podejście wywodzi się od koncepcji dostarczania MVP czyli produktu o małej wartości, w krótszych odstępach. Pozwala to na szybsze zebranie opinii klienta końcowego i zabezpiecza przedsiębiorstwo przed tworzeniem funkcjonalności niedostarczających wartości dodanej.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Zmiana podejścia zrodziła również wiele wyzwań dla osób odpowiadających za cały strumień wartości i dostawę oprogramowania. Możemy wyróżnić kilka z nich: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Integracja wielu pionów tj.: deweloperów, testerów, działu bezpieczeństwa informacji oraz biznesu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Stworzenie oraz zarządzanie wieloma środowiskami, które muszą odpowiadać zarówno celom testerów oprogramowania czy działom operacji</w:t>
      </w:r>
    </w:p>
    <w:p>
      <w:pPr>
        <w:pStyle w:val="TextBody"/>
        <w:numPr>
          <w:ilvl w:val="0"/>
          <w:numId w:val="4"/>
        </w:numPr>
        <w:rPr>
          <w:sz w:val="20"/>
          <w:szCs w:val="20"/>
        </w:rPr>
      </w:pPr>
      <w:r>
        <w:rPr>
          <w:sz w:val="20"/>
          <w:szCs w:val="20"/>
        </w:rPr>
        <w:t>Wprowadzanie i dbanie o elementy bezpieczeństwa pomimo biznesowej presji dostarczania oprogramowania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Z tych wielu powodów konieczny jest prawidłowe zaplanowanie procesu CI/CD dla naszej aplikacji. CI czyli ciągła integracja to wszystkie czynności integrujące nasze repozytoria, aż do momentu decyzji biznesowej, która następnie inicjuję proces ciaŋłego wzdrażania, czyli CD.</w:t>
      </w:r>
    </w:p>
    <w:p>
      <w:pPr>
        <w:pStyle w:val="TextBody"/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 xml:space="preserve">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Podejście do schematu dostarczania oprogramowania jest bardzo róźne i zależy głównie od: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Technologii wdrażanej aplikacji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Poziomu  unifikacji systemów i serwerów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Strategii biznesowej firmy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Ilości środowisk testowych i produkcyjnych</w:t>
      </w:r>
    </w:p>
    <w:p>
      <w:pPr>
        <w:pStyle w:val="TextBody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Doświadczenia i testowania rozwiązań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4"/>
        <w:numPr>
          <w:ilvl w:val="0"/>
          <w:numId w:val="0"/>
        </w:numPr>
        <w:ind w:left="0" w:firstLine="708"/>
        <w:rPr/>
      </w:pPr>
      <w:bookmarkStart w:id="20" w:name="__RefHeading___Toc743_3420670368"/>
      <w:bookmarkEnd w:id="20"/>
      <w:r>
        <w:rPr/>
        <w:t>Propozycja procesu CI/CD dla projektu</w:t>
      </w:r>
    </w:p>
    <w:p>
      <w:pPr>
        <w:pStyle w:val="TextBody"/>
        <w:ind w:firstLine="708"/>
        <w:rPr>
          <w:sz w:val="20"/>
          <w:szCs w:val="20"/>
        </w:rPr>
      </w:pPr>
      <w:r>
        <w:rPr>
          <w:sz w:val="20"/>
          <w:szCs w:val="20"/>
        </w:rPr>
        <w:t xml:space="preserve">Projekt zakłada jedno środowisko testowe (TEST ENV) oraz jedno środowisko produkcyjne (PROD ENV). Należy nadmienić, że podejście jest uproszczone w stosunku do najczęstszych wzorów komercyjnych. Dla rozwiązań rynkowych przewiduję się zazwyczaj dwa środowiska testowe (np.: QA (Quality Assurance) oraz UAT (User Acceptance Tests)), jak również dwa środowiska produkcyjne, głównie dla celów przełączania w czasie awarii. </w:t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Podejście konteneryzacyjne od aplikacji, powoduję pewną centralizację procesu wokół repozytorium obrazów dockerowych. Wpływa to zarówno część integracyjną - obok udostępnia kodu, następuję udostępnienie obrazu, jak również część wdrożeniową – poprzez pobranie najnowszej wersji obrazu i zaaplikowanie na środowisku.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8815" cy="2332355"/>
            <wp:effectExtent l="0" t="0" r="0" b="0"/>
            <wp:wrapSquare wrapText="bothSides"/>
            <wp:docPr id="4" name="Obraz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23323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Proces rozpoczyna się od wypuszczenia kodu na tzw.: „release branch”.  Zaletami tworzenia dedykowanych gałęzi git dla dannych sprintów są:</w:t>
      </w:r>
    </w:p>
    <w:p>
      <w:pPr>
        <w:pStyle w:val="TextBody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Lepsza kontrola nad zmianami i możliwość prowadzenia dziennika zmian</w:t>
      </w:r>
    </w:p>
    <w:p>
      <w:pPr>
        <w:pStyle w:val="TextBody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Możliwość łatwego rollback’u do stabilnej wersji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Zmiana w repozytorium inicjuje równoległe przetwarzania dwóch pipelinów – jeden do tworzenia obrazu aplikacji oraz drugi do tworzenia kontenera bazy danych.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Każdy z nowo utworzonych obrazów zostaję otagowany mianem „latest” i przekazany do uprzednio utworzonych repozytoriów obrazów na chmurze AWS.</w:t>
      </w:r>
    </w:p>
    <w:p>
      <w:pPr>
        <w:pStyle w:val="TextBody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Zakończenie procesu ładowania nowych wersji aplikacji oraz bazy jest finalizowane poprzez przekazanie do kolejki Amazon SNS, notyfikacji mailowej dla biznesu.</w:t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Normal"/>
        <w:rPr/>
      </w:pPr>
      <w:r>
        <w:rPr/>
      </w:r>
      <w:r>
        <w:br w:type="page"/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  <w:drawing>
          <wp:anchor behindDoc="0" distT="72390" distB="72390" distL="72390" distR="7239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6910" cy="2193290"/>
            <wp:effectExtent l="0" t="0" r="0" b="0"/>
            <wp:wrapSquare wrapText="bothSides"/>
            <wp:docPr id="5" name="Obraz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1932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Proces wdrożeniowy jest inicjowany poprzez decyzję biznesową. Na tym etapie występuję możliwość rezygnacji z nowego wydania. Taka akcja nie wymaga dodatkowych kroków, gdyż rollback następuję przy kolejnej budowie obrazów.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Automat aplikuję nowe rozwiązanie przy użyciu narzędzia terraform.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istotnych problemów i braku akceptacji inżyniera na emisję wydania, następuję rollback obrazu w repozytorium ECR. 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>Podobnie do poprzednich kroków z sekwencji, to inżynier DevOps inicucję aplikację poprzedniej wersji obrazów oraz weryfikację po procesie. Ze względu na działanie w sytuacji DR (disaster recovery) dla środowiska testowego, zbędna jest w tej sytuacji decyzja biznesowa.</w:t>
      </w:r>
    </w:p>
    <w:p>
      <w:pPr>
        <w:pStyle w:val="TextBody"/>
        <w:numPr>
          <w:ilvl w:val="0"/>
          <w:numId w:val="8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akceptacji nowego wydania, zmiana jest zamykana jako sukces. </w:t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jc w:val="center"/>
        <w:rPr/>
      </w:pPr>
      <w:r>
        <w:rPr/>
        <w:drawing>
          <wp:inline distT="0" distB="0" distL="0" distR="0">
            <wp:extent cx="2678430" cy="2541905"/>
            <wp:effectExtent l="0" t="0" r="0" b="0"/>
            <wp:docPr id="6" name="Obraz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430" cy="25419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rFonts w:ascii="Verdana" w:hAnsi="Verdana" w:eastAsia="Times New Roman" w:cs="Verdana"/>
          <w:sz w:val="24"/>
          <w:szCs w:val="24"/>
        </w:rPr>
      </w:pPr>
      <w:r>
        <w:rPr>
          <w:rFonts w:eastAsia="Times New Roman" w:cs="Verdana"/>
          <w:sz w:val="24"/>
          <w:szCs w:val="24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Z perspektywy środowiska produkcyjnego, cześć integracyjna procesu ma zuważalnie mniejszy stopień złożoności. </w:t>
      </w:r>
    </w:p>
    <w:p>
      <w:pPr>
        <w:pStyle w:val="TextBody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 xml:space="preserve">Inicjacja sekwencji rozpoczyna się od decyzji biznesowej, która jest podejmowana zgodnie z harmonogramem wydań oprogramowania. </w:t>
      </w:r>
    </w:p>
    <w:p>
      <w:pPr>
        <w:pStyle w:val="TextBody"/>
        <w:numPr>
          <w:ilvl w:val="0"/>
          <w:numId w:val="7"/>
        </w:numPr>
        <w:rPr>
          <w:sz w:val="20"/>
          <w:szCs w:val="20"/>
        </w:rPr>
      </w:pPr>
      <w:r>
        <w:rPr>
          <w:sz w:val="20"/>
          <w:szCs w:val="20"/>
        </w:rPr>
        <w:t>Inżynier DevOps na podstawie zarządzenia, łączy gałąź „release” z „main”, co inicjuję część wdrożeniową.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756275" cy="2317750"/>
            <wp:effectExtent l="0" t="0" r="0" b="0"/>
            <wp:wrapSquare wrapText="bothSides"/>
            <wp:docPr id="7" name="Obraz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275" cy="231775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9"/>
        </w:numPr>
        <w:rPr>
          <w:rFonts w:eastAsia="Verdana"/>
          <w:sz w:val="20"/>
          <w:szCs w:val="20"/>
        </w:rPr>
      </w:pPr>
      <w:r>
        <w:rPr>
          <w:rFonts w:eastAsia="Verdana"/>
          <w:sz w:val="20"/>
          <w:szCs w:val="20"/>
        </w:rPr>
        <w:t xml:space="preserve"> </w:t>
      </w:r>
      <w:r>
        <w:rPr>
          <w:rFonts w:eastAsia="Verdana"/>
          <w:sz w:val="20"/>
          <w:szCs w:val="20"/>
        </w:rPr>
        <w:t xml:space="preserve">Część wdrożeniowa polega na automatycznej inicjacji składni yaml która podmienia obraz repozytorium produkcyjnego na wersję przetestowaną na środowisku testowym.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istotnych problemów i braku akceptacji inżyniera na emisję wydania, następuję rollback obrazu w repozytorium ECR.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>AWS Lambda wykrywa zmianę w repozytorium kodu i wysyła sygnał do GitHub w celu rozpoczęcia emisji cofniętego obrazu dockerowego.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Inżynier DevOps przeprowadza weryfikację środowiska pod kątem stabilności i kompletności. Rekomendowane są w tym miejscu testy automatyczne wraz z obserwacją i finalizacja przez decyzję manualną. </w:t>
      </w:r>
    </w:p>
    <w:p>
      <w:pPr>
        <w:pStyle w:val="TextBody"/>
        <w:numPr>
          <w:ilvl w:val="0"/>
          <w:numId w:val="9"/>
        </w:numPr>
        <w:rPr>
          <w:sz w:val="20"/>
          <w:szCs w:val="20"/>
        </w:rPr>
      </w:pPr>
      <w:r>
        <w:rPr>
          <w:sz w:val="20"/>
          <w:szCs w:val="20"/>
        </w:rPr>
        <w:t xml:space="preserve">W przypadku akceptacji nowego wydania, zmiana jest zamykana jako sukces. 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2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21" w:name="__RefHeading___Toc151_3912164325"/>
      <w:bookmarkEnd w:id="21"/>
      <w:r>
        <w:rPr>
          <w:rFonts w:cs="Verdana" w:ascii="Verdana" w:hAnsi="Verdana"/>
        </w:rPr>
        <w:tab/>
        <w:t>Rozwiązanie wyjściowe</w:t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22" w:name="__RefHeading___Toc154_3912164325_Copy_1"/>
      <w:bookmarkEnd w:id="22"/>
      <w:r>
        <w:rPr/>
        <w:tab/>
        <w:t>Planowanie bezpieczeństwa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spacing w:before="120" w:after="120"/>
        <w:rPr/>
      </w:pPr>
      <w:bookmarkStart w:id="23" w:name="__RefHeading___Toc2677_3420670368"/>
      <w:bookmarkEnd w:id="23"/>
      <w:r>
        <w:rPr/>
        <w:tab/>
        <w:t>Miary bezpieczeństwa procesu CI/CD</w:t>
      </w:r>
    </w:p>
    <w:p>
      <w:pPr>
        <w:pStyle w:val="TextBody"/>
        <w:rPr/>
      </w:pPr>
      <w:r>
        <w:rPr/>
        <w:tab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spacing w:before="0" w:after="29"/>
        <w:rPr/>
      </w:pPr>
      <w:r>
        <w:rPr/>
      </w:r>
    </w:p>
    <w:p>
      <w:pPr>
        <w:pStyle w:val="Heading4"/>
        <w:numPr>
          <w:ilvl w:val="3"/>
          <w:numId w:val="1"/>
        </w:numPr>
        <w:spacing w:before="120" w:after="120"/>
        <w:rPr/>
      </w:pPr>
      <w:bookmarkStart w:id="24" w:name="__RefHeading___Toc2679_3420670368"/>
      <w:bookmarkEnd w:id="24"/>
      <w:r>
        <w:rPr/>
        <w:tab/>
        <w:t>Planowanie implementacji do procesu CI/CD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Wybranym podejściem implementacyjnym jest metoda TDS (Test Driven Security). Polega ona na określeniu spodziewanego stanu i wprowadzanie systemów kontroli spełnienia wymagań.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Metoda ma następujące zalety: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Idealnie sprawdza się w przypadku rozwiązań z zaimplementowanym procesem CI/CD (osiągamy ciągłe skanowanie kodu)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Możliwość pomiaru procesu i wynikająca z tego łatwość do określenia miejsc do poprawy</w:t>
      </w:r>
    </w:p>
    <w:p>
      <w:pPr>
        <w:pStyle w:val="TextBody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Brak możliwości wypuszczenia kodu wadliwego, z poddatnościami</w:t>
      </w:r>
    </w:p>
    <w:p>
      <w:pPr>
        <w:pStyle w:val="TextBody"/>
        <w:rPr/>
      </w:pPr>
      <w:r>
        <w:rPr/>
      </w:r>
    </w:p>
    <w:p>
      <w:pPr>
        <w:pStyle w:val="TextBody"/>
        <w:spacing w:lineRule="atLeast" w:line="285"/>
        <w:rPr/>
      </w:pPr>
      <w:r>
        <w:rPr/>
        <w:drawing>
          <wp:inline distT="0" distB="0" distL="0" distR="0">
            <wp:extent cx="5762625" cy="3238500"/>
            <wp:effectExtent l="0" t="0" r="0" b="0"/>
            <wp:docPr id="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5" t="-63" r="-35" b="-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TextBody"/>
        <w:spacing w:lineRule="atLeast" w:line="285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5" w:name="__RefHeading___Toc2681_3420670368"/>
      <w:bookmarkEnd w:id="25"/>
      <w:r>
        <w:rPr/>
        <w:tab/>
        <w:t>Zarządzanie sekretami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 xml:space="preserve">Jednym z kluczowych zagadnień każdego projektu IT jest zarządzanie sekretami. Wyciek hasła lub klucza serwerowego jest otwarciem drzwi do podsieci.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Rynek oferuję bardzo szeroki zakres narzędzi do zarządzania sekretami. Można tu wymienić między innymi CyberArk, AWS Secrets Manager czy Passowrd Vault od Hashicorp.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 przypadku projektu zastosowano unifikację narzędzi. Podobnie jak w przypadku użycia GitHub Actions, zastosowane zostało również wbudowane narzędzie GitHub do przetrzymywania haseł.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48325" cy="408495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Projekt wymaga przechowywania danych kluczowych dla konta AWS oraz baz danych. Te pierwsze wymagane są do wykonywania zadań związanych z akcjami CI/CD, natomiast pozostałe  są wstrzykiwane jako zmienne środowiskowe dla budowanych obrazów.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Pomimo, że hasła znajdują się repozytorium publicznym, są one niedostępne dla nieupoważnionych osób. Kontrola dostępu odbywa się poprzez dodawanie/usuwanie użykowników projektowych oraz poprzez ich role.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3"/>
        <w:numPr>
          <w:ilvl w:val="2"/>
          <w:numId w:val="1"/>
        </w:numPr>
        <w:spacing w:before="140" w:after="120"/>
        <w:rPr/>
      </w:pPr>
      <w:bookmarkStart w:id="26" w:name="__RefHeading___Toc4350_3420670368"/>
      <w:bookmarkEnd w:id="26"/>
      <w:r>
        <w:rPr/>
        <w:tab/>
        <w:t>Udoskonalony proces CI/CD</w:t>
      </w:r>
    </w:p>
    <w:p>
      <w:pPr>
        <w:pStyle w:val="Normal"/>
        <w:jc w:val="left"/>
        <w:rPr/>
      </w:pPr>
      <w:r>
        <w:rPr/>
        <w:tab/>
        <w:t xml:space="preserve">Zgodnie z założeniem projektu, proces został zmodyfkowany o elementy ciągłej kontroli bezpieczeństwa. Ważne jest przedstawienie konstrukcji procesu już na tym etapie, dla lepszego zrozumienia pozostałych rozdziałów. 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left"/>
        <w:rPr/>
      </w:pPr>
      <w:r>
        <w:rPr/>
        <w:t>Gwoli wprowadzenia należy wymienić główne podobieństwa do procesu wejściowego:</w:t>
      </w:r>
    </w:p>
    <w:p>
      <w:pPr>
        <w:pStyle w:val="Normal"/>
        <w:numPr>
          <w:ilvl w:val="0"/>
          <w:numId w:val="18"/>
        </w:numPr>
        <w:jc w:val="left"/>
        <w:rPr/>
      </w:pPr>
      <w:r>
        <w:rPr/>
        <w:t>Koncepcja podziału na branch „release” oraz „main”</w:t>
      </w:r>
    </w:p>
    <w:p>
      <w:pPr>
        <w:pStyle w:val="Normal"/>
        <w:numPr>
          <w:ilvl w:val="0"/>
          <w:numId w:val="19"/>
        </w:numPr>
        <w:jc w:val="left"/>
        <w:rPr/>
      </w:pPr>
      <w:r>
        <w:rPr/>
        <w:t>Rdzeń CI/CD oparty na budowie obrazów</w:t>
      </w:r>
    </w:p>
    <w:p>
      <w:pPr>
        <w:pStyle w:val="Normal"/>
        <w:numPr>
          <w:ilvl w:val="0"/>
          <w:numId w:val="19"/>
        </w:numPr>
        <w:jc w:val="left"/>
        <w:rPr/>
      </w:pPr>
      <w:r>
        <w:rPr/>
        <w:t>Budowa oparta na tych samych pipeline’ach, które są w pewnych wypadkach modyfikowane</w:t>
      </w:r>
    </w:p>
    <w:p>
      <w:pPr>
        <w:pStyle w:val="Normal"/>
        <w:numPr>
          <w:ilvl w:val="0"/>
          <w:numId w:val="19"/>
        </w:numPr>
        <w:jc w:val="left"/>
        <w:rPr/>
      </w:pPr>
      <w:r>
        <w:rPr/>
        <w:t>Rozdzielenie CI/CD poprzez decyzję biznesową</w:t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drawing>
          <wp:anchor behindDoc="0" distT="72390" distB="72390" distL="72390" distR="7239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6583045" cy="1720215"/>
            <wp:effectExtent l="0" t="0" r="0" b="0"/>
            <wp:wrapSquare wrapText="bothSides"/>
            <wp:docPr id="10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045" cy="172021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>Proces CI dla środowiska testowego w dalszym ciągu jest inicjowany przez wypuszczenie zmiany na release branch.</w:t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 xml:space="preserve">Zaraz po pojawieniu się kodu w repozytorium następuję główna zmiana w stosunku do poprzedniego procesu. Otóż, inicjowany jest pipeline, który odpowiada za sprawdzenie bezpieczeństwa kodu źródłowego za pośrednictwem narzędzia Sonarqube. </w:t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>W przypadku nie spełnienia wymagań bramki jakościowej – proces jest przerywany, ale zmiana pozostaję w repozytorium. Jest ona nadpisywana przez następne wydanie kodu.</w:t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 xml:space="preserve">Przy pozytywnej ewaluacji, następuje budowa obrazów dockerowych. Budowa obrazów jest uzupełniona o tworzenie raportu poddatności obrazów kontenera przy użyciu narzędzia Trivy. </w:t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>Raport jest wysyłany do repozytorium GitHub, natomiast obraz niezależne od wyniku jest zapisywany w AWS ECR i jest podmieniany przy kolejnej budowie obrazu.</w:t>
      </w:r>
    </w:p>
    <w:p>
      <w:pPr>
        <w:pStyle w:val="Normal"/>
        <w:numPr>
          <w:ilvl w:val="0"/>
          <w:numId w:val="20"/>
        </w:numPr>
        <w:jc w:val="left"/>
        <w:rPr/>
      </w:pPr>
      <w:r>
        <w:rPr/>
        <w:t>Informacja o nowych obrazach oraz o wygenerowaniu nowego raportu jest kierowany do binzesu.</w:t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/>
      </w:r>
    </w:p>
    <w:p>
      <w:pPr>
        <w:pStyle w:val="Normal"/>
        <w:numPr>
          <w:ilvl w:val="0"/>
          <w:numId w:val="0"/>
        </w:numPr>
        <w:ind w:left="720" w:hanging="0"/>
        <w:jc w:val="left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27" w:name="__RefHeading___Toc160_3912164325"/>
      <w:bookmarkEnd w:id="27"/>
      <w:r>
        <w:rPr/>
        <w:tab/>
        <w:t>Rola kodu źródłowego w bezpieczeństwie aplikacji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28" w:name="__RefHeading___Toc162_3912164325"/>
      <w:bookmarkEnd w:id="28"/>
      <w:r>
        <w:rPr/>
        <w:tab/>
      </w:r>
      <w:r>
        <w:rPr>
          <w:sz w:val="24"/>
          <w:szCs w:val="24"/>
        </w:rPr>
        <w:t>Zastosowanie Sonarqube w celu zwiększania bezpieczeństwa</w:t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  <w:tab/>
        <w:t>Pomimo dążenia do mikroserwisów, kod źródłowy dzisiejszych aplikacji to nadal wiele wierszy obfitujących w funkcję zaczerpniętę z różnorodnych bibliotek. Okazuję się, że człowiek w swej prostocie nie jest w stanie zweryfikować całości rozwiązania, oraz jest podatny na błąd ludzki.  W kontrze pojawia się koncepcja:  „</w:t>
      </w:r>
      <w:bookmarkStart w:id="29" w:name="benefits"/>
      <w:bookmarkEnd w:id="29"/>
      <w:r>
        <w:rPr>
          <w:sz w:val="20"/>
          <w:szCs w:val="20"/>
        </w:rPr>
        <w:t xml:space="preserve">continuous security”  która opiera się na automatycznym, maszynowym sprawdzaniu oraz recenzowaniu kodu źródłowego. </w:t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  <w:t>Narzędzie Sonarqube to platforma typu „open-source” stworzona przez firmę SonarSource. Cechuję się szczególną prostotą integracji z procesem CI/CD, funkcjonalną i przejrzystą wirtualizacją danych oraz wsparciem bardzo szerokiej gamy językow programowani.</w:t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  <w:t>Aby móc mierzyć proces usprawniania kodu źródłowe, konieczne jest zaznajomienie z metryki które owy opisują. W przypadku Sonarqube są to:</w:t>
      </w:r>
    </w:p>
    <w:p>
      <w:pPr>
        <w:pStyle w:val="TextBody"/>
        <w:widowControl/>
        <w:numPr>
          <w:ilvl w:val="1"/>
          <w:numId w:val="1"/>
        </w:numPr>
        <w:suppressAutoHyphens w:val="true"/>
        <w:bidi w:val="0"/>
        <w:spacing w:before="30" w:after="30"/>
        <w:ind w:left="567" w:right="0" w:hanging="0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Bugs</w:t>
      </w:r>
      <w:r>
        <w:rPr>
          <w:sz w:val="20"/>
          <w:szCs w:val="20"/>
        </w:rPr>
        <w:t xml:space="preserve"> – błędy które mogą spowodować nagłą awarię aplikacji i muszą zostać rozwiązane   </w:t>
        <w:tab/>
        <w:t>natychmiastowo.</w:t>
      </w:r>
    </w:p>
    <w:p>
      <w:pPr>
        <w:pStyle w:val="TextBody"/>
        <w:widowControl/>
        <w:numPr>
          <w:ilvl w:val="1"/>
          <w:numId w:val="1"/>
        </w:numPr>
        <w:suppressAutoHyphens w:val="true"/>
        <w:bidi w:val="0"/>
        <w:spacing w:before="30" w:after="30"/>
        <w:ind w:left="567" w:right="0" w:hanging="0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Vulnerabillities</w:t>
      </w:r>
      <w:r>
        <w:rPr>
          <w:sz w:val="20"/>
          <w:szCs w:val="20"/>
        </w:rPr>
        <w:t xml:space="preserve"> – są tą fragmenty kodu poddatne na ataki hackerów.</w:t>
      </w:r>
    </w:p>
    <w:p>
      <w:pPr>
        <w:pStyle w:val="TextBody"/>
        <w:widowControl/>
        <w:numPr>
          <w:ilvl w:val="0"/>
          <w:numId w:val="1"/>
        </w:numPr>
        <w:suppressAutoHyphens w:val="true"/>
        <w:bidi w:val="0"/>
        <w:spacing w:before="30" w:after="30"/>
        <w:ind w:left="567" w:right="0" w:hanging="0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Code Smells</w:t>
      </w:r>
      <w:r>
        <w:rPr>
          <w:sz w:val="20"/>
          <w:szCs w:val="20"/>
        </w:rPr>
        <w:t xml:space="preserve"> – fragmenty kodu które są mylące i mogą być trudne w utrzymaniu.</w:t>
      </w:r>
    </w:p>
    <w:p>
      <w:pPr>
        <w:pStyle w:val="TextBody"/>
        <w:widowControl/>
        <w:numPr>
          <w:ilvl w:val="0"/>
          <w:numId w:val="1"/>
        </w:numPr>
        <w:suppressAutoHyphens w:val="true"/>
        <w:bidi w:val="0"/>
        <w:spacing w:before="30" w:after="30"/>
        <w:ind w:left="624" w:right="0" w:hanging="57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Security Hotspots</w:t>
      </w:r>
      <w:r>
        <w:rPr>
          <w:sz w:val="20"/>
          <w:szCs w:val="20"/>
        </w:rPr>
        <w:t xml:space="preserve"> – wrażliwe na bezpieczeństwo fragmenty, które wymagają manualnej recenzji, bez znaczenia czy problem wystąpił jako poddatność.</w:t>
        <w:tab/>
      </w:r>
    </w:p>
    <w:p>
      <w:pPr>
        <w:pStyle w:val="TextBody"/>
        <w:widowControl/>
        <w:numPr>
          <w:ilvl w:val="0"/>
          <w:numId w:val="1"/>
        </w:numPr>
        <w:suppressAutoHyphens w:val="true"/>
        <w:bidi w:val="0"/>
        <w:spacing w:before="30" w:after="30"/>
        <w:ind w:left="567" w:right="0" w:hanging="0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Coverage</w:t>
      </w:r>
      <w:r>
        <w:rPr>
          <w:sz w:val="20"/>
          <w:szCs w:val="20"/>
        </w:rPr>
        <w:t xml:space="preserve"> – miara określająca stopień pokrycia kodu przez testy.</w:t>
      </w:r>
    </w:p>
    <w:p>
      <w:pPr>
        <w:pStyle w:val="TextBody"/>
        <w:widowControl/>
        <w:numPr>
          <w:ilvl w:val="0"/>
          <w:numId w:val="1"/>
        </w:numPr>
        <w:suppressAutoHyphens w:val="true"/>
        <w:bidi w:val="0"/>
        <w:spacing w:before="30" w:after="30"/>
        <w:ind w:left="567" w:right="0" w:hanging="0"/>
        <w:jc w:val="left"/>
        <w:rPr/>
      </w:pPr>
      <w:r>
        <w:rPr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>Duplications –</w:t>
      </w:r>
      <w:r>
        <w:rPr>
          <w:sz w:val="20"/>
          <w:szCs w:val="20"/>
        </w:rPr>
        <w:t xml:space="preserve"> określa ilość zduplikowanych fragmentów kodu.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>
          <w:sz w:val="20"/>
          <w:szCs w:val="20"/>
        </w:rPr>
        <w:t>Z punktu widzenia bezpieczeństwa kodu, istotne są głównie „Bugs”, „</w:t>
      </w:r>
      <w:r>
        <w:rPr>
          <w:b w:val="false"/>
          <w:bCs w:val="false"/>
          <w:sz w:val="20"/>
          <w:szCs w:val="20"/>
        </w:rPr>
        <w:t>Vulnerabillities</w:t>
      </w:r>
      <w:r>
        <w:rPr>
          <w:sz w:val="20"/>
          <w:szCs w:val="20"/>
        </w:rPr>
        <w:t>” oraz „</w:t>
      </w:r>
      <w:r>
        <w:rPr>
          <w:b w:val="false"/>
          <w:bCs w:val="false"/>
          <w:sz w:val="20"/>
          <w:szCs w:val="20"/>
        </w:rPr>
        <w:t>Security Hotspots</w:t>
      </w:r>
      <w:r>
        <w:rPr>
          <w:sz w:val="20"/>
          <w:szCs w:val="20"/>
        </w:rPr>
        <w:t xml:space="preserve">”. W praktyce należy wykorzystać możliwości, które dostarcza nam oprogramowanie i skupić się na raportach dotyczących wszystkich dostarczonych miar.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0"/>
        </w:numPr>
        <w:ind w:left="0" w:hanging="0"/>
        <w:rPr/>
      </w:pPr>
      <w:r>
        <w:rPr/>
        <w:drawing>
          <wp:anchor behindDoc="0" distT="72390" distB="72390" distL="72390" distR="7239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6201410" cy="948690"/>
            <wp:effectExtent l="0" t="0" r="0" b="0"/>
            <wp:wrapSquare wrapText="bothSides"/>
            <wp:docPr id="1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94869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  <w:t xml:space="preserve">Przedstawiony powyżej obraz pochodzi z sonarcloud.io, który spełnia rolę serwera sonarqube i pozwala na ich graficzną analizę.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rPr>
          <w:sz w:val="20"/>
          <w:szCs w:val="20"/>
        </w:rPr>
        <w:t xml:space="preserve">Wynik analizy wskazuję na pięć poddatności oraz osiem fragmentów o dużej wrażliwości, które powinny być niezwłocznie zbadane. </w:t>
      </w:r>
    </w:p>
    <w:p>
      <w:pPr>
        <w:pStyle w:val="TextBody"/>
        <w:numPr>
          <w:ilvl w:val="0"/>
          <w:numId w:val="0"/>
        </w:numPr>
        <w:ind w:left="0" w:hanging="0"/>
        <w:rPr>
          <w:sz w:val="20"/>
          <w:szCs w:val="20"/>
        </w:rPr>
      </w:pPr>
      <w:r>
        <w:drawing>
          <wp:anchor behindDoc="0" distT="72390" distB="72390" distL="72390" distR="7239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5760720" cy="3211830"/>
            <wp:effectExtent l="0" t="0" r="0" b="0"/>
            <wp:wrapSquare wrapText="bothSides"/>
            <wp:docPr id="1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0"/>
          <w:szCs w:val="20"/>
        </w:rPr>
        <w:t>Głębszy raport wskazuję na naruszenie protokołów: OWASP A2, A3</w:t>
      </w:r>
      <w:r>
        <w:rPr>
          <w:rStyle w:val="EndnoteAnchor"/>
          <w:sz w:val="20"/>
          <w:szCs w:val="20"/>
        </w:rPr>
        <w:endnoteReference w:id="3"/>
      </w:r>
      <w:r>
        <w:rPr>
          <w:sz w:val="20"/>
          <w:szCs w:val="20"/>
        </w:rPr>
        <w:t xml:space="preserve"> oraz CWE-521</w:t>
      </w:r>
      <w:r>
        <w:rPr>
          <w:rStyle w:val="EndnoteAnchor"/>
          <w:sz w:val="20"/>
          <w:szCs w:val="20"/>
        </w:rPr>
        <w:endnoteReference w:id="4"/>
      </w:r>
      <w:r>
        <w:rPr>
          <w:sz w:val="20"/>
          <w:szCs w:val="20"/>
        </w:rPr>
        <w:t>. Pierwsze dwa kolejną odpowiadają za złamaną autentykację oraz udostępnienie danych wrażliwych. Natomiast ostatni, w tłumaczeniu jest to złamanie zasad dotyczących silnych haseł.</w:t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13">
            <wp:simplePos x="0" y="0"/>
            <wp:positionH relativeFrom="column">
              <wp:posOffset>1268095</wp:posOffset>
            </wp:positionH>
            <wp:positionV relativeFrom="paragraph">
              <wp:posOffset>168275</wp:posOffset>
            </wp:positionV>
            <wp:extent cx="3224530" cy="2681605"/>
            <wp:effectExtent l="0" t="0" r="0" b="0"/>
            <wp:wrapSquare wrapText="bothSides"/>
            <wp:docPr id="1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68160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Warto zwrócić uwagę  na zakładki: „Where is the issue?”, „Why is this an issue?” i „Activy”, gdyż są bardzo pomocne dla lokalizacji oraz zrozumienia błędu. Dodatkowo, ostatnia zakładka pozwala na komunikację zespołową i informowaniu o podjętych akcjach dla rozwiązania problemu.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Drugą miarą są „Security Hotspots”, czyli fragmenty potencjalne niebezpieczne i wymagające manualnej recenzji. Części te są podzielowe w zależności od ich priorytetu. W poniższym przypadku najwyższą wagę ma zabezpieczenie hasła do bazy danych. Rozwiązanie problemu zostało przedstawione w sekcji: „Zarządzanie sekretami”.</w:t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5760720" cy="3579495"/>
            <wp:effectExtent l="0" t="0" r="0" b="0"/>
            <wp:wrapSquare wrapText="bothSides"/>
            <wp:docPr id="14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949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 xml:space="preserve">Raport wskazuję również na użycie konta root jako domyślnego użytkownika dla kontenerów ale przypisuje mu priorytet średni. Pomimo to, zagrożenie jest realne. W przypadku w którym hacker dostał się do sieci publicznej i zna adres IP, możliwe są próby wejścia na kontener. W przypadku sukcesu, włamywacz ma zdecydowanie szersze uprawnienia, które są szczególnie pomocne dla późniejszego opanowania kontenera bazy danych. 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drawing>
          <wp:anchor behindDoc="0" distT="72390" distB="72390" distL="72390" distR="7239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5760720" cy="2052955"/>
            <wp:effectExtent l="0" t="0" r="0" b="0"/>
            <wp:wrapSquare wrapText="bothSides"/>
            <wp:docPr id="1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5295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Heading4"/>
        <w:numPr>
          <w:ilvl w:val="3"/>
          <w:numId w:val="1"/>
        </w:numPr>
        <w:spacing w:before="120" w:after="120"/>
        <w:rPr/>
      </w:pPr>
      <w:bookmarkStart w:id="30" w:name="__RefHeading___Toc3610_3420670368"/>
      <w:bookmarkEnd w:id="30"/>
      <w:r>
        <w:rPr/>
        <w:tab/>
        <w:t>Wprowadzenie bramki jakościowej dla kodu źródłowego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Podejście TDS wymaga wprowadzenia progów jakościowych, dlatego w tym podrozdziale przedstawione zostaną zalety stosowania bramki jakościowej SonarQube w procesie wytwarzania oprogramowania. Omówione zostaną również najważniejsze funkcjonalności tego narzędzia.</w:t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>
          <w:sz w:val="20"/>
          <w:szCs w:val="20"/>
        </w:rPr>
      </w:pPr>
      <w:r>
        <w:rPr>
          <w:sz w:val="20"/>
          <w:szCs w:val="20"/>
        </w:rPr>
        <w:t>Zalety stosowania bramek jakościowych:</w:t>
      </w:r>
    </w:p>
    <w:p>
      <w:pPr>
        <w:pStyle w:val="TextBody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Możliwość rozróżniania akcji w zależności od wyniky testu</w:t>
      </w:r>
    </w:p>
    <w:p>
      <w:pPr>
        <w:pStyle w:val="TextBody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  <w:t>Stworzenie standardów jakościowych dla organizacji</w:t>
      </w:r>
    </w:p>
    <w:p>
      <w:pPr>
        <w:pStyle w:val="TextBody"/>
        <w:numPr>
          <w:ilvl w:val="0"/>
          <w:numId w:val="17"/>
        </w:numPr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rPr/>
      </w:pPr>
      <w:r>
        <w:rPr/>
        <w:drawing>
          <wp:anchor behindDoc="0" distT="72390" distB="72390" distL="72390" distR="7239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line">
              <wp:align>top</wp:align>
            </wp:positionV>
            <wp:extent cx="5760720" cy="2301240"/>
            <wp:effectExtent l="0" t="0" r="0" b="0"/>
            <wp:wrapSquare wrapText="bothSides"/>
            <wp:docPr id="1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0124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spacing w:before="120" w:after="120"/>
        <w:rPr/>
      </w:pPr>
      <w:r>
        <w:rPr/>
        <w:tab/>
        <w:t>Zastosowanie Trivy w celu zwiększenia bezpieczeństwa obrazów</w:t>
      </w:r>
    </w:p>
    <w:p>
      <w:pPr>
        <w:pStyle w:val="TextBody"/>
        <w:rPr/>
      </w:pPr>
      <w:r>
        <w:rPr/>
        <w:tab/>
      </w:r>
      <w:r>
        <w:rPr>
          <w:sz w:val="20"/>
          <w:szCs w:val="20"/>
        </w:rPr>
        <w:t>Trivy do wszechstronne i obszerne rozwiązanie open source, które jest wykorzystywane do skanowania</w:t>
      </w:r>
      <w:r>
        <w:rPr>
          <w:rStyle w:val="EndnoteAnchor"/>
          <w:sz w:val="20"/>
          <w:szCs w:val="20"/>
        </w:rPr>
        <w:endnoteReference w:id="5"/>
      </w:r>
      <w:r>
        <w:rPr>
          <w:sz w:val="20"/>
          <w:szCs w:val="20"/>
        </w:rPr>
        <w:t>: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obrazów kontnera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filesystem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repozytorium GIT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obrazy maszyn wirtualnych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Kubernetes’a</w:t>
      </w:r>
    </w:p>
    <w:p>
      <w:pPr>
        <w:pStyle w:val="TextBody"/>
        <w:numPr>
          <w:ilvl w:val="0"/>
          <w:numId w:val="22"/>
        </w:numPr>
        <w:rPr>
          <w:sz w:val="20"/>
          <w:szCs w:val="20"/>
        </w:rPr>
      </w:pPr>
      <w:r>
        <w:rPr>
          <w:sz w:val="20"/>
          <w:szCs w:val="20"/>
        </w:rPr>
        <w:t>AWS</w:t>
      </w:r>
    </w:p>
    <w:p>
      <w:pPr>
        <w:pStyle w:val="TextBody"/>
        <w:rPr>
          <w:sz w:val="20"/>
          <w:szCs w:val="20"/>
        </w:rPr>
      </w:pPr>
      <w:r>
        <w:rPr/>
      </w:r>
    </w:p>
    <w:p>
      <w:pPr>
        <w:pStyle w:val="TextBody"/>
        <w:rPr>
          <w:sz w:val="20"/>
          <w:szCs w:val="20"/>
        </w:rPr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>
          <w:sz w:val="20"/>
          <w:szCs w:val="20"/>
        </w:rPr>
      </w:pPr>
      <w:r>
        <w:rPr/>
      </w:r>
    </w:p>
    <w:p>
      <w:pPr>
        <w:pStyle w:val="TextBody"/>
        <w:numPr>
          <w:ilvl w:val="0"/>
          <w:numId w:val="0"/>
        </w:numPr>
        <w:ind w:left="720" w:hanging="0"/>
        <w:rPr>
          <w:sz w:val="20"/>
          <w:szCs w:val="20"/>
        </w:rPr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3"/>
        <w:numPr>
          <w:ilvl w:val="2"/>
          <w:numId w:val="1"/>
        </w:numPr>
        <w:rPr/>
      </w:pPr>
      <w:bookmarkStart w:id="31" w:name="__RefHeading___Toc3612_3420670368"/>
      <w:bookmarkEnd w:id="31"/>
      <w:r>
        <w:rPr/>
        <w:tab/>
        <w:t>Bezpieczeństwo infrastruktury i implementacja rozwiązania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32" w:name="__RefHeading___Toc146_3912164325"/>
      <w:bookmarkEnd w:id="32"/>
      <w:r>
        <w:rPr/>
        <w:tab/>
        <w:t>Bezpieczeństwo infrastruktury cloudowej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Podział infastruktury na prywatne i publiczne podsieci pozwala na lepszą kontrolę dostępu do backendu. Wszelki ruch wejściowy powinien być w naszej infrastrukturze poprzez  443 na ALB.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Dopiero w tym miejscu wykonujemy tzw. SSL termination co oznacza po prostu dekrypcję transferu i następnie jest przekazywany do prywatnych podsieci</w:t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TextBody"/>
        <w:numPr>
          <w:ilvl w:val="0"/>
          <w:numId w:val="3"/>
        </w:numPr>
        <w:rPr>
          <w:sz w:val="20"/>
          <w:szCs w:val="20"/>
        </w:rPr>
      </w:pPr>
      <w:r>
        <w:rPr>
          <w:sz w:val="20"/>
          <w:szCs w:val="20"/>
        </w:rPr>
        <w:t>.</w:t>
      </w:r>
    </w:p>
    <w:p>
      <w:pPr>
        <w:pStyle w:val="TextBody"/>
        <w:rPr/>
      </w:pPr>
      <w:r>
        <w:rPr/>
      </w:r>
    </w:p>
    <w:p>
      <w:pPr>
        <w:pStyle w:val="Heading4"/>
        <w:numPr>
          <w:ilvl w:val="3"/>
          <w:numId w:val="1"/>
        </w:numPr>
        <w:rPr/>
      </w:pPr>
      <w:bookmarkStart w:id="33" w:name="__RefHeading___Toc156_3912164325"/>
      <w:bookmarkEnd w:id="33"/>
      <w:r>
        <w:rPr/>
        <w:t>Skanowanie infrastruktury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Heading1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34" w:name="__RefHeading___Toc425_451261914_Copy_1"/>
      <w:bookmarkEnd w:id="34"/>
      <w:r>
        <w:rPr>
          <w:rFonts w:cs="Verdana" w:ascii="Verdana" w:hAnsi="Verdana"/>
        </w:rPr>
        <w:tab/>
        <w:t>Wnioski z przeprowadzonego projektu</w:t>
      </w:r>
    </w:p>
    <w:p>
      <w:pPr>
        <w:pStyle w:val="TextBody"/>
        <w:numPr>
          <w:ilvl w:val="0"/>
          <w:numId w:val="0"/>
        </w:numPr>
        <w:ind w:left="0" w:hanging="0"/>
        <w:rPr>
          <w:rFonts w:ascii="Verdana" w:hAnsi="Verdana" w:cs="Verdana"/>
        </w:rPr>
      </w:pPr>
      <w:r>
        <w:rPr>
          <w:rFonts w:cs="Verdana"/>
        </w:rPr>
      </w:r>
    </w:p>
    <w:p>
      <w:pPr>
        <w:pStyle w:val="Heading2"/>
        <w:numPr>
          <w:ilvl w:val="0"/>
          <w:numId w:val="0"/>
        </w:numPr>
        <w:ind w:left="0" w:hanging="0"/>
        <w:rPr>
          <w:rFonts w:ascii="Verdana" w:hAnsi="Verdana" w:cs="Verdana"/>
        </w:rPr>
      </w:pPr>
      <w:bookmarkStart w:id="35" w:name="__RefHeading___Toc169_3912164325"/>
      <w:bookmarkEnd w:id="35"/>
      <w:r>
        <w:rPr>
          <w:rFonts w:cs="Verdana" w:ascii="Verdana" w:hAnsi="Verdana"/>
        </w:rPr>
        <w:t>Stopień spełnienia założeń projektowych</w:t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FigureIndexHeading"/>
        <w:rPr/>
      </w:pPr>
      <w:r>
        <w:rPr/>
        <w:t>Table of Figures</w:t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p>
      <w:pPr>
        <w:pStyle w:val="TextBody"/>
        <w:spacing w:before="200" w:after="120"/>
        <w:rPr/>
      </w:pPr>
      <w:r>
        <w:rPr/>
      </w:r>
    </w:p>
    <w:sectPr>
      <w:headerReference w:type="default" r:id="rId18"/>
      <w:footerReference w:type="default" r:id="rId19"/>
      <w:endnotePr>
        <w:numFmt w:val="lowerRoman"/>
      </w:endnotePr>
      <w:type w:val="nextPage"/>
      <w:pgSz w:w="11906" w:h="16838"/>
      <w:pgMar w:left="1417" w:right="1417" w:gutter="0" w:header="708" w:top="1417" w:footer="1417" w:bottom="1973"/>
      <w:pgNumType w:fmt="decimal"/>
      <w:formProt w:val="false"/>
      <w:textDirection w:val="lrTb"/>
      <w:docGrid w:type="default" w:linePitch="360" w:charSpace="8192"/>
    </w:sectPr>
  </w:body>
</w:document>
</file>

<file path=word/endnotes.xml><?xml version="1.0" encoding="utf-8"?>
<w:endnote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endnote w:id="0" w:type="separator">
    <w:p>
      <w:r>
        <w:separator/>
      </w:r>
    </w:p>
  </w:endnote>
  <w:endnote w:id="1" w:type="continuationSeparator">
    <w:p>
      <w:r>
        <w:continuationSeparator/>
      </w:r>
    </w:p>
  </w:endnote>
  <w:endnote w:id="2">
    <w:p>
      <w:pPr>
        <w:pStyle w:val="Footnote"/>
        <w:rPr/>
      </w:pPr>
      <w:r>
        <w:rPr>
          <w:rStyle w:val="EndnoteCharacters"/>
        </w:rPr>
        <w:endnoteRef/>
      </w:r>
      <w:r>
        <w:rPr/>
        <w:tab/>
        <w:t>https://www.devsecops.org</w:t>
      </w:r>
    </w:p>
  </w:endnote>
  <w:endnote w:id="3">
    <w:p>
      <w:pPr>
        <w:pStyle w:val="Endnote"/>
        <w:rPr/>
      </w:pPr>
      <w:r>
        <w:rPr>
          <w:rStyle w:val="EndnoteCharacters"/>
        </w:rPr>
        <w:endnoteRef/>
      </w:r>
      <w:r>
        <w:rPr/>
        <w:tab/>
        <w:t>https://owasp.org/www-project-top-ten</w:t>
      </w:r>
    </w:p>
  </w:endnote>
  <w:endnote w:id="4">
    <w:p>
      <w:pPr>
        <w:pStyle w:val="Endnote"/>
        <w:rPr/>
      </w:pPr>
      <w:r>
        <w:rPr>
          <w:rStyle w:val="EndnoteCharacters"/>
        </w:rPr>
        <w:endnoteRef/>
      </w:r>
      <w:r>
        <w:rPr/>
        <w:tab/>
        <w:t>https://cwe.mitre.org/data/definitions/521.html</w:t>
      </w:r>
    </w:p>
  </w:endnote>
  <w:endnote w:id="5">
    <w:p>
      <w:pPr>
        <w:pStyle w:val="Endnote"/>
        <w:rPr/>
      </w:pPr>
      <w:r>
        <w:rPr>
          <w:rStyle w:val="EndnoteCharacters"/>
        </w:rPr>
        <w:endnoteRef/>
      </w:r>
      <w:hyperlink r:id="rId2">
        <w:r>
          <w:rPr>
            <w:rStyle w:val="InternetLink"/>
          </w:rPr>
          <w:tab/>
          <w:t>https://github.com/aquasecurity/trivy</w:t>
        </w:r>
      </w:hyperlink>
    </w:p>
    <w:p>
      <w:pPr>
        <w:pStyle w:val="Endnote"/>
        <w:rPr/>
      </w:pPr>
      <w:r>
        <w:rPr/>
        <w:t>w</w:t>
      </w:r>
    </w:p>
  </w:endnote>
</w:endnote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Verdana">
    <w:charset w:val="01"/>
    <w:family w:val="roman"/>
    <w:pitch w:val="variable"/>
  </w:font>
  <w:font w:name="Symbol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ahoma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>
        <w:vertAlign w:val="superscript"/>
      </w:rPr>
    </w:pPr>
    <w:r>
      <w:rPr>
        <w:vertAlign w:val="superscript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bidi w:val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bullet"/>
      <w:suff w:val="nothing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0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2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</w:numbering>
</file>

<file path=word/settings.xml><?xml version="1.0" encoding="utf-8"?>
<w:settings xmlns:w="http://schemas.openxmlformats.org/wordprocessingml/2006/main">
  <w:zoom w:percent="100"/>
  <w:displayBackgroundShape/>
  <w:embedSystemFonts/>
  <w:defaultTabStop w:val="708"/>
  <w:autoHyphenation w:val="true"/>
  <w:endnotePr>
    <w:numFmt w:val="lowerRoman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pl-PL" w:eastAsia="ja-JP" w:bidi="ar-SA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pl-PL" w:eastAsia="ja-JP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</w:pPr>
    <w:rPr>
      <w:rFonts w:ascii="Verdana" w:hAnsi="Verdana" w:eastAsia="Times New Roman" w:cs="Verdana"/>
      <w:color w:val="auto"/>
      <w:kern w:val="0"/>
      <w:sz w:val="20"/>
      <w:szCs w:val="24"/>
      <w:lang w:val="pl-PL" w:eastAsia="zh-CN" w:bidi="ar-SA"/>
    </w:rPr>
  </w:style>
  <w:style w:type="paragraph" w:styleId="Heading1">
    <w:name w:val="Heading 1"/>
    <w:basedOn w:val="Heading"/>
    <w:next w:val="TextBody"/>
    <w:qFormat/>
    <w:pPr>
      <w:numPr>
        <w:ilvl w:val="0"/>
        <w:numId w:val="1"/>
      </w:numPr>
      <w:outlineLvl w:val="0"/>
    </w:pPr>
    <w:rPr>
      <w:b/>
      <w:bCs/>
      <w:sz w:val="36"/>
      <w:szCs w:val="36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Heading3">
    <w:name w:val="Heading 3"/>
    <w:basedOn w:val="Heading"/>
    <w:next w:val="TextBody"/>
    <w:qFormat/>
    <w:pPr>
      <w:numPr>
        <w:ilvl w:val="2"/>
        <w:numId w:val="1"/>
      </w:numPr>
      <w:spacing w:before="140" w:after="120"/>
      <w:outlineLvl w:val="2"/>
    </w:pPr>
    <w:rPr>
      <w:b/>
      <w:bCs/>
    </w:rPr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WW8Num2z0" w:customStyle="1">
    <w:name w:val="WW8Num2z0"/>
    <w:qFormat/>
    <w:rPr>
      <w:rFonts w:ascii="Symbol" w:hAnsi="Symbol" w:cs="OpenSymbol"/>
    </w:rPr>
  </w:style>
  <w:style w:type="character" w:styleId="WW8Num2z1" w:customStyle="1">
    <w:name w:val="WW8Num2z1"/>
    <w:qFormat/>
    <w:rPr>
      <w:rFonts w:ascii="OpenSymbol" w:hAnsi="OpenSymbol" w:cs="OpenSymbol"/>
    </w:rPr>
  </w:style>
  <w:style w:type="character" w:styleId="WW8Num4z0" w:customStyle="1">
    <w:name w:val="WW8Num4z0"/>
    <w:qFormat/>
    <w:rPr>
      <w:rFonts w:ascii="Symbol" w:hAnsi="Symbol" w:cs="OpenSymbol"/>
    </w:rPr>
  </w:style>
  <w:style w:type="character" w:styleId="WW8Num5z0" w:customStyle="1">
    <w:name w:val="WW8Num5z0"/>
    <w:qFormat/>
    <w:rPr>
      <w:rFonts w:ascii="Symbol" w:hAnsi="Symbol" w:cs="OpenSymbol"/>
    </w:rPr>
  </w:style>
  <w:style w:type="character" w:styleId="WW8Num5z1" w:customStyle="1">
    <w:name w:val="WW8Num5z1"/>
    <w:qFormat/>
    <w:rPr>
      <w:rFonts w:ascii="OpenSymbol" w:hAnsi="OpenSymbol" w:cs="OpenSymbol"/>
    </w:rPr>
  </w:style>
  <w:style w:type="character" w:styleId="WW8Num6z1" w:customStyle="1">
    <w:name w:val="WW8Num6z1"/>
    <w:qFormat/>
    <w:rPr>
      <w:rFonts w:ascii="Symbol" w:hAnsi="Symbol" w:cs="OpenSymbol"/>
    </w:rPr>
  </w:style>
  <w:style w:type="character" w:styleId="WW8Num10z0" w:customStyle="1">
    <w:name w:val="WW8Num10z0"/>
    <w:qFormat/>
    <w:rPr>
      <w:rFonts w:ascii="Symbol" w:hAnsi="Symbol" w:cs="OpenSymbol"/>
    </w:rPr>
  </w:style>
  <w:style w:type="character" w:styleId="WW8Num11z0" w:customStyle="1">
    <w:name w:val="WW8Num11z0"/>
    <w:qFormat/>
    <w:rPr>
      <w:rFonts w:ascii="Symbol" w:hAnsi="Symbol" w:cs="OpenSymbol"/>
    </w:rPr>
  </w:style>
  <w:style w:type="character" w:styleId="WW8Num12z0" w:customStyle="1">
    <w:name w:val="WW8Num12z0"/>
    <w:qFormat/>
    <w:rPr>
      <w:rFonts w:ascii="Symbol" w:hAnsi="Symbol" w:cs="OpenSymbol"/>
    </w:rPr>
  </w:style>
  <w:style w:type="character" w:styleId="Domylnaczcionkaakapitu1" w:customStyle="1">
    <w:name w:val="Domyślna czcionka akapitu1"/>
    <w:qFormat/>
    <w:rPr/>
  </w:style>
  <w:style w:type="character" w:styleId="TekstpodstawowyZnak" w:customStyle="1">
    <w:name w:val="Tekst podstawowy Znak"/>
    <w:qFormat/>
    <w:rPr>
      <w:rFonts w:ascii="Verdana" w:hAnsi="Verdana" w:cs="Verdana"/>
      <w:sz w:val="24"/>
      <w:szCs w:val="24"/>
    </w:rPr>
  </w:style>
  <w:style w:type="character" w:styleId="InternetLink">
    <w:name w:val="Hyperlink"/>
    <w:rPr>
      <w:color w:val="0000FF"/>
      <w:u w:val="single"/>
    </w:rPr>
  </w:style>
  <w:style w:type="character" w:styleId="NumberingSymbols" w:customStyle="1">
    <w:name w:val="Numbering Symbols"/>
    <w:qFormat/>
    <w:rPr/>
  </w:style>
  <w:style w:type="character" w:styleId="IndexLink" w:customStyle="1">
    <w:name w:val="Index Link"/>
    <w:qFormat/>
    <w:rPr/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FootnoteCharacters" w:customStyle="1">
    <w:name w:val="Footnote Characters"/>
    <w:qFormat/>
    <w:rPr>
      <w:vertAlign w:val="superscript"/>
    </w:rPr>
  </w:style>
  <w:style w:type="character" w:styleId="FootnoteAnchor">
    <w:name w:val="Footnote Reference"/>
    <w:rPr>
      <w:vertAlign w:val="superscript"/>
    </w:rPr>
  </w:style>
  <w:style w:type="character" w:styleId="EndnoteCharacters" w:customStyle="1">
    <w:name w:val="Endnote Characters"/>
    <w:qFormat/>
    <w:rPr>
      <w:vertAlign w:val="superscript"/>
    </w:rPr>
  </w:style>
  <w:style w:type="character" w:styleId="WWEndnoteCharacters" w:customStyle="1">
    <w:name w:val="WW-Endnote Characters"/>
    <w:qFormat/>
    <w:rPr/>
  </w:style>
  <w:style w:type="character" w:styleId="EndnoteAnchor">
    <w:name w:val="Endnote Reference"/>
    <w:rPr>
      <w:vertAlign w:val="superscript"/>
    </w:rPr>
  </w:style>
  <w:style w:type="character" w:styleId="SourceText" w:customStyle="1">
    <w:name w:val="Source Text"/>
    <w:qFormat/>
    <w:rPr>
      <w:rFonts w:ascii="Liberation Mono" w:hAnsi="Liberation Mono" w:eastAsia="Liberation Mono" w:cs="Liberation Mono"/>
    </w:rPr>
  </w:style>
  <w:style w:type="character" w:styleId="HeaderChar" w:customStyle="1">
    <w:name w:val="Header Char"/>
    <w:basedOn w:val="DefaultParagraphFont"/>
    <w:link w:val="Header"/>
    <w:uiPriority w:val="99"/>
    <w:qFormat/>
    <w:rPr/>
  </w:style>
  <w:style w:type="character" w:styleId="WW8Num13z0">
    <w:name w:val="WW8Num13z0"/>
    <w:qFormat/>
    <w:rPr>
      <w:rFonts w:ascii="Symbol" w:hAnsi="Symbol" w:cs="OpenSymbol;Arial Unicode MS"/>
    </w:rPr>
  </w:style>
  <w:style w:type="character" w:styleId="WW8Num14z0">
    <w:name w:val="WW8Num14z0"/>
    <w:qFormat/>
    <w:rPr>
      <w:rFonts w:ascii="Symbol" w:hAnsi="Symbol" w:cs="OpenSymbol;Arial Unicode MS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" w:cs="FreeSans"/>
      <w:sz w:val="28"/>
      <w:szCs w:val="28"/>
    </w:rPr>
  </w:style>
  <w:style w:type="paragraph" w:styleId="TextBody">
    <w:name w:val="Body Text"/>
    <w:basedOn w:val="Normal"/>
    <w:pPr>
      <w:spacing w:before="30" w:after="30"/>
    </w:pPr>
    <w:rPr>
      <w:sz w:val="24"/>
    </w:rPr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FreeSans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</w:rPr>
  </w:style>
  <w:style w:type="paragraph" w:styleId="BalloonText1" w:customStyle="1">
    <w:name w:val="Balloon Text1"/>
    <w:basedOn w:val="Normal"/>
    <w:qFormat/>
    <w:pPr/>
    <w:rPr>
      <w:rFonts w:ascii="Tahoma" w:hAnsi="Tahoma" w:cs="Tahoma"/>
      <w:sz w:val="16"/>
      <w:szCs w:val="16"/>
    </w:rPr>
  </w:style>
  <w:style w:type="paragraph" w:styleId="Indexheading">
    <w:name w:val="index heading"/>
    <w:basedOn w:val="Heading"/>
    <w:qFormat/>
    <w:pPr>
      <w:suppressLineNumbers/>
    </w:pPr>
    <w:rPr>
      <w:b/>
      <w:bCs/>
      <w:sz w:val="32"/>
      <w:szCs w:val="32"/>
    </w:rPr>
  </w:style>
  <w:style w:type="paragraph" w:styleId="Toaheading">
    <w:name w:val="toa heading"/>
    <w:basedOn w:val="Indexheading"/>
    <w:qFormat/>
    <w:pPr/>
    <w:rPr/>
  </w:style>
  <w:style w:type="paragraph" w:styleId="Contents1">
    <w:name w:val="TOC 1"/>
    <w:basedOn w:val="Index"/>
    <w:pPr>
      <w:tabs>
        <w:tab w:val="clear" w:pos="708"/>
        <w:tab w:val="right" w:pos="9072" w:leader="dot"/>
      </w:tabs>
    </w:pPr>
    <w:rPr/>
  </w:style>
  <w:style w:type="paragraph" w:styleId="Contents2">
    <w:name w:val="TOC 2"/>
    <w:basedOn w:val="Index"/>
    <w:pPr>
      <w:tabs>
        <w:tab w:val="clear" w:pos="708"/>
        <w:tab w:val="right" w:pos="8789" w:leader="dot"/>
      </w:tabs>
      <w:ind w:left="283" w:hanging="0"/>
    </w:pPr>
    <w:rPr/>
  </w:style>
  <w:style w:type="paragraph" w:styleId="Contents3">
    <w:name w:val="TOC 3"/>
    <w:basedOn w:val="Index"/>
    <w:pPr>
      <w:tabs>
        <w:tab w:val="clear" w:pos="708"/>
        <w:tab w:val="right" w:pos="8505" w:leader="dot"/>
      </w:tabs>
      <w:ind w:left="567" w:hanging="0"/>
    </w:pPr>
    <w:rPr/>
  </w:style>
  <w:style w:type="paragraph" w:styleId="Footnote">
    <w:name w:val="Footnote Text"/>
    <w:basedOn w:val="Normal"/>
    <w:pPr>
      <w:suppressLineNumbers/>
      <w:ind w:left="340" w:hanging="340"/>
    </w:pPr>
    <w:rPr>
      <w:szCs w:val="20"/>
    </w:rPr>
  </w:style>
  <w:style w:type="paragraph" w:styleId="Contents4">
    <w:name w:val="TOC 4"/>
    <w:basedOn w:val="Index"/>
    <w:pPr>
      <w:tabs>
        <w:tab w:val="clear" w:pos="708"/>
        <w:tab w:val="right" w:pos="8222" w:leader="dot"/>
      </w:tabs>
      <w:ind w:left="850" w:hanging="0"/>
    </w:pPr>
    <w:rPr/>
  </w:style>
  <w:style w:type="paragraph" w:styleId="Figure" w:customStyle="1">
    <w:name w:val="Figure"/>
    <w:basedOn w:val="Caption1"/>
    <w:qFormat/>
    <w:pPr/>
    <w:rPr/>
  </w:style>
  <w:style w:type="paragraph" w:styleId="FrameContents" w:customStyle="1">
    <w:name w:val="Frame Contents"/>
    <w:basedOn w:val="Normal"/>
    <w:qFormat/>
    <w:pPr/>
    <w:rPr/>
  </w:style>
  <w:style w:type="paragraph" w:styleId="HeaderandFooter" w:customStyle="1">
    <w:name w:val="Header and Footer"/>
    <w:basedOn w:val="Normal"/>
    <w:qFormat/>
    <w:pPr>
      <w:suppressLineNumbers/>
      <w:tabs>
        <w:tab w:val="clear" w:pos="708"/>
        <w:tab w:val="center" w:pos="4536" w:leader="none"/>
        <w:tab w:val="right" w:pos="9072" w:leader="none"/>
      </w:tabs>
    </w:pPr>
    <w:rPr/>
  </w:style>
  <w:style w:type="paragraph" w:styleId="Footer">
    <w:name w:val="Footer"/>
    <w:basedOn w:val="HeaderandFooter"/>
    <w:pPr/>
    <w:rPr/>
  </w:style>
  <w:style w:type="paragraph" w:styleId="IndexHeading1">
    <w:name w:val="Index Heading"/>
    <w:basedOn w:val="Heading"/>
    <w:pPr/>
    <w:rPr/>
  </w:style>
  <w:style w:type="paragraph" w:styleId="ObjectIndexHeading" w:customStyle="1">
    <w:name w:val="Object Index Heading"/>
    <w:basedOn w:val="Indexheading"/>
    <w:qFormat/>
    <w:pPr/>
    <w:rPr/>
  </w:style>
  <w:style w:type="paragraph" w:styleId="FigureIndexHeading" w:customStyle="1">
    <w:name w:val="Figure Index Heading"/>
    <w:basedOn w:val="Indexheading"/>
    <w:qFormat/>
    <w:pPr/>
    <w:rPr/>
  </w:style>
  <w:style w:type="paragraph" w:styleId="TableContents" w:customStyle="1">
    <w:name w:val="Table Contents"/>
    <w:basedOn w:val="Normal"/>
    <w:qFormat/>
    <w:pPr>
      <w:widowControl w:val="false"/>
      <w:suppressLineNumbers/>
    </w:pPr>
    <w:rPr/>
  </w:style>
  <w:style w:type="paragraph" w:styleId="TableHeading" w:customStyle="1">
    <w:name w:val="Table Heading"/>
    <w:basedOn w:val="TableContents"/>
    <w:qFormat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unhideWhenUsed/>
    <w:pPr>
      <w:tabs>
        <w:tab w:val="clear" w:pos="708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Endnote">
    <w:name w:val="Endnote Text"/>
    <w:basedOn w:val="Normal"/>
    <w:pPr>
      <w:suppressLineNumbers/>
      <w:ind w:left="340" w:hanging="340"/>
    </w:pPr>
    <w:rPr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WW8Num13">
    <w:name w:val="WW8Num13"/>
    <w:qFormat/>
  </w:style>
  <w:style w:type="numbering" w:styleId="WW8Num14">
    <w:name w:val="WW8Num14"/>
    <w:qFormat/>
  </w:style>
  <w:style w:type="table" w:default="1" w:styleId="Standardowy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jpe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eader" Target="header1.xml"/><Relationship Id="rId19" Type="http://schemas.openxmlformats.org/officeDocument/2006/relationships/footer" Target="footer1.xml"/><Relationship Id="rId20" Type="http://schemas.openxmlformats.org/officeDocument/2006/relationships/endnotes" Target="endnotes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_rels/endnotes.xml.rels><?xml version="1.0" encoding="UTF-8"?>
<Relationships xmlns="http://schemas.openxmlformats.org/package/2006/relationships"><Relationship Id="rId1" Type="http://schemas.openxmlformats.org/officeDocument/2006/relationships/hyperlink" Target="https://github.com/aquasecurity/trivy" TargetMode="External"/><Relationship Id="rId2" Type="http://schemas.openxmlformats.org/officeDocument/2006/relationships/hyperlink" Target="" TargetMode="Externa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3271</TotalTime>
  <Application>LibreOffice/7.4.5.1$Linux_X86_64 LibreOffice_project/9c0871452b3918c1019dde9bfac75448afc4b57f</Application>
  <AppVersion>15.0000</AppVersion>
  <Pages>31</Pages>
  <Words>3001</Words>
  <Characters>20166</Characters>
  <CharactersWithSpaces>22983</CharactersWithSpaces>
  <Paragraphs>261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2023-04-08T12:39:00Z</dcterms:created>
  <dc:creator>Monika</dc:creator>
  <dc:description/>
  <dc:language>en-US</dc:language>
  <cp:lastModifiedBy/>
  <cp:lastPrinted>1601-01-01T00:00:00Z</cp:lastPrinted>
  <dcterms:modified xsi:type="dcterms:W3CDTF">2023-04-22T23:03:26Z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