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2025-02-25</w:t>
      </w:r>
    </w:p>
    <w:p>
      <w:r>
        <w:br w:type="page"/>
      </w:r>
    </w:p>
    <w:bookmarkStart w:id="34" w:name="methods"/>
    <w:p>
      <w:pPr>
        <w:pStyle w:val="Heading1"/>
      </w:pPr>
      <w:r>
        <w:t xml:space="preserve">Methods</w:t>
      </w:r>
    </w:p>
    <w:p>
      <w:pPr>
        <w:pStyle w:val="FirstParagraph"/>
      </w:pPr>
      <w:r>
        <w:t xml:space="preserve">Analyses of collagen-related transcriptome and survival in transcriptomic cohorts were done with R version 4.2.3 (R foundation).</w:t>
      </w:r>
      <w:r>
        <w:t xml:space="preserve"> </w:t>
      </w:r>
      <w:r>
        <w:t xml:space="preserve">Their details are provided in</w:t>
      </w:r>
      <w:r>
        <w:t xml:space="preserve"> </w:t>
      </w:r>
      <w:r>
        <w:rPr>
          <w:bCs/>
          <w:b/>
        </w:rPr>
        <w:t xml:space="preserve">Supplementary Methods</w:t>
      </w:r>
      <w:r>
        <w:t xml:space="preserve">.</w:t>
      </w:r>
    </w:p>
    <w:bookmarkStart w:id="27" w:name="transcriptome-data-sets"/>
    <w:p>
      <w:pPr>
        <w:pStyle w:val="Heading2"/>
      </w:pPr>
      <w:r>
        <w:t xml:space="preserve">Transcriptome data sets</w:t>
      </w:r>
    </w:p>
    <w:p>
      <w:pPr>
        <w:pStyle w:val="FirstParagraph"/>
      </w:pPr>
      <w:r>
        <w:t xml:space="preserve">Seven publicly available transcriptome data sets of primary prostate cancer samples,</w:t>
      </w:r>
      <w:r>
        <w:t xml:space="preserve"> </w:t>
      </w:r>
      <w:r>
        <w:t xml:space="preserve">the</w:t>
      </w:r>
      <w:r>
        <w:t xml:space="preserve"> </w:t>
      </w:r>
      <w:hyperlink r:id="rId20">
        <w:r>
          <w:rPr>
            <w:rStyle w:val="InternetLink"/>
          </w:rPr>
          <w:t xml:space="preserve">TCGA</w:t>
        </w:r>
      </w:hyperlink>
      <w:r>
        <w:t xml:space="preserve"> </w:t>
      </w:r>
      <w:r>
        <w:t xml:space="preserve">prostate cancer cohort</w:t>
      </w:r>
      <w:r>
        <w:t xml:space="preserve"> </w:t>
      </w:r>
      <w:r>
        <w:t xml:space="preserve">(1,2)</w:t>
      </w:r>
      <w:r>
        <w:t xml:space="preserve"> </w:t>
      </w:r>
      <w:r>
        <w:t xml:space="preserve">(n = 493 cancer samples, RNA sequencing),</w:t>
      </w:r>
      <w:r>
        <w:t xml:space="preserve"> </w:t>
      </w:r>
      <w:hyperlink r:id="rId21">
        <w:r>
          <w:rPr>
            <w:rStyle w:val="InternetLink"/>
          </w:rPr>
          <w:t xml:space="preserve">GSE16560</w:t>
        </w:r>
      </w:hyperlink>
      <w:r>
        <w:t xml:space="preserve"> </w:t>
      </w:r>
      <w:r>
        <w:t xml:space="preserve">(3)</w:t>
      </w:r>
      <w:r>
        <w:t xml:space="preserve"> </w:t>
      </w:r>
      <w:r>
        <w:t xml:space="preserve">(n = 281, microarray)</w:t>
      </w:r>
      <w:r>
        <w:t xml:space="preserve"> </w:t>
      </w:r>
      <w:hyperlink r:id="rId22">
        <w:r>
          <w:rPr>
            <w:rStyle w:val="InternetLink"/>
          </w:rPr>
          <w:t xml:space="preserve">GSE54460</w:t>
        </w:r>
      </w:hyperlink>
      <w:r>
        <w:t xml:space="preserve"> </w:t>
      </w:r>
      <w:r>
        <w:t xml:space="preserve">(4)</w:t>
      </w:r>
      <w:r>
        <w:t xml:space="preserve"> </w:t>
      </w:r>
      <w:r>
        <w:t xml:space="preserve">(n = 106, RNA sequencing),</w:t>
      </w:r>
      <w:r>
        <w:t xml:space="preserve"> </w:t>
      </w:r>
      <w:hyperlink r:id="rId23">
        <w:r>
          <w:rPr>
            <w:rStyle w:val="InternetLink"/>
          </w:rPr>
          <w:t xml:space="preserve">GSE70768</w:t>
        </w:r>
      </w:hyperlink>
      <w:r>
        <w:t xml:space="preserve"> </w:t>
      </w:r>
      <w:r>
        <w:t xml:space="preserve">(5)</w:t>
      </w:r>
      <w:r>
        <w:t xml:space="preserve"> </w:t>
      </w:r>
      <w:r>
        <w:t xml:space="preserve">(n = 125, microarray),</w:t>
      </w:r>
      <w:r>
        <w:t xml:space="preserve"> </w:t>
      </w:r>
      <w:hyperlink r:id="rId24">
        <w:r>
          <w:rPr>
            <w:rStyle w:val="InternetLink"/>
          </w:rPr>
          <w:t xml:space="preserve">GSE70769</w:t>
        </w:r>
      </w:hyperlink>
      <w:r>
        <w:t xml:space="preserve"> </w:t>
      </w:r>
      <w:r>
        <w:t xml:space="preserve">(5)</w:t>
      </w:r>
      <w:r>
        <w:t xml:space="preserve"> </w:t>
      </w:r>
      <w:r>
        <w:t xml:space="preserve">(n = 94, microarray),</w:t>
      </w:r>
      <w:r>
        <w:t xml:space="preserve"> </w:t>
      </w:r>
      <w:hyperlink r:id="rId25">
        <w:r>
          <w:rPr>
            <w:rStyle w:val="InternetLink"/>
          </w:rPr>
          <w:t xml:space="preserve">GSE220095</w:t>
        </w:r>
      </w:hyperlink>
      <w:r>
        <w:t xml:space="preserve"> </w:t>
      </w:r>
      <w:r>
        <w:t xml:space="preserve">(6)</w:t>
      </w:r>
      <w:r>
        <w:t xml:space="preserve"> </w:t>
      </w:r>
      <w:r>
        <w:t xml:space="preserve">(n = 176, RNA sequencing), and</w:t>
      </w:r>
      <w:r>
        <w:t xml:space="preserve"> </w:t>
      </w:r>
      <w:hyperlink r:id="rId26">
        <w:r>
          <w:rPr>
            <w:rStyle w:val="InternetLink"/>
          </w:rPr>
          <w:t xml:space="preserve">DKFZ</w:t>
        </w:r>
      </w:hyperlink>
      <w:r>
        <w:t xml:space="preserve"> </w:t>
      </w:r>
      <w:r>
        <w:t xml:space="preserve">(7)</w:t>
      </w:r>
      <w:r>
        <w:t xml:space="preserve"> </w:t>
      </w:r>
      <w:r>
        <w:t xml:space="preserve">(n = 118, RNA sequencing)</w:t>
      </w:r>
      <w:r>
        <w:t xml:space="preserve"> </w:t>
      </w:r>
      <w:r>
        <w:t xml:space="preserve">were re-analyzed.</w:t>
      </w:r>
      <w:r>
        <w:t xml:space="preserve"> </w:t>
      </w:r>
      <w:r>
        <w:t xml:space="preserve">Selection criteria for the transcriptomic cohorts were: information of biochemical relapse and relapse-free survival or death and overall survival, and availability of expression data for collagen-related transcript investigated in our previous collagen project</w:t>
      </w:r>
      <w:r>
        <w:t xml:space="preserve"> </w:t>
      </w:r>
      <w:r>
        <w:t xml:space="preserve">(8)</w:t>
      </w:r>
      <w:r>
        <w:t xml:space="preserve">.</w:t>
      </w:r>
    </w:p>
    <w:p>
      <w:pPr>
        <w:pStyle w:val="TextBody"/>
      </w:pPr>
      <w:r>
        <w:t xml:space="preserve">Normalized gene expression data and clinical information were fetched from the cBioportal repository (DKFZ, TCGA) or Gene Expression Omnibus (GEO).</w:t>
      </w:r>
      <w:r>
        <w:t xml:space="preserve"> </w:t>
      </w:r>
      <w:r>
        <w:t xml:space="preserve">The microarray signals of RNA sequencing counts were analyzed as</w:t>
      </w:r>
      <w:r>
        <w:t xml:space="preserve"> </w:t>
      </w:r>
      <m:oMath>
        <m:r>
          <m:t>l</m:t>
        </m:r>
        <m:r>
          <m:t>o</m:t>
        </m:r>
        <m:sSub>
          <m:e>
            <m:r>
              <m:t>g</m:t>
            </m:r>
          </m:e>
          <m:sub>
            <m:r>
              <m:t>2</m:t>
            </m:r>
          </m:sub>
        </m:sSub>
      </m:oMath>
      <w:r>
        <w:t xml:space="preserve">-transformed counts adjusted for differences in distribution between the cohorts with ComBat algorithm</w:t>
      </w:r>
      <w:r>
        <w:t xml:space="preserve"> </w:t>
      </w:r>
      <w:r>
        <w:t xml:space="preserve">(9)</w:t>
      </w:r>
      <w:r>
        <w:t xml:space="preserve">.</w:t>
      </w:r>
      <w:r>
        <w:t xml:space="preserve"> </w:t>
      </w:r>
      <w:r>
        <w:t xml:space="preserve">ComBat-adjusted expression and clinical information for the GSE54460, GSE70768, GSE70769, and GSE220095 studies was merged into a</w:t>
      </w:r>
      <w:r>
        <w:t xml:space="preserve"> </w:t>
      </w:r>
      <w:r>
        <w:t xml:space="preserve">‘</w:t>
      </w:r>
      <w:r>
        <w:t xml:space="preserve">pooled GEO cohort</w:t>
      </w:r>
      <w:r>
        <w:t xml:space="preserve">’</w:t>
      </w:r>
      <w:r>
        <w:t xml:space="preserve">.</w:t>
      </w:r>
      <w:r>
        <w:t xml:space="preserve"> </w:t>
      </w:r>
      <w:r>
        <w:t xml:space="preserve">In machine learning models of BCR-free survival, the pooled GEO cohort was used for training, and TCGA and DKFZ served as validation cohorts.</w:t>
      </w:r>
      <w:r>
        <w:t xml:space="preserve"> </w:t>
      </w:r>
      <w:r>
        <w:t xml:space="preserve">The GSE16560 cohort split into a training and test subset in a 2:1 ratio was used for modeling of overall survival.</w:t>
      </w:r>
      <w:r>
        <w:t xml:space="preserve"> </w:t>
      </w:r>
      <w:r>
        <w:t xml:space="preserve">Characteristic of the cohorts and a list of the collagen-related genes of interest are are provided in</w:t>
      </w:r>
      <w:r>
        <w:t xml:space="preserve"> </w:t>
      </w:r>
      <w:r>
        <w:rPr>
          <w:bCs/>
          <w:b/>
        </w:rPr>
        <w:t xml:space="preserve">Supplementary Tables S1 - S4</w:t>
      </w:r>
      <w:r>
        <w:t xml:space="preserve">.</w:t>
      </w:r>
    </w:p>
    <w:bookmarkEnd w:id="27"/>
    <w:bookmarkStart w:id="28" w:name="co-expression-network-analyses"/>
    <w:p>
      <w:pPr>
        <w:pStyle w:val="Heading2"/>
      </w:pPr>
      <w:r>
        <w:t xml:space="preserve">Co-expression network analyses</w:t>
      </w:r>
    </w:p>
    <w:p>
      <w:pPr>
        <w:pStyle w:val="FirstParagraph"/>
      </w:pPr>
      <w:r>
        <w:t xml:space="preserve">Co-expression networks of the collagen-related transcripts were constructed in the poled GEO, DKFZ, and TCGA cohorts.</w:t>
      </w:r>
      <w:r>
        <w:t xml:space="preserve"> </w:t>
      </w:r>
      <w:r>
        <w:t xml:space="preserve">The networks’ edges were defined by pairwise correlations of the ComBat-adjusted</w:t>
      </w:r>
      <w:r>
        <w:t xml:space="preserve"> </w:t>
      </w:r>
      <m:oMath>
        <m:r>
          <m:t>l</m:t>
        </m:r>
        <m:r>
          <m:t>o</m:t>
        </m:r>
        <m:sSub>
          <m:e>
            <m:r>
              <m:t>g</m:t>
            </m:r>
          </m:e>
          <m:sub>
            <m:r>
              <m:t>2</m:t>
            </m:r>
          </m:sub>
        </m:sSub>
      </m:oMath>
      <w:r>
        <w:t xml:space="preserve"> </w:t>
      </w:r>
      <w:r>
        <w:t xml:space="preserve">expression levels with Spearman’s</w:t>
      </w:r>
      <w:r>
        <w:t xml:space="preserve"> </w:t>
      </w:r>
      <m:oMath>
        <m:r>
          <m:t>ρ</m:t>
        </m:r>
        <m:r>
          <m:rPr>
            <m:sty m:val="p"/>
          </m:rPr>
          <m:t>≥</m:t>
        </m:r>
      </m:oMath>
      <w:r>
        <w:t xml:space="preserve"> </w:t>
      </w:r>
      <w:r>
        <w:t xml:space="preserve">0.5; transcripts without any network neighbors were removed.</w:t>
      </w:r>
      <w:r>
        <w:t xml:space="preserve"> </w:t>
      </w:r>
      <w:r>
        <w:t xml:space="preserve">Importance of the network’s vertices, i.e. the collagen-related transcripts, was assessed by</w:t>
      </w:r>
      <w:r>
        <w:t xml:space="preserve"> </w:t>
      </w:r>
      <w:r>
        <w:t xml:space="preserve">degree as a measure of connectivity (number of neighbors),</w:t>
      </w:r>
      <w:r>
        <w:t xml:space="preserve"> </w:t>
      </w:r>
      <w:r>
        <w:t xml:space="preserve">hub score as a metric of overall correlation strength (eigenvector of the affinity matrix),</w:t>
      </w:r>
      <w:r>
        <w:t xml:space="preserve"> </w:t>
      </w:r>
      <w:r>
        <w:t xml:space="preserve">betweenness as a measure of connectivity and centrality (minimum/maximum-scaled number of the shortest paths between all pairs of vertices that pass through the vertex of interest), and</w:t>
      </w:r>
      <w:r>
        <w:t xml:space="preserve"> </w:t>
      </w:r>
      <w:r>
        <w:t xml:space="preserve">transitivity (fraction of neighbor vertices that are connected with each other)</w:t>
      </w:r>
      <w:r>
        <w:t xml:space="preserve"> </w:t>
      </w:r>
      <w:r>
        <w:t xml:space="preserve">(10)</w:t>
      </w:r>
      <w:r>
        <w:t xml:space="preserve"> </w:t>
      </w:r>
      <w:r>
        <w:t xml:space="preserve">(</w:t>
      </w:r>
      <w:r>
        <w:rPr>
          <w:bCs/>
          <w:b/>
        </w:rPr>
        <w:t xml:space="preserve">Supplementary Table S5</w:t>
      </w:r>
      <w:r>
        <w:t xml:space="preserve">).</w:t>
      </w:r>
    </w:p>
    <w:bookmarkEnd w:id="28"/>
    <w:bookmarkStart w:id="29" w:name="X48f794c782a1079be4c835dbb9e1a50e0d4da4c"/>
    <w:p>
      <w:pPr>
        <w:pStyle w:val="Heading2"/>
      </w:pPr>
      <w:r>
        <w:t xml:space="preserve">Univariable modeling of BCR-free survival</w:t>
      </w:r>
    </w:p>
    <w:p>
      <w:pPr>
        <w:pStyle w:val="FirstParagraph"/>
      </w:pPr>
      <w:r>
        <w:t xml:space="preserve">For univariable analysis of BCR-free survival, PCA patients in the pooled GEO, TCGA, and DKFZ cohort were classified as high and low expressors of each collagen-related gene with a cutoffs corresponding to the largest difference in survival between the expression strata.</w:t>
      </w:r>
      <w:r>
        <w:t xml:space="preserve"> </w:t>
      </w:r>
      <w:r>
        <w:t xml:space="preserve">BCR risk of the high as compared with low expressors was assessed by unavailable Cox proportional hazard regression.</w:t>
      </w:r>
      <w:r>
        <w:t xml:space="preserve"> </w:t>
      </w:r>
      <w:r>
        <w:t xml:space="preserve">Inference of the Cox proportional hazard models was assessed by hazard ratio (HR) with 95% confidence intervals, and p values corrected for multiple testing with the false discovery rate method (FDR).</w:t>
      </w:r>
      <w:r>
        <w:t xml:space="preserve"> </w:t>
      </w:r>
      <w:r>
        <w:t xml:space="preserve">Harrell’s concordance index</w:t>
      </w:r>
      <w:r>
        <w:t xml:space="preserve"> </w:t>
      </w:r>
      <w:r>
        <w:t xml:space="preserve">(11)</w:t>
      </w:r>
      <w:r>
        <w:t xml:space="preserve"> </w:t>
      </w:r>
      <w:r>
        <w:t xml:space="preserve">and Integrated Brier Score</w:t>
      </w:r>
      <w:r>
        <w:t xml:space="preserve"> </w:t>
      </w:r>
      <w:r>
        <w:t xml:space="preserve">(12)</w:t>
      </w:r>
      <w:r>
        <w:t xml:space="preserve"> </w:t>
      </w:r>
      <w:r>
        <w:t xml:space="preserve">were used as statistics of, respectively, model accuracy and calibration (</w:t>
      </w:r>
      <w:r>
        <w:rPr>
          <w:bCs/>
          <w:b/>
        </w:rPr>
        <w:t xml:space="preserve">Supplementary Table S6</w:t>
      </w:r>
      <w:r>
        <w:t xml:space="preserve">).</w:t>
      </w:r>
    </w:p>
    <w:bookmarkEnd w:id="29"/>
    <w:bookmarkStart w:id="30" w:name="X8ff871d6e52a7c2cdd6d9b6f2b6a4f7f80482c6"/>
    <w:p>
      <w:pPr>
        <w:pStyle w:val="Heading2"/>
      </w:pPr>
      <w:r>
        <w:t xml:space="preserve">Multi-parameter modeling of BCR-free survival</w:t>
      </w:r>
    </w:p>
    <w:p>
      <w:pPr>
        <w:pStyle w:val="FirstParagraph"/>
      </w:pPr>
      <w:r>
        <w:t xml:space="preserve">Machine learning models of BCR-free survival were constructed for the following sets of explanatory variables:</w:t>
      </w:r>
      <w:r>
        <w:t xml:space="preserve"> </w:t>
      </w:r>
      <w:r>
        <w:t xml:space="preserve">(1)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(2) pathological tumor stage, ISUP grade, and ComBat-adjusted</w:t>
      </w:r>
      <w:r>
        <w:t xml:space="preserve"> </w:t>
      </w:r>
      <m:oMath>
        <m:r>
          <m:t>l</m:t>
        </m:r>
        <m:r>
          <m:t>o</m:t>
        </m:r>
        <m:sSub>
          <m:e>
            <m:r>
              <m:t>g</m:t>
            </m:r>
          </m:e>
          <m:sub>
            <m:r>
              <m:t>2</m:t>
            </m:r>
          </m:sub>
        </m:sSub>
      </m:oMath>
      <w:r>
        <w:t xml:space="preserve"> </w:t>
      </w:r>
      <w:r>
        <w:t xml:space="preserve">mRNA levels of the PSA-coding gene</w:t>
      </w:r>
      <w:r>
        <w:t xml:space="preserve"> </w:t>
      </w:r>
      <w:r>
        <w:rPr>
          <w:iCs/>
          <w:i/>
        </w:rPr>
        <w:t xml:space="preserve">KLK3</w:t>
      </w:r>
      <w:r>
        <w:t xml:space="preserve"> </w:t>
      </w:r>
      <w:r>
        <w:t xml:space="preserve">(13,14)</w:t>
      </w:r>
      <w:r>
        <w:t xml:space="preserve"> </w:t>
      </w:r>
      <w:r>
        <w:t xml:space="preserve">as clinical predictors of BCR, and</w:t>
      </w:r>
      <w:r>
        <w:t xml:space="preserve"> </w:t>
      </w:r>
      <w:r>
        <w:t xml:space="preserve">(3) pathological tumor stage, ISUP grade, ComBat-adjusted</w:t>
      </w:r>
      <w:r>
        <w:t xml:space="preserve"> </w:t>
      </w:r>
      <m:oMath>
        <m:r>
          <m:t>l</m:t>
        </m:r>
        <m:r>
          <m:t>o</m:t>
        </m:r>
        <m:sSub>
          <m:e>
            <m:r>
              <m:t>g</m:t>
            </m:r>
          </m:e>
          <m:sub>
            <m:r>
              <m:t>2</m:t>
            </m:r>
          </m:sub>
        </m:sSub>
      </m:oMath>
      <w:r>
        <w:t xml:space="preserve"> </w:t>
      </w:r>
      <w:r>
        <w:rPr>
          <w:iCs/>
          <w:i/>
        </w:rPr>
        <w:t xml:space="preserve">KLK3</w:t>
      </w:r>
      <w:r>
        <w:t xml:space="preserve"> </w:t>
      </w:r>
      <w:r>
        <w:t xml:space="preserve">mRNA levels, as well as the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The models were trained in the pooled GEO cohort with six algorithms (RIDGE regularized Cox proportional hazard regression, Elastic Net regularized Cox proportional hazard regression, LASSO regularized Cox proportional hazard regression, Support Vector Machines [SVM], Random Forest, and Gradient Boosted Machines [GBM])</w:t>
      </w:r>
      <w:r>
        <w:t xml:space="preserve"> </w:t>
      </w:r>
      <w:r>
        <w:t xml:space="preserve">(15–25)</w:t>
      </w:r>
      <w:r>
        <w:t xml:space="preserve">.</w:t>
      </w:r>
      <w:r>
        <w:t xml:space="preserve"> </w:t>
      </w:r>
      <w:r>
        <w:t xml:space="preserve">Performance of the models was evaluated by comparison of the predicted and actual BCR-free survival in the pooled GEO training cohort, and TCGA and DKFZ validation collectives with Harrell’s concordance index and Integrated Brier Scores (</w:t>
      </w:r>
      <w:r>
        <w:rPr>
          <w:bCs/>
          <w:b/>
        </w:rPr>
        <w:t xml:space="preserve">Supplementary Tables S7</w:t>
      </w:r>
      <w:r>
        <w:t xml:space="preserve"> </w:t>
      </w:r>
      <w:r>
        <w:t xml:space="preserve">-</w:t>
      </w:r>
      <w:r>
        <w:t xml:space="preserve"> </w:t>
      </w:r>
      <w:r>
        <w:rPr>
          <w:bCs/>
          <w:b/>
        </w:rPr>
        <w:t xml:space="preserve">S8</w:t>
      </w:r>
      <w:r>
        <w:t xml:space="preserve">).</w:t>
      </w:r>
      <w:r>
        <w:t xml:space="preserve"> </w:t>
      </w:r>
      <w:r>
        <w:t xml:space="preserve">Additionally, BCR-free survival in patients stratified by tertiles of predictor scores returned by the machine learning models was explored with Kaplan-Meier plots and Peto-Peto tests.</w:t>
      </w:r>
      <w:r>
        <w:t xml:space="preserve"> </w:t>
      </w:r>
      <w:r>
        <w:t xml:space="preserve">Finally, confidence and calibration of the models was assessed by plots of Brier Scores for unique follow-up times.</w:t>
      </w:r>
    </w:p>
    <w:bookmarkEnd w:id="30"/>
    <w:bookmarkStart w:id="31" w:name="X5179dd5e81781e46668a99041f12decf6349a27"/>
    <w:p>
      <w:pPr>
        <w:pStyle w:val="Heading2"/>
      </w:pPr>
      <w:r>
        <w:t xml:space="preserve">Multi-parameter modeling of overall survival</w:t>
      </w:r>
    </w:p>
    <w:p>
      <w:pPr>
        <w:pStyle w:val="FirstParagraph"/>
      </w:pPr>
      <w:r>
        <w:t xml:space="preserve">Overall survival of PCA patients was modeled in the GSE16560 watchful waiting cohort</w:t>
      </w:r>
      <w:r>
        <w:t xml:space="preserve"> </w:t>
      </w:r>
      <w:r>
        <w:t xml:space="preserve">(3)</w:t>
      </w:r>
      <w:r>
        <w:t xml:space="preserve">.</w:t>
      </w:r>
      <w:r>
        <w:t xml:space="preserve"> </w:t>
      </w:r>
      <w:r>
        <w:t xml:space="preserve">First- and second-order terms of ComBat-adjusted</w:t>
      </w:r>
      <w:r>
        <w:t xml:space="preserve"> </w:t>
      </w:r>
      <m:oMath>
        <m:r>
          <m:t>l</m:t>
        </m:r>
        <m:r>
          <m:t>o</m:t>
        </m:r>
        <m:sSub>
          <m:e>
            <m:r>
              <m:t>g</m:t>
            </m:r>
          </m:e>
          <m:sub>
            <m:r>
              <m:t>2</m:t>
            </m:r>
          </m:sub>
        </m:sSub>
      </m:oMath>
      <w:r>
        <w:t xml:space="preserve">-transformed expression levels of the collagen-related genes served as explanatory factors.</w:t>
      </w:r>
      <w:r>
        <w:t xml:space="preserve"> </w:t>
      </w:r>
      <w:r>
        <w:t xml:space="preserve">Machine learning models using the algorithms outlined above for the BCR-free survival were trained in a training subset of the GSE16560 cohort, and validated in the test subset.</w:t>
      </w:r>
      <w:r>
        <w:t xml:space="preserve"> </w:t>
      </w:r>
      <w:r>
        <w:t xml:space="preserve">Performance of the models of overall survival was evaluated in the training and test subsets of the GSE16560 cohort as described above for BCR-free survival (</w:t>
      </w:r>
      <w:r>
        <w:rPr>
          <w:bCs/>
          <w:b/>
        </w:rPr>
        <w:t xml:space="preserve">Supplementary Tables S9</w:t>
      </w:r>
      <w:r>
        <w:t xml:space="preserve"> </w:t>
      </w:r>
      <w:r>
        <w:t xml:space="preserve">-</w:t>
      </w:r>
      <w:r>
        <w:t xml:space="preserve"> </w:t>
      </w:r>
      <w:r>
        <w:rPr>
          <w:bCs/>
          <w:b/>
        </w:rPr>
        <w:t xml:space="preserve">S10</w:t>
      </w:r>
      <w:r>
        <w:t xml:space="preserve">).</w:t>
      </w:r>
    </w:p>
    <w:bookmarkEnd w:id="31"/>
    <w:bookmarkStart w:id="33" w:name="data-and-code-availability"/>
    <w:p>
      <w:pPr>
        <w:pStyle w:val="Heading2"/>
      </w:pPr>
      <w:r>
        <w:t xml:space="preserve">Data and code availability</w:t>
      </w:r>
    </w:p>
    <w:p>
      <w:pPr>
        <w:pStyle w:val="FirstParagraph"/>
      </w:pPr>
      <w:r>
        <w:t xml:space="preserve">Publicly available data sets were analyzed: the links are provided in</w:t>
      </w:r>
      <w:r>
        <w:t xml:space="preserve"> </w:t>
      </w:r>
      <w:r>
        <w:rPr>
          <w:bCs/>
          <w:b/>
        </w:rPr>
        <w:t xml:space="preserve">Methods/Transcriptome data sets</w:t>
      </w:r>
      <w:r>
        <w:t xml:space="preserve">.</w:t>
      </w:r>
      <w:r>
        <w:t xml:space="preserve"> </w:t>
      </w:r>
      <w:r>
        <w:t xml:space="preserve">Formatted data sets used for analyses will be made available upon request to the corresponding author.</w:t>
      </w:r>
      <w:r>
        <w:t xml:space="preserve"> </w:t>
      </w:r>
      <w:r>
        <w:t xml:space="preserve">The R analysis pipeline for the transcriptome data is available from GitHub (</w:t>
      </w:r>
      <w:hyperlink r:id="rId32">
        <w:r>
          <w:rPr>
            <w:rStyle w:val="InternetLink"/>
          </w:rPr>
          <w:t xml:space="preserve">https://github.com/PiotrTymoszuk/BCR_collagen</w:t>
        </w:r>
      </w:hyperlink>
      <w:r>
        <w:t xml:space="preserve">).</w:t>
      </w:r>
    </w:p>
    <w:p>
      <w:r>
        <w:br w:type="page"/>
      </w:r>
    </w:p>
    <w:bookmarkEnd w:id="33"/>
    <w:bookmarkEnd w:id="34"/>
    <w:bookmarkStart w:id="41"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36" name="Picture"/>
            <a:graphic>
              <a:graphicData uri="http://schemas.openxmlformats.org/drawingml/2006/picture">
                <pic:pic>
                  <pic:nvPicPr>
                    <pic:cNvPr descr="C:\Users\piotr\Desktop\collagen%20BCR\paper\manuscript_figures_tables_files/figure-docx/fig-uni-mrna-1.png" id="37" name="Picture"/>
                    <pic:cNvPicPr>
                      <a:picLocks noChangeArrowheads="1" noChangeAspect="1"/>
                    </pic:cNvPicPr>
                  </pic:nvPicPr>
                  <pic:blipFill>
                    <a:blip r:embed="rId35"/>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39" name="Picture"/>
            <a:graphic>
              <a:graphicData uri="http://schemas.openxmlformats.org/drawingml/2006/picture">
                <pic:pic>
                  <pic:nvPicPr>
                    <pic:cNvPr descr="C:\Users\piotr\Desktop\collagen%20BCR\paper\manuscript_figures_tables_files/figure-docx/fig-ml-mrna-1.png" id="40" name="Picture"/>
                    <pic:cNvPicPr>
                      <a:picLocks noChangeArrowheads="1" noChangeAspect="1"/>
                    </pic:cNvPicPr>
                  </pic:nvPicPr>
                  <pic:blipFill>
                    <a:blip r:embed="rId38"/>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41"/>
    <w:bookmarkStart w:id="92" w:name="references"/>
    <w:p>
      <w:pPr>
        <w:pStyle w:val="Heading1"/>
      </w:pPr>
      <w:r>
        <w:t xml:space="preserve">References</w:t>
      </w:r>
    </w:p>
    <w:bookmarkStart w:id="91" w:name="refs"/>
    <w:bookmarkStart w:id="43" w:name="ref-Liu2018"/>
    <w:p>
      <w:pPr>
        <w:pStyle w:val="Bibliography"/>
      </w:pPr>
      <w:r>
        <w:t xml:space="preserve">1.</w:t>
      </w:r>
      <w:r>
        <w:t xml:space="preserve"> </w:t>
      </w:r>
      <w:r>
        <w:t xml:space="preserve">	</w:t>
      </w:r>
      <w:r>
        <w:t xml:space="preserve">Liu J, Lichtenberg T, Hoadley KA, Poisson LM, Lazar AJ, Cherniack AD, Kovatich AJ, Benz CC, Levine DA, Lee AV, et al.</w:t>
      </w:r>
      <w:r>
        <w:t xml:space="preserve"> </w:t>
      </w:r>
      <w:r>
        <w:t xml:space="preserve">An Integrated TCGA Pan-Cancer Clinical Data Resource to Drive High-Quality Survival Outcome Analytics</w:t>
      </w:r>
      <w:r>
        <w:t xml:space="preserve">.</w:t>
      </w:r>
      <w:r>
        <w:t xml:space="preserve"> </w:t>
      </w:r>
      <w:r>
        <w:rPr>
          <w:iCs/>
          <w:i/>
        </w:rPr>
        <w:t xml:space="preserve">Cell</w:t>
      </w:r>
      <w:r>
        <w:t xml:space="preserve"> (2018) 173:400–416.e11. doi:</w:t>
      </w:r>
      <w:r>
        <w:t xml:space="preserve"> </w:t>
      </w:r>
      <w:hyperlink r:id="rId42">
        <w:r>
          <w:rPr>
            <w:rStyle w:val="InternetLink"/>
          </w:rPr>
          <w:t xml:space="preserve">10.1016/J.CELL.2018.02.052</w:t>
        </w:r>
      </w:hyperlink>
    </w:p>
    <w:bookmarkEnd w:id="43"/>
    <w:bookmarkStart w:id="45" w:name="ref-Abeshouse2015"/>
    <w:p>
      <w:pPr>
        <w:pStyle w:val="Bibliography"/>
      </w:pPr>
      <w:r>
        <w:t xml:space="preserve">2.</w:t>
      </w:r>
      <w:r>
        <w:t xml:space="preserve"> </w:t>
      </w:r>
      <w:r>
        <w:t xml:space="preserve">	</w:t>
      </w:r>
      <w:r>
        <w:t xml:space="preserve">Abeshouse A, Ahn J, Akbani R, Ally A, Amin S, Andry CD, Annala M, Aprikian A, Armenia J, Arora A, et al.</w:t>
      </w:r>
      <w:r>
        <w:t xml:space="preserve"> </w:t>
      </w:r>
      <w:r>
        <w:t xml:space="preserve">The Molecular Taxonomy of Primary Prostate Cancer</w:t>
      </w:r>
      <w:r>
        <w:t xml:space="preserve">.</w:t>
      </w:r>
      <w:r>
        <w:t xml:space="preserve"> </w:t>
      </w:r>
      <w:r>
        <w:rPr>
          <w:iCs/>
          <w:i/>
        </w:rPr>
        <w:t xml:space="preserve">Cell</w:t>
      </w:r>
      <w:r>
        <w:t xml:space="preserve"> (2015) 163:1011–1025. doi:</w:t>
      </w:r>
      <w:r>
        <w:t xml:space="preserve"> </w:t>
      </w:r>
      <w:hyperlink r:id="rId44">
        <w:r>
          <w:rPr>
            <w:rStyle w:val="InternetLink"/>
          </w:rPr>
          <w:t xml:space="preserve">10.1016/j.cell.2015.10.025</w:t>
        </w:r>
      </w:hyperlink>
    </w:p>
    <w:bookmarkEnd w:id="45"/>
    <w:bookmarkStart w:id="47" w:name="ref-Sboner2010"/>
    <w:p>
      <w:pPr>
        <w:pStyle w:val="Bibliography"/>
      </w:pPr>
      <w:r>
        <w:t xml:space="preserve">3.</w:t>
      </w:r>
      <w:r>
        <w:t xml:space="preserve"> </w:t>
      </w:r>
      <w:r>
        <w:t xml:space="preserve">	</w:t>
      </w:r>
      <w:r>
        <w:t xml:space="preserve">Sboner A, Demichelis F, Calza S, Pawitan Y, Setlur SR, Hoshida Y, Perner S, Adami HO, Fall K, Mucci LA, et al.</w:t>
      </w:r>
      <w:r>
        <w:t xml:space="preserve"> </w:t>
      </w:r>
      <w:r>
        <w:t xml:space="preserve">Molecular sampling of prostate cancer: A dilemma for predicting disease progression</w:t>
      </w:r>
      <w:r>
        <w:t xml:space="preserve">.</w:t>
      </w:r>
      <w:r>
        <w:t xml:space="preserve"> </w:t>
      </w:r>
      <w:r>
        <w:rPr>
          <w:iCs/>
          <w:i/>
        </w:rPr>
        <w:t xml:space="preserve">BMC Medical Genomics</w:t>
      </w:r>
      <w:r>
        <w:t xml:space="preserve"> (2010) 3: doi:</w:t>
      </w:r>
      <w:r>
        <w:t xml:space="preserve"> </w:t>
      </w:r>
      <w:hyperlink r:id="rId46">
        <w:r>
          <w:rPr>
            <w:rStyle w:val="InternetLink"/>
          </w:rPr>
          <w:t xml:space="preserve">10.1186/1755-8794-3-8</w:t>
        </w:r>
      </w:hyperlink>
    </w:p>
    <w:bookmarkEnd w:id="47"/>
    <w:bookmarkStart w:id="49" w:name="ref-Long2014"/>
    <w:p>
      <w:pPr>
        <w:pStyle w:val="Bibliography"/>
      </w:pPr>
      <w:r>
        <w:t xml:space="preserve">4.</w:t>
      </w:r>
      <w:r>
        <w:t xml:space="preserve"> </w:t>
      </w:r>
      <w:r>
        <w:t xml:space="preserve">	</w:t>
      </w:r>
      <w:r>
        <w:t xml:space="preserve">Long Q, Xu J, Osunkoya AO, Sannigrahi S, Johnson BA, Zhou W, Gillespie T, Park JY, Nam RK, Sugar L, et al.</w:t>
      </w:r>
      <w:r>
        <w:t xml:space="preserve"> </w:t>
      </w:r>
      <w:r>
        <w:t xml:space="preserve">Global transcriptome analysis of formalin-fixed prostate cancer specimens identifies biomarkers of disease recurrence</w:t>
      </w:r>
      <w:r>
        <w:t xml:space="preserve">.</w:t>
      </w:r>
      <w:r>
        <w:t xml:space="preserve"> </w:t>
      </w:r>
      <w:r>
        <w:rPr>
          <w:iCs/>
          <w:i/>
        </w:rPr>
        <w:t xml:space="preserve">Cancer research</w:t>
      </w:r>
      <w:r>
        <w:t xml:space="preserve"> (2014) 74:3228–3237. doi:</w:t>
      </w:r>
      <w:r>
        <w:t xml:space="preserve"> </w:t>
      </w:r>
      <w:hyperlink r:id="rId48">
        <w:r>
          <w:rPr>
            <w:rStyle w:val="InternetLink"/>
          </w:rPr>
          <w:t xml:space="preserve">10.1158/0008-5472.CAN-13-2699</w:t>
        </w:r>
      </w:hyperlink>
    </w:p>
    <w:bookmarkEnd w:id="49"/>
    <w:bookmarkStart w:id="51" w:name="ref-Ross-Adams2015"/>
    <w:p>
      <w:pPr>
        <w:pStyle w:val="Bibliography"/>
      </w:pPr>
      <w:r>
        <w:t xml:space="preserve">5.</w:t>
      </w:r>
      <w:r>
        <w:t xml:space="preserve"> </w:t>
      </w:r>
      <w:r>
        <w:t xml:space="preserve">	</w:t>
      </w:r>
      <w:r>
        <w:t xml:space="preserve">Ross-Adams H, Lamb A, Dunning M, Halim S, Lindberg J, Massie C, Egevad L, Russell R, Ramos-Montoya A, Vowler S, et al.</w:t>
      </w:r>
      <w:r>
        <w:t xml:space="preserve"> </w:t>
      </w:r>
      <w:r>
        <w:t xml:space="preserve">Integration of copy number and transcriptomics provides risk stratification in prostate cancer: A discovery and validation cohort study</w:t>
      </w:r>
      <w:r>
        <w:t xml:space="preserve">.</w:t>
      </w:r>
      <w:r>
        <w:t xml:space="preserve"> </w:t>
      </w:r>
      <w:r>
        <w:rPr>
          <w:iCs/>
          <w:i/>
        </w:rPr>
        <w:t xml:space="preserve">EBioMedicine</w:t>
      </w:r>
      <w:r>
        <w:t xml:space="preserve"> (2015) 2:1133–1144. doi:</w:t>
      </w:r>
      <w:r>
        <w:t xml:space="preserve"> </w:t>
      </w:r>
      <w:hyperlink r:id="rId50">
        <w:r>
          <w:rPr>
            <w:rStyle w:val="InternetLink"/>
          </w:rPr>
          <w:t xml:space="preserve">10.1016/j.ebiom.2015.07.017</w:t>
        </w:r>
      </w:hyperlink>
    </w:p>
    <w:bookmarkEnd w:id="51"/>
    <w:bookmarkStart w:id="53" w:name="ref-Schimmelpfennig2023"/>
    <w:p>
      <w:pPr>
        <w:pStyle w:val="Bibliography"/>
      </w:pPr>
      <w:r>
        <w:t xml:space="preserve">6.</w:t>
      </w:r>
      <w:r>
        <w:t xml:space="preserve"> </w:t>
      </w:r>
      <w:r>
        <w:t xml:space="preserve">	</w:t>
      </w:r>
      <w:r>
        <w:t xml:space="preserve">Schimmelpfennig C, Rade M, Füssel S, Löffler D, Blumert C, Bertram C, Borkowetz A, Otto DJ, Puppel SH, Hönscheid P, et al.</w:t>
      </w:r>
      <w:r>
        <w:t xml:space="preserve"> </w:t>
      </w:r>
      <w:r>
        <w:t xml:space="preserve">Characterization and evaluation of gene fusions as a measure of genetic instability and disease prognosis in prostate cancer</w:t>
      </w:r>
      <w:r>
        <w:t xml:space="preserve">.</w:t>
      </w:r>
      <w:r>
        <w:t xml:space="preserve"> </w:t>
      </w:r>
      <w:r>
        <w:rPr>
          <w:iCs/>
          <w:i/>
        </w:rPr>
        <w:t xml:space="preserve">BMC cancer</w:t>
      </w:r>
      <w:r>
        <w:t xml:space="preserve"> (2023) 23: doi:</w:t>
      </w:r>
      <w:r>
        <w:t xml:space="preserve"> </w:t>
      </w:r>
      <w:hyperlink r:id="rId52">
        <w:r>
          <w:rPr>
            <w:rStyle w:val="InternetLink"/>
          </w:rPr>
          <w:t xml:space="preserve">10.1186/S12885-023-11019-6</w:t>
        </w:r>
      </w:hyperlink>
    </w:p>
    <w:bookmarkEnd w:id="53"/>
    <w:bookmarkStart w:id="55" w:name="ref-Gerhauser2018"/>
    <w:p>
      <w:pPr>
        <w:pStyle w:val="Bibliography"/>
      </w:pPr>
      <w:r>
        <w:t xml:space="preserve">7.</w:t>
      </w:r>
      <w:r>
        <w:t xml:space="preserve"> </w:t>
      </w:r>
      <w:r>
        <w:t xml:space="preserve">	</w:t>
      </w:r>
      <w:r>
        <w:t xml:space="preserve">Gerhauser C, Favero F, Risch T, Simon R, Feuerbach L, Assenov Y, Heckmann D, Sidiropoulos N, Waszak SM, Hübschmann D, et al.</w:t>
      </w:r>
      <w:r>
        <w:t xml:space="preserve"> </w:t>
      </w:r>
      <w:r>
        <w:t xml:space="preserve">Molecular Evolution of Early-Onset Prostate Cancer Identifies Molecular Risk Markers and Clinical Trajectories</w:t>
      </w:r>
      <w:r>
        <w:t xml:space="preserve">.</w:t>
      </w:r>
      <w:r>
        <w:t xml:space="preserve"> </w:t>
      </w:r>
      <w:r>
        <w:rPr>
          <w:iCs/>
          <w:i/>
        </w:rPr>
        <w:t xml:space="preserve">Cancer cell</w:t>
      </w:r>
      <w:r>
        <w:t xml:space="preserve"> (2018) 34:996–1011.e8. doi:</w:t>
      </w:r>
      <w:r>
        <w:t xml:space="preserve"> </w:t>
      </w:r>
      <w:hyperlink r:id="rId54">
        <w:r>
          <w:rPr>
            <w:rStyle w:val="InternetLink"/>
          </w:rPr>
          <w:t xml:space="preserve">10.1016/J.CCELL.2018.10.016</w:t>
        </w:r>
      </w:hyperlink>
    </w:p>
    <w:bookmarkEnd w:id="55"/>
    <w:bookmarkStart w:id="57" w:name="ref-Heidegger2024"/>
    <w:p>
      <w:pPr>
        <w:pStyle w:val="Bibliography"/>
      </w:pPr>
      <w:r>
        <w:t xml:space="preserve">8.</w:t>
      </w:r>
      <w:r>
        <w:t xml:space="preserve"> </w:t>
      </w:r>
      <w:r>
        <w:t xml:space="preserve">	</w:t>
      </w:r>
      <w:r>
        <w:t xml:space="preserve">Heidegger I, Frantzi M, Salcher S, Tymoszuk P, Martowicz A, Gomez-Gomez E, Blanca A, Lendinez Cano G, Latosinska A, Mischak H, et al.</w:t>
      </w:r>
      <w:r>
        <w:t xml:space="preserve"> </w:t>
      </w:r>
      <w:r>
        <w:t xml:space="preserve">Prediction of Clinically Significant Prostate Cancer by a Specific Collagen-related Transcriptome, Proteome, and Urinome Signature</w:t>
      </w:r>
      <w:r>
        <w:t xml:space="preserve">.</w:t>
      </w:r>
      <w:r>
        <w:t xml:space="preserve"> </w:t>
      </w:r>
      <w:r>
        <w:rPr>
          <w:iCs/>
          <w:i/>
        </w:rPr>
        <w:t xml:space="preserve">European urology oncology</w:t>
      </w:r>
      <w:r>
        <w:t xml:space="preserve"> (2024) doi:</w:t>
      </w:r>
      <w:r>
        <w:t xml:space="preserve"> </w:t>
      </w:r>
      <w:hyperlink r:id="rId56">
        <w:r>
          <w:rPr>
            <w:rStyle w:val="InternetLink"/>
          </w:rPr>
          <w:t xml:space="preserve">10.1016/J.EUO.2024.05.014</w:t>
        </w:r>
      </w:hyperlink>
    </w:p>
    <w:bookmarkEnd w:id="57"/>
    <w:bookmarkStart w:id="59" w:name="ref-Leek2012"/>
    <w:p>
      <w:pPr>
        <w:pStyle w:val="Bibliography"/>
      </w:pPr>
      <w:r>
        <w:t xml:space="preserve">9.</w:t>
      </w:r>
      <w:r>
        <w:t xml:space="preserve"> </w:t>
      </w:r>
      <w:r>
        <w:t xml:space="preserve">	</w:t>
      </w:r>
      <w:r>
        <w:t xml:space="preserve">Leek JT, Johnson WE, Parker HS, Jaffe AE, Storey JD.</w:t>
      </w:r>
      <w:r>
        <w:t xml:space="preserve"> </w:t>
      </w:r>
      <w:r>
        <w:t xml:space="preserve">The sva package for removing batch effects and other unwanted variation in high-throughput experiments</w:t>
      </w:r>
      <w:r>
        <w:t xml:space="preserve">.</w:t>
      </w:r>
      <w:r>
        <w:t xml:space="preserve"> </w:t>
      </w:r>
      <w:r>
        <w:rPr>
          <w:iCs/>
          <w:i/>
        </w:rPr>
        <w:t xml:space="preserve">Bioinformatics</w:t>
      </w:r>
      <w:r>
        <w:t xml:space="preserve"> (2012) 28:882. doi:</w:t>
      </w:r>
      <w:r>
        <w:t xml:space="preserve"> </w:t>
      </w:r>
      <w:hyperlink r:id="rId58">
        <w:r>
          <w:rPr>
            <w:rStyle w:val="InternetLink"/>
          </w:rPr>
          <w:t xml:space="preserve">10.1093/BIOINFORMATICS/BTS034</w:t>
        </w:r>
      </w:hyperlink>
    </w:p>
    <w:bookmarkEnd w:id="59"/>
    <w:bookmarkStart w:id="61" w:name="ref-Csardi2006"/>
    <w:p>
      <w:pPr>
        <w:pStyle w:val="Bibliography"/>
      </w:pPr>
      <w:r>
        <w:t xml:space="preserve">10.</w:t>
      </w:r>
      <w:r>
        <w:t xml:space="preserve"> </w:t>
      </w:r>
      <w:r>
        <w:t xml:space="preserve">	</w:t>
      </w:r>
      <w:r>
        <w:t xml:space="preserve">Csardi G, Nepusz T.</w:t>
      </w:r>
      <w:r>
        <w:t xml:space="preserve"> </w:t>
      </w:r>
      <w:r>
        <w:t xml:space="preserve">The igraph software package for complex network research</w:t>
      </w:r>
      <w:r>
        <w:t xml:space="preserve">.</w:t>
      </w:r>
      <w:r>
        <w:t xml:space="preserve"> </w:t>
      </w:r>
      <w:r>
        <w:rPr>
          <w:iCs/>
          <w:i/>
        </w:rPr>
        <w:t xml:space="preserve">InterJournal</w:t>
      </w:r>
      <w:r>
        <w:t xml:space="preserve"> (2006) Complex Sy:1695.</w:t>
      </w:r>
      <w:r>
        <w:t xml:space="preserve"> </w:t>
      </w:r>
      <w:hyperlink r:id="rId60">
        <w:r>
          <w:rPr>
            <w:rStyle w:val="InternetLink"/>
          </w:rPr>
          <w:t xml:space="preserve">https://igraph.org</w:t>
        </w:r>
      </w:hyperlink>
    </w:p>
    <w:bookmarkEnd w:id="61"/>
    <w:bookmarkStart w:id="63" w:name="ref-Harrell1996"/>
    <w:p>
      <w:pPr>
        <w:pStyle w:val="Bibliography"/>
      </w:pPr>
      <w:r>
        <w:t xml:space="preserve">11.</w:t>
      </w:r>
      <w:r>
        <w:t xml:space="preserve"> </w:t>
      </w:r>
      <w:r>
        <w:t xml:space="preserve">	</w:t>
      </w:r>
      <w:r>
        <w:t xml:space="preserve">Harrell FE, Lee KL, Mark DB.</w:t>
      </w:r>
      <w:r>
        <w:t xml:space="preserve"> </w:t>
      </w:r>
      <w:r>
        <w:t xml:space="preserve">Multivariable prognostic models: Issues in developing models, evaluating assumptions and adequacy, and measuring and reducing errors</w:t>
      </w:r>
      <w:r>
        <w:t xml:space="preserve">.</w:t>
      </w:r>
      <w:r>
        <w:t xml:space="preserve"> </w:t>
      </w:r>
      <w:r>
        <w:rPr>
          <w:iCs/>
          <w:i/>
        </w:rPr>
        <w:t xml:space="preserve">Statistics in Medicine</w:t>
      </w:r>
      <w:r>
        <w:t xml:space="preserve"> (1996) 15:361–387. doi:</w:t>
      </w:r>
      <w:r>
        <w:t xml:space="preserve"> </w:t>
      </w:r>
      <w:hyperlink r:id="rId62">
        <w:r>
          <w:rPr>
            <w:rStyle w:val="InternetLink"/>
          </w:rPr>
          <w:t xml:space="preserve">10.1002/(SICI)1097-0258(19960229)15:4&lt;361::AID-SIM168&gt;3.0.CO;2-4</w:t>
        </w:r>
      </w:hyperlink>
    </w:p>
    <w:bookmarkEnd w:id="63"/>
    <w:bookmarkStart w:id="65" w:name="ref-Graf1999"/>
    <w:p>
      <w:pPr>
        <w:pStyle w:val="Bibliography"/>
      </w:pPr>
      <w:r>
        <w:t xml:space="preserve">12.</w:t>
      </w:r>
      <w:r>
        <w:t xml:space="preserve"> </w:t>
      </w:r>
      <w:r>
        <w:t xml:space="preserve">	</w:t>
      </w:r>
      <w:r>
        <w:t xml:space="preserve">Graf E, Schmoor C, Sauerbrei W, Schumacher M.</w:t>
      </w:r>
      <w:r>
        <w:t xml:space="preserve"> </w:t>
      </w:r>
      <w:r>
        <w:t xml:space="preserve">Assessment and comparison of prognostic classification schemes for survival data.</w:t>
      </w:r>
      <w:r>
        <w:t xml:space="preserve"> </w:t>
      </w:r>
      <w:r>
        <w:rPr>
          <w:iCs/>
          <w:i/>
        </w:rPr>
        <w:t xml:space="preserve">Statistics in Medicine</w:t>
      </w:r>
      <w:r>
        <w:t xml:space="preserve"> (1999) 18:2529–2545. doi:</w:t>
      </w:r>
      <w:r>
        <w:t xml:space="preserve"> </w:t>
      </w:r>
      <w:hyperlink r:id="rId64">
        <w:r>
          <w:rPr>
            <w:rStyle w:val="InternetLink"/>
          </w:rPr>
          <w:t xml:space="preserve">10.1002/(sici)1097-0258(19990915/30)18:17/18&lt;2529::aid-sim274&gt;3.0.co;2-5</w:t>
        </w:r>
      </w:hyperlink>
    </w:p>
    <w:bookmarkEnd w:id="65"/>
    <w:bookmarkStart w:id="67" w:name="ref-Lunger2021"/>
    <w:p>
      <w:pPr>
        <w:pStyle w:val="Bibliography"/>
      </w:pPr>
      <w:r>
        <w:t xml:space="preserve">13.</w:t>
      </w:r>
      <w:r>
        <w:t xml:space="preserve"> </w:t>
      </w:r>
      <w:r>
        <w:t xml:space="preserve">	</w:t>
      </w:r>
      <w:r>
        <w:t xml:space="preserve">Lunger L, Retz M, Bandur M, Souchay M, Vitzthum E, Jäger M, Weirich G, Schuster T, Autenrieth M, Kübler H, et al.</w:t>
      </w:r>
      <w:r>
        <w:t xml:space="preserve"> </w:t>
      </w:r>
      <w:r>
        <w:t xml:space="preserve">KLK3 and TMPRSS2 for molecular lymph-node staging in prostate cancer patients undergoing radical prostatectomy</w:t>
      </w:r>
      <w:r>
        <w:t xml:space="preserve">.</w:t>
      </w:r>
      <w:r>
        <w:t xml:space="preserve"> </w:t>
      </w:r>
      <w:r>
        <w:rPr>
          <w:iCs/>
          <w:i/>
        </w:rPr>
        <w:t xml:space="preserve">Prostate cancer and prostatic diseases</w:t>
      </w:r>
      <w:r>
        <w:t xml:space="preserve"> (2021) 24:362–369. doi:</w:t>
      </w:r>
      <w:r>
        <w:t xml:space="preserve"> </w:t>
      </w:r>
      <w:hyperlink r:id="rId66">
        <w:r>
          <w:rPr>
            <w:rStyle w:val="InternetLink"/>
          </w:rPr>
          <w:t xml:space="preserve">10.1038/S41391-020-00283-3</w:t>
        </w:r>
      </w:hyperlink>
    </w:p>
    <w:bookmarkEnd w:id="67"/>
    <w:bookmarkStart w:id="69" w:name="ref-Boyukozer2020"/>
    <w:p>
      <w:pPr>
        <w:pStyle w:val="Bibliography"/>
      </w:pPr>
      <w:r>
        <w:t xml:space="preserve">14.</w:t>
      </w:r>
      <w:r>
        <w:t xml:space="preserve"> </w:t>
      </w:r>
      <w:r>
        <w:t xml:space="preserve">	</w:t>
      </w:r>
      <w:r>
        <w:t xml:space="preserve">Boyukozer FB, Tanoglu EG, Ozen M, Ittmann M, Aslan ES.</w:t>
      </w:r>
      <w:r>
        <w:t xml:space="preserve"> </w:t>
      </w:r>
      <w:r>
        <w:t xml:space="preserve">Kallikrein gene family as biomarkers for recurrent prostate cancer</w:t>
      </w:r>
      <w:r>
        <w:t xml:space="preserve">.</w:t>
      </w:r>
      <w:r>
        <w:t xml:space="preserve"> </w:t>
      </w:r>
      <w:r>
        <w:rPr>
          <w:iCs/>
          <w:i/>
        </w:rPr>
        <w:t xml:space="preserve">Croatian Medical Journal</w:t>
      </w:r>
      <w:r>
        <w:t xml:space="preserve"> (2020) 61:450. doi:</w:t>
      </w:r>
      <w:r>
        <w:t xml:space="preserve"> </w:t>
      </w:r>
      <w:hyperlink r:id="rId68">
        <w:r>
          <w:rPr>
            <w:rStyle w:val="InternetLink"/>
          </w:rPr>
          <w:t xml:space="preserve">10.3325/CMJ.2020.61.450</w:t>
        </w:r>
      </w:hyperlink>
    </w:p>
    <w:bookmarkEnd w:id="69"/>
    <w:bookmarkStart w:id="71" w:name="ref-Simon2011"/>
    <w:p>
      <w:pPr>
        <w:pStyle w:val="Bibliography"/>
      </w:pPr>
      <w:r>
        <w:t xml:space="preserve">15.</w:t>
      </w:r>
      <w:r>
        <w:t xml:space="preserve"> </w:t>
      </w:r>
      <w:r>
        <w:t xml:space="preserve">	</w:t>
      </w:r>
      <w:r>
        <w:t xml:space="preserve">Simon N, Friedman J, Hastie T, Tibshirani R.</w:t>
      </w:r>
      <w:r>
        <w:t xml:space="preserve"> </w:t>
      </w:r>
      <w:r>
        <w:t xml:space="preserve">Regularization Paths for Cox’s Proportional Hazards Model via Coordinate Descent</w:t>
      </w:r>
      <w:r>
        <w:t xml:space="preserve">.</w:t>
      </w:r>
      <w:r>
        <w:t xml:space="preserve"> </w:t>
      </w:r>
      <w:r>
        <w:rPr>
          <w:iCs/>
          <w:i/>
        </w:rPr>
        <w:t xml:space="preserve">Journal of Statistical Software</w:t>
      </w:r>
      <w:r>
        <w:t xml:space="preserve"> (2011) 39:1–13. doi:</w:t>
      </w:r>
      <w:r>
        <w:t xml:space="preserve"> </w:t>
      </w:r>
      <w:hyperlink r:id="rId70">
        <w:r>
          <w:rPr>
            <w:rStyle w:val="InternetLink"/>
          </w:rPr>
          <w:t xml:space="preserve">10.18637/JSS.V039.I05</w:t>
        </w:r>
      </w:hyperlink>
    </w:p>
    <w:bookmarkEnd w:id="71"/>
    <w:bookmarkStart w:id="73" w:name="ref-Tibshirani1996"/>
    <w:p>
      <w:pPr>
        <w:pStyle w:val="Bibliography"/>
      </w:pPr>
      <w:r>
        <w:t xml:space="preserve">16.</w:t>
      </w:r>
      <w:r>
        <w:t xml:space="preserve"> </w:t>
      </w:r>
      <w:r>
        <w:t xml:space="preserve">	</w:t>
      </w:r>
      <w:r>
        <w:t xml:space="preserve">Tibshirani R.</w:t>
      </w:r>
      <w:r>
        <w:t xml:space="preserve"> </w:t>
      </w:r>
      <w:r>
        <w:t xml:space="preserve">Regression Shrinkage and Selection via the Lasso</w:t>
      </w:r>
      <w:r>
        <w:t xml:space="preserve">.</w:t>
      </w:r>
      <w:r>
        <w:t xml:space="preserve"> </w:t>
      </w:r>
      <w:r>
        <w:rPr>
          <w:iCs/>
          <w:i/>
        </w:rPr>
        <w:t xml:space="preserve">Journal of the Royal Statistical Society Series B (Methodological)</w:t>
      </w:r>
      <w:r>
        <w:t xml:space="preserve"> (1996) 58:267–288. doi:</w:t>
      </w:r>
      <w:r>
        <w:t xml:space="preserve"> </w:t>
      </w:r>
      <w:hyperlink r:id="rId72">
        <w:r>
          <w:rPr>
            <w:rStyle w:val="InternetLink"/>
          </w:rPr>
          <w:t xml:space="preserve">10.1111/j.2517-6161.1996.tb02080.x</w:t>
        </w:r>
      </w:hyperlink>
    </w:p>
    <w:bookmarkEnd w:id="73"/>
    <w:bookmarkStart w:id="75" w:name="ref-Zou2005"/>
    <w:p>
      <w:pPr>
        <w:pStyle w:val="Bibliography"/>
      </w:pPr>
      <w:r>
        <w:t xml:space="preserve">17.</w:t>
      </w:r>
      <w:r>
        <w:t xml:space="preserve"> </w:t>
      </w:r>
      <w:r>
        <w:t xml:space="preserve">	</w:t>
      </w:r>
      <w:r>
        <w:t xml:space="preserve">Zou H, Hastie T.</w:t>
      </w:r>
      <w:r>
        <w:t xml:space="preserve"> </w:t>
      </w:r>
      <w:r>
        <w:t xml:space="preserve">Regularization and variable selection via the elastic net</w:t>
      </w:r>
      <w:r>
        <w:t xml:space="preserve">.</w:t>
      </w:r>
      <w:r>
        <w:t xml:space="preserve"> </w:t>
      </w:r>
      <w:r>
        <w:rPr>
          <w:iCs/>
          <w:i/>
        </w:rPr>
        <w:t xml:space="preserve">Journal of the Royal Statistical Society Series B: Statistical Methodology</w:t>
      </w:r>
      <w:r>
        <w:t xml:space="preserve"> (2005) 67:301–320. doi:</w:t>
      </w:r>
      <w:r>
        <w:t xml:space="preserve"> </w:t>
      </w:r>
      <w:hyperlink r:id="rId74">
        <w:r>
          <w:rPr>
            <w:rStyle w:val="InternetLink"/>
          </w:rPr>
          <w:t xml:space="preserve">10.1111/j.1467-9868.2005.00503.x</w:t>
        </w:r>
      </w:hyperlink>
    </w:p>
    <w:bookmarkEnd w:id="75"/>
    <w:bookmarkStart w:id="77" w:name="ref-Friedman2010"/>
    <w:p>
      <w:pPr>
        <w:pStyle w:val="Bibliography"/>
      </w:pPr>
      <w:r>
        <w:t xml:space="preserve">18.</w:t>
      </w:r>
      <w:r>
        <w:t xml:space="preserve"> </w:t>
      </w:r>
      <w:r>
        <w:t xml:space="preserve">	</w:t>
      </w:r>
      <w:r>
        <w:t xml:space="preserve">Friedman J, Hastie T, Tibshirani R.</w:t>
      </w:r>
      <w:r>
        <w:t xml:space="preserve"> </w:t>
      </w:r>
      <w:r>
        <w:t xml:space="preserve">Regularization paths for generalized linear models via coordinate descent</w:t>
      </w:r>
      <w:r>
        <w:t xml:space="preserve">.</w:t>
      </w:r>
      <w:r>
        <w:t xml:space="preserve"> </w:t>
      </w:r>
      <w:r>
        <w:rPr>
          <w:iCs/>
          <w:i/>
        </w:rPr>
        <w:t xml:space="preserve">Journal of Statistical Software</w:t>
      </w:r>
      <w:r>
        <w:t xml:space="preserve"> (2010) 33:1–22. doi:</w:t>
      </w:r>
      <w:r>
        <w:t xml:space="preserve"> </w:t>
      </w:r>
      <w:hyperlink r:id="rId76">
        <w:r>
          <w:rPr>
            <w:rStyle w:val="InternetLink"/>
          </w:rPr>
          <w:t xml:space="preserve">10.18637/jss.v033.i01</w:t>
        </w:r>
      </w:hyperlink>
    </w:p>
    <w:bookmarkEnd w:id="77"/>
    <w:bookmarkStart w:id="79" w:name="ref-Fouodo2018"/>
    <w:p>
      <w:pPr>
        <w:pStyle w:val="Bibliography"/>
      </w:pPr>
      <w:r>
        <w:t xml:space="preserve">19.</w:t>
      </w:r>
      <w:r>
        <w:t xml:space="preserve"> </w:t>
      </w:r>
      <w:r>
        <w:t xml:space="preserve">	</w:t>
      </w:r>
      <w:r>
        <w:t xml:space="preserve">Fouodo CJK, König IR, Weihs C, Ziegler A, Wright MN.</w:t>
      </w:r>
      <w:r>
        <w:t xml:space="preserve"> </w:t>
      </w:r>
      <w:r>
        <w:t xml:space="preserve">Support vector machines for survival analysis with R</w:t>
      </w:r>
      <w:r>
        <w:t xml:space="preserve">.</w:t>
      </w:r>
      <w:r>
        <w:t xml:space="preserve"> </w:t>
      </w:r>
      <w:r>
        <w:rPr>
          <w:iCs/>
          <w:i/>
        </w:rPr>
        <w:t xml:space="preserve">R Journal</w:t>
      </w:r>
      <w:r>
        <w:t xml:space="preserve"> (2018) 10:412–423. doi:</w:t>
      </w:r>
      <w:r>
        <w:t xml:space="preserve"> </w:t>
      </w:r>
      <w:hyperlink r:id="rId78">
        <w:r>
          <w:rPr>
            <w:rStyle w:val="InternetLink"/>
          </w:rPr>
          <w:t xml:space="preserve">10.32614/RJ-2018-005</w:t>
        </w:r>
      </w:hyperlink>
    </w:p>
    <w:bookmarkEnd w:id="79"/>
    <w:bookmarkStart w:id="80" w:name="ref-Weston1998"/>
    <w:p>
      <w:pPr>
        <w:pStyle w:val="Bibliography"/>
      </w:pPr>
      <w:r>
        <w:t xml:space="preserve">20.</w:t>
      </w:r>
      <w:r>
        <w:t xml:space="preserve"> </w:t>
      </w:r>
      <w:r>
        <w:t xml:space="preserve">	</w:t>
      </w:r>
      <w:r>
        <w:t xml:space="preserve">Weston J, Watkins C.</w:t>
      </w:r>
      <w:r>
        <w:t xml:space="preserve"> </w:t>
      </w:r>
      <w:r>
        <w:t xml:space="preserve">Multi-Class Support Vector Machines</w:t>
      </w:r>
      <w:r>
        <w:t xml:space="preserve">. (1998)</w:t>
      </w:r>
    </w:p>
    <w:bookmarkEnd w:id="80"/>
    <w:bookmarkStart w:id="82" w:name="ref-Breiman2001"/>
    <w:p>
      <w:pPr>
        <w:pStyle w:val="Bibliography"/>
      </w:pPr>
      <w:r>
        <w:t xml:space="preserve">21.</w:t>
      </w:r>
      <w:r>
        <w:t xml:space="preserve"> </w:t>
      </w:r>
      <w:r>
        <w:t xml:space="preserve">	</w:t>
      </w:r>
      <w:r>
        <w:t xml:space="preserve">Breiman L.</w:t>
      </w:r>
      <w:r>
        <w:t xml:space="preserve"> </w:t>
      </w:r>
      <w:r>
        <w:t xml:space="preserve">Random forests</w:t>
      </w:r>
      <w:r>
        <w:t xml:space="preserve">.</w:t>
      </w:r>
      <w:r>
        <w:t xml:space="preserve"> </w:t>
      </w:r>
      <w:r>
        <w:rPr>
          <w:iCs/>
          <w:i/>
        </w:rPr>
        <w:t xml:space="preserve">Machine Learning</w:t>
      </w:r>
      <w:r>
        <w:t xml:space="preserve"> (2001) 45:5–32. doi:</w:t>
      </w:r>
      <w:r>
        <w:t xml:space="preserve"> </w:t>
      </w:r>
      <w:hyperlink r:id="rId81">
        <w:r>
          <w:rPr>
            <w:rStyle w:val="InternetLink"/>
          </w:rPr>
          <w:t xml:space="preserve">10.1023/A:1010933404324</w:t>
        </w:r>
      </w:hyperlink>
    </w:p>
    <w:bookmarkEnd w:id="82"/>
    <w:bookmarkStart w:id="84" w:name="ref-Ishwaran2008"/>
    <w:p>
      <w:pPr>
        <w:pStyle w:val="Bibliography"/>
      </w:pPr>
      <w:r>
        <w:t xml:space="preserve">22.</w:t>
      </w:r>
      <w:r>
        <w:t xml:space="preserve"> </w:t>
      </w:r>
      <w:r>
        <w:t xml:space="preserve">	</w:t>
      </w:r>
      <w:r>
        <w:t xml:space="preserve">Ishwaran H, Kogalur UB, Blackstone EH, Lauer MS.</w:t>
      </w:r>
      <w:r>
        <w:t xml:space="preserve"> </w:t>
      </w:r>
      <w:r>
        <w:t xml:space="preserve">Random survival forests</w:t>
      </w:r>
      <w:r>
        <w:t xml:space="preserve">.</w:t>
      </w:r>
      <w:r>
        <w:t xml:space="preserve"> </w:t>
      </w:r>
      <w:r>
        <w:rPr>
          <w:iCs/>
          <w:i/>
        </w:rPr>
        <w:t xml:space="preserve">https://doiorg/101214/08-AOAS169</w:t>
      </w:r>
      <w:r>
        <w:t xml:space="preserve"> (2008) 2:841–860. doi:</w:t>
      </w:r>
      <w:r>
        <w:t xml:space="preserve"> </w:t>
      </w:r>
      <w:hyperlink r:id="rId83">
        <w:r>
          <w:rPr>
            <w:rStyle w:val="InternetLink"/>
          </w:rPr>
          <w:t xml:space="preserve">10.1214/08-AOAS169</w:t>
        </w:r>
      </w:hyperlink>
    </w:p>
    <w:bookmarkEnd w:id="84"/>
    <w:bookmarkStart w:id="86" w:name="ref-Friedman2001"/>
    <w:p>
      <w:pPr>
        <w:pStyle w:val="Bibliography"/>
      </w:pPr>
      <w:r>
        <w:t xml:space="preserve">23.</w:t>
      </w:r>
      <w:r>
        <w:t xml:space="preserve"> </w:t>
      </w:r>
      <w:r>
        <w:t xml:space="preserve">	</w:t>
      </w:r>
      <w:r>
        <w:t xml:space="preserve">Friedman JH.</w:t>
      </w:r>
      <w:r>
        <w:t xml:space="preserve"> </w:t>
      </w:r>
      <w:r>
        <w:t xml:space="preserve">Greedy function approximation: A gradient boosting machine.</w:t>
      </w:r>
      <w:r>
        <w:t xml:space="preserve"> </w:t>
      </w:r>
      <w:r>
        <w:rPr>
          <w:iCs/>
          <w:i/>
        </w:rPr>
        <w:t xml:space="preserve">https://doiorg/101214/aos/1013203451</w:t>
      </w:r>
      <w:r>
        <w:t xml:space="preserve"> (2001) 29:1189–1232. doi:</w:t>
      </w:r>
      <w:r>
        <w:t xml:space="preserve"> </w:t>
      </w:r>
      <w:hyperlink r:id="rId85">
        <w:r>
          <w:rPr>
            <w:rStyle w:val="InternetLink"/>
          </w:rPr>
          <w:t xml:space="preserve">10.1214/AOS/1013203451</w:t>
        </w:r>
      </w:hyperlink>
    </w:p>
    <w:bookmarkEnd w:id="86"/>
    <w:bookmarkStart w:id="88" w:name="ref-Greenwell2022"/>
    <w:p>
      <w:pPr>
        <w:pStyle w:val="Bibliography"/>
      </w:pPr>
      <w:r>
        <w:t xml:space="preserve">24.</w:t>
      </w:r>
      <w:r>
        <w:t xml:space="preserve"> </w:t>
      </w:r>
      <w:r>
        <w:t xml:space="preserve">	</w:t>
      </w:r>
      <w:r>
        <w:t xml:space="preserve">Greenwell B, Boehmke B, Cunningham J, Developers G.</w:t>
      </w:r>
      <w:r>
        <w:t xml:space="preserve"> </w:t>
      </w:r>
      <w:r>
        <w:t xml:space="preserve">gbm: Generalized Boosted Regression Models</w:t>
      </w:r>
      <w:r>
        <w:t xml:space="preserve">. (2022)</w:t>
      </w:r>
      <w:r>
        <w:t xml:space="preserve"> </w:t>
      </w:r>
      <w:hyperlink r:id="rId87">
        <w:r>
          <w:rPr>
            <w:rStyle w:val="InternetLink"/>
          </w:rPr>
          <w:t xml:space="preserve">https://cran.r-project.org/package=gbm</w:t>
        </w:r>
      </w:hyperlink>
    </w:p>
    <w:bookmarkEnd w:id="88"/>
    <w:bookmarkStart w:id="90" w:name="ref-Friedman2002"/>
    <w:p>
      <w:pPr>
        <w:pStyle w:val="Bibliography"/>
      </w:pPr>
      <w:r>
        <w:t xml:space="preserve">25.</w:t>
      </w:r>
      <w:r>
        <w:t xml:space="preserve"> </w:t>
      </w:r>
      <w:r>
        <w:t xml:space="preserve">	</w:t>
      </w:r>
      <w:r>
        <w:t xml:space="preserve">Friedman JH.</w:t>
      </w:r>
      <w:r>
        <w:t xml:space="preserve"> </w:t>
      </w:r>
      <w:r>
        <w:t xml:space="preserve">Stochastic gradient boosting</w:t>
      </w:r>
      <w:r>
        <w:t xml:space="preserve">.</w:t>
      </w:r>
      <w:r>
        <w:t xml:space="preserve"> </w:t>
      </w:r>
      <w:r>
        <w:rPr>
          <w:iCs/>
          <w:i/>
        </w:rPr>
        <w:t xml:space="preserve">Computational Statistics &amp; Data Analysis</w:t>
      </w:r>
      <w:r>
        <w:t xml:space="preserve"> (2002) 38:367–378. doi:</w:t>
      </w:r>
      <w:r>
        <w:t xml:space="preserve"> </w:t>
      </w:r>
      <w:hyperlink r:id="rId89">
        <w:r>
          <w:rPr>
            <w:rStyle w:val="InternetLink"/>
          </w:rPr>
          <w:t xml:space="preserve">10.1016/S0167-9473(01)00065-2</w:t>
        </w:r>
      </w:hyperlink>
    </w:p>
    <w:bookmarkEnd w:id="90"/>
    <w:bookmarkEnd w:id="91"/>
    <w:bookmarkEnd w:id="92"/>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_rels/footnotes.xml.rels><?xml version="1.0" encoding="UTF-8"?><Relationships xmlns="http://schemas.openxmlformats.org/package/2006/relationships"><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2025-02-25T12:03:59Z</dcterms:created>
  <dcterms:modified xsi:type="dcterms:W3CDTF">2025-02-25T12:03:59Z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2025-02-25</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