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Prognostic</w:t>
      </w:r>
      <w:r>
        <w:t xml:space="preserve"> </w:t>
      </w:r>
      <w:r>
        <w:t xml:space="preserve">and</w:t>
      </w:r>
      <w:r>
        <w:t xml:space="preserve"> </w:t>
      </w:r>
      <w:r>
        <w:t xml:space="preserve">biological</w:t>
      </w:r>
      <w:r>
        <w:t xml:space="preserve"> </w:t>
      </w:r>
      <w:r>
        <w:t xml:space="preserve">relevance</w:t>
      </w:r>
      <w:r>
        <w:t xml:space="preserve"> </w:t>
      </w:r>
      <w:r>
        <w:t xml:space="preserve">of</w:t>
      </w:r>
      <w:r>
        <w:t xml:space="preserve"> </w:t>
      </w:r>
      <w:r>
        <w:t xml:space="preserve">collagen-related</w:t>
      </w:r>
      <w:r>
        <w:t xml:space="preserve"> </w:t>
      </w:r>
      <w:r>
        <w:t xml:space="preserve">genes</w:t>
      </w:r>
      <w:r>
        <w:t xml:space="preserve"> </w:t>
      </w:r>
      <w:r>
        <w:t xml:space="preserve">in</w:t>
      </w:r>
      <w:r>
        <w:t xml:space="preserve"> </w:t>
      </w:r>
      <w:r>
        <w:t xml:space="preserve">prostate</w:t>
      </w:r>
      <w:r>
        <w:t xml:space="preserve"> </w:t>
      </w:r>
      <w:r>
        <w:t xml:space="preserve">cancer</w:t>
      </w:r>
    </w:p>
    <w:p>
      <w:pPr>
        <w:pStyle w:val="Subtitle"/>
      </w:pPr>
      <w:r>
        <w:t xml:space="preserve">Methods,</w:t>
      </w:r>
      <w:r>
        <w:t xml:space="preserve"> </w:t>
      </w:r>
      <w:r>
        <w:t xml:space="preserve">figures</w:t>
      </w:r>
      <w:r>
        <w:t xml:space="preserve"> </w:t>
      </w:r>
      <w:r>
        <w:t xml:space="preserve">and</w:t>
      </w:r>
      <w:r>
        <w:t xml:space="preserve"> </w:t>
      </w:r>
      <w:r>
        <w:t xml:space="preserve">tables</w:t>
      </w:r>
      <w:r>
        <w:t xml:space="preserve"> </w:t>
      </w:r>
      <w:r>
        <w:t xml:space="preserve">for</w:t>
      </w:r>
      <w:r>
        <w:t xml:space="preserve"> </w:t>
      </w:r>
      <w:r>
        <w:t xml:space="preserve">the</w:t>
      </w:r>
      <w:r>
        <w:t xml:space="preserve"> </w:t>
      </w:r>
      <w:r>
        <w:t xml:space="preserve">transcriptome</w:t>
      </w:r>
      <w:r>
        <w:t xml:space="preserve"> </w:t>
      </w:r>
      <w:r>
        <w:t xml:space="preserve">part</w:t>
      </w:r>
    </w:p>
    <w:p>
      <w:pPr>
        <w:pStyle w:val="Date"/>
      </w:pPr>
      <w:r>
        <w:t xml:space="preserve">2025-02-27</w:t>
      </w:r>
    </w:p>
    <w:p>
      <w:r>
        <w:br w:type="page"/>
      </w:r>
    </w:p>
    <w:bookmarkStart w:id="34" w:name="methods"/>
    <w:p>
      <w:pPr>
        <w:pStyle w:val="Heading1"/>
      </w:pPr>
      <w:r>
        <w:t xml:space="preserve">Methods</w:t>
      </w:r>
    </w:p>
    <w:p>
      <w:pPr>
        <w:pStyle w:val="FirstParagraph"/>
      </w:pPr>
      <w:r>
        <w:t xml:space="preserve">Analyses of collagen-related transcriptome and survival in transcriptomic cohorts were done with R version 4.2.3 (R foundation).</w:t>
      </w:r>
      <w:r>
        <w:t xml:space="preserve"> </w:t>
      </w:r>
      <w:r>
        <w:t xml:space="preserve">Their details are provided in</w:t>
      </w:r>
      <w:r>
        <w:t xml:space="preserve"> </w:t>
      </w:r>
      <w:r>
        <w:rPr>
          <w:bCs/>
          <w:b/>
        </w:rPr>
        <w:t xml:space="preserve">Supplementary Methods</w:t>
      </w:r>
      <w:r>
        <w:t xml:space="preserve">.</w:t>
      </w:r>
    </w:p>
    <w:bookmarkStart w:id="27" w:name="transcriptome-data-sets"/>
    <w:p>
      <w:pPr>
        <w:pStyle w:val="Heading2"/>
      </w:pPr>
      <w:r>
        <w:t xml:space="preserve">Transcriptome data sets</w:t>
      </w:r>
    </w:p>
    <w:p>
      <w:pPr>
        <w:pStyle w:val="FirstParagraph"/>
      </w:pPr>
      <w:r>
        <w:t xml:space="preserve">Seven publicly available transcriptome data sets of primary prostate cancer samples,</w:t>
      </w:r>
      <w:r>
        <w:t xml:space="preserve"> </w:t>
      </w:r>
      <w:r>
        <w:t xml:space="preserve">the</w:t>
      </w:r>
      <w:r>
        <w:t xml:space="preserve"> </w:t>
      </w:r>
      <w:hyperlink r:id="rId20">
        <w:r>
          <w:rPr>
            <w:rStyle w:val="InternetLink"/>
          </w:rPr>
          <w:t xml:space="preserve">TCGA</w:t>
        </w:r>
      </w:hyperlink>
      <w:r>
        <w:t xml:space="preserve"> </w:t>
      </w:r>
      <w:r>
        <w:t xml:space="preserve">prostate cancer cohort</w:t>
      </w:r>
      <w:r>
        <w:t xml:space="preserve"> </w:t>
      </w:r>
      <w:r>
        <w:t xml:space="preserve">(1,2)</w:t>
      </w:r>
      <w:r>
        <w:t xml:space="preserve"> </w:t>
      </w:r>
      <w:r>
        <w:t xml:space="preserve">(n = 493 cancer samples, RNA sequencing),</w:t>
      </w:r>
      <w:r>
        <w:t xml:space="preserve"> </w:t>
      </w:r>
      <w:hyperlink r:id="rId21">
        <w:r>
          <w:rPr>
            <w:rStyle w:val="InternetLink"/>
          </w:rPr>
          <w:t xml:space="preserve">GSE16560</w:t>
        </w:r>
      </w:hyperlink>
      <w:r>
        <w:t xml:space="preserve"> </w:t>
      </w:r>
      <w:r>
        <w:t xml:space="preserve">(3)</w:t>
      </w:r>
      <w:r>
        <w:t xml:space="preserve"> </w:t>
      </w:r>
      <w:r>
        <w:t xml:space="preserve">(n = 281, microarray)</w:t>
      </w:r>
      <w:r>
        <w:t xml:space="preserve"> </w:t>
      </w:r>
      <w:hyperlink r:id="rId22">
        <w:r>
          <w:rPr>
            <w:rStyle w:val="InternetLink"/>
          </w:rPr>
          <w:t xml:space="preserve">GSE54460</w:t>
        </w:r>
      </w:hyperlink>
      <w:r>
        <w:t xml:space="preserve"> </w:t>
      </w:r>
      <w:r>
        <w:t xml:space="preserve">(4)</w:t>
      </w:r>
      <w:r>
        <w:t xml:space="preserve"> </w:t>
      </w:r>
      <w:r>
        <w:t xml:space="preserve">(n = 106, RNA sequencing),</w:t>
      </w:r>
      <w:r>
        <w:t xml:space="preserve"> </w:t>
      </w:r>
      <w:hyperlink r:id="rId23">
        <w:r>
          <w:rPr>
            <w:rStyle w:val="InternetLink"/>
          </w:rPr>
          <w:t xml:space="preserve">GSE70768</w:t>
        </w:r>
      </w:hyperlink>
      <w:r>
        <w:t xml:space="preserve"> </w:t>
      </w:r>
      <w:r>
        <w:t xml:space="preserve">(5)</w:t>
      </w:r>
      <w:r>
        <w:t xml:space="preserve"> </w:t>
      </w:r>
      <w:r>
        <w:t xml:space="preserve">(n = 125, microarray),</w:t>
      </w:r>
      <w:r>
        <w:t xml:space="preserve"> </w:t>
      </w:r>
      <w:hyperlink r:id="rId24">
        <w:r>
          <w:rPr>
            <w:rStyle w:val="InternetLink"/>
          </w:rPr>
          <w:t xml:space="preserve">GSE70769</w:t>
        </w:r>
      </w:hyperlink>
      <w:r>
        <w:t xml:space="preserve"> </w:t>
      </w:r>
      <w:r>
        <w:t xml:space="preserve">(5)</w:t>
      </w:r>
      <w:r>
        <w:t xml:space="preserve"> </w:t>
      </w:r>
      <w:r>
        <w:t xml:space="preserve">(n = 94, microarray),</w:t>
      </w:r>
      <w:r>
        <w:t xml:space="preserve"> </w:t>
      </w:r>
      <w:hyperlink r:id="rId25">
        <w:r>
          <w:rPr>
            <w:rStyle w:val="InternetLink"/>
          </w:rPr>
          <w:t xml:space="preserve">GSE220095</w:t>
        </w:r>
      </w:hyperlink>
      <w:r>
        <w:t xml:space="preserve"> </w:t>
      </w:r>
      <w:r>
        <w:t xml:space="preserve">(6)</w:t>
      </w:r>
      <w:r>
        <w:t xml:space="preserve"> </w:t>
      </w:r>
      <w:r>
        <w:t xml:space="preserve">(n = 176, RNA sequencing), and</w:t>
      </w:r>
      <w:r>
        <w:t xml:space="preserve"> </w:t>
      </w:r>
      <w:hyperlink r:id="rId26">
        <w:r>
          <w:rPr>
            <w:rStyle w:val="InternetLink"/>
          </w:rPr>
          <w:t xml:space="preserve">DKFZ</w:t>
        </w:r>
      </w:hyperlink>
      <w:r>
        <w:t xml:space="preserve"> </w:t>
      </w:r>
      <w:r>
        <w:t xml:space="preserve">(7)</w:t>
      </w:r>
      <w:r>
        <w:t xml:space="preserve"> </w:t>
      </w:r>
      <w:r>
        <w:t xml:space="preserve">(n = 118, RNA sequencing)</w:t>
      </w:r>
      <w:r>
        <w:t xml:space="preserve"> </w:t>
      </w:r>
      <w:r>
        <w:t xml:space="preserve">were re-analyzed.</w:t>
      </w:r>
      <w:r>
        <w:t xml:space="preserve"> </w:t>
      </w:r>
      <w:r>
        <w:t xml:space="preserve">Selection criteria for the transcriptomic cohorts were: information of biochemical relapse and relapse-free survival or death and overall survival, and availability of expression data for collagen-related transcript investigated in our previous collagen project</w:t>
      </w:r>
      <w:r>
        <w:t xml:space="preserve"> </w:t>
      </w:r>
      <w:r>
        <w:t xml:space="preserve">(8)</w:t>
      </w:r>
      <w:r>
        <w:t xml:space="preserve">.</w:t>
      </w:r>
    </w:p>
    <w:p>
      <w:pPr>
        <w:pStyle w:val="TextBody"/>
      </w:pPr>
      <w:r>
        <w:t xml:space="preserve">Normalized gene expression data and clinical information were fetched from the cBioportal repository (DKFZ, TCGA) or Gene Expression Omnibus (GEO).</w:t>
      </w:r>
      <w:r>
        <w:t xml:space="preserve"> </w:t>
      </w:r>
      <w:r>
        <w:t xml:space="preserve">The microarray signals of RNA sequencing counts were analyzed as</w:t>
      </w:r>
      <w:r>
        <w:t xml:space="preserve"> </w:t>
      </w:r>
      <m:oMath>
        <m:r>
          <m:t>l</m:t>
        </m:r>
        <m:r>
          <m:t>o</m:t>
        </m:r>
        <m:sSub>
          <m:e>
            <m:r>
              <m:t>g</m:t>
            </m:r>
          </m:e>
          <m:sub>
            <m:r>
              <m:t>2</m:t>
            </m:r>
          </m:sub>
        </m:sSub>
      </m:oMath>
      <w:r>
        <w:t xml:space="preserve">-transformed counts adjusted for differences in distribution between the cohorts with ComBat algorithm</w:t>
      </w:r>
      <w:r>
        <w:t xml:space="preserve"> </w:t>
      </w:r>
      <w:r>
        <w:t xml:space="preserve">(9)</w:t>
      </w:r>
      <w:r>
        <w:t xml:space="preserve">.</w:t>
      </w:r>
      <w:r>
        <w:t xml:space="preserve"> </w:t>
      </w:r>
      <w:r>
        <w:t xml:space="preserve">ComBat-adjusted expression and clinical information for the GSE54460, GSE70768, GSE70769, and GSE220095 studies was merged into a</w:t>
      </w:r>
      <w:r>
        <w:t xml:space="preserve"> </w:t>
      </w:r>
      <w:r>
        <w:t xml:space="preserve">‘</w:t>
      </w:r>
      <w:r>
        <w:t xml:space="preserve">pooled GEO cohort</w:t>
      </w:r>
      <w:r>
        <w:t xml:space="preserve">’</w:t>
      </w:r>
      <w:r>
        <w:t xml:space="preserve">.</w:t>
      </w:r>
      <w:r>
        <w:t xml:space="preserve"> </w:t>
      </w:r>
      <w:r>
        <w:t xml:space="preserve">In machine learning models of BCR-free survival, the pooled GEO cohort was used for training, and TCGA and DKFZ served as validation cohorts.</w:t>
      </w:r>
      <w:r>
        <w:t xml:space="preserve"> </w:t>
      </w:r>
      <w:r>
        <w:t xml:space="preserve">The GSE16560 cohort split into a training and test subset in a 2:1 ratio was used for modeling of overall survival.</w:t>
      </w:r>
      <w:r>
        <w:t xml:space="preserve"> </w:t>
      </w:r>
      <w:r>
        <w:t xml:space="preserve">Characteristic of the cohorts and a list of the collagen-related genes of interest are are provided in</w:t>
      </w:r>
      <w:r>
        <w:t xml:space="preserve"> </w:t>
      </w:r>
      <w:r>
        <w:rPr>
          <w:bCs/>
          <w:b/>
        </w:rPr>
        <w:t xml:space="preserve">Supplementary Tables S1 - S4</w:t>
      </w:r>
      <w:r>
        <w:t xml:space="preserve">.</w:t>
      </w:r>
    </w:p>
    <w:bookmarkEnd w:id="27"/>
    <w:bookmarkStart w:id="28" w:name="co-expression-network-analyses"/>
    <w:p>
      <w:pPr>
        <w:pStyle w:val="Heading2"/>
      </w:pPr>
      <w:r>
        <w:t xml:space="preserve">Co-expression network analyses</w:t>
      </w:r>
    </w:p>
    <w:p>
      <w:pPr>
        <w:pStyle w:val="FirstParagraph"/>
      </w:pPr>
      <w:r>
        <w:t xml:space="preserve">Co-expression networks of the collagen-related transcripts were constructed in the poled GEO, DKFZ, and TCGA cohorts.</w:t>
      </w:r>
      <w:r>
        <w:t xml:space="preserve"> </w:t>
      </w:r>
      <w:r>
        <w:t xml:space="preserve">The networks’ edges were defined by pairwise correlations of the ComBat-adjusted</w:t>
      </w:r>
      <w:r>
        <w:t xml:space="preserve"> </w:t>
      </w:r>
      <m:oMath>
        <m:r>
          <m:t>l</m:t>
        </m:r>
        <m:r>
          <m:t>o</m:t>
        </m:r>
        <m:sSub>
          <m:e>
            <m:r>
              <m:t>g</m:t>
            </m:r>
          </m:e>
          <m:sub>
            <m:r>
              <m:t>2</m:t>
            </m:r>
          </m:sub>
        </m:sSub>
      </m:oMath>
      <w:r>
        <w:t xml:space="preserve"> </w:t>
      </w:r>
      <w:r>
        <w:t xml:space="preserve">expression levels with Spearman’s</w:t>
      </w:r>
      <w:r>
        <w:t xml:space="preserve"> </w:t>
      </w:r>
      <m:oMath>
        <m:r>
          <m:t>ρ</m:t>
        </m:r>
        <m:r>
          <m:rPr>
            <m:sty m:val="p"/>
          </m:rPr>
          <m:t>≥</m:t>
        </m:r>
      </m:oMath>
      <w:r>
        <w:t xml:space="preserve"> </w:t>
      </w:r>
      <w:r>
        <w:t xml:space="preserve">0.5; transcripts without any network neighbors were removed.</w:t>
      </w:r>
      <w:r>
        <w:t xml:space="preserve"> </w:t>
      </w:r>
      <w:r>
        <w:t xml:space="preserve">Importance of the network’s vertices, i.e. the collagen-related transcripts, was assessed by</w:t>
      </w:r>
      <w:r>
        <w:t xml:space="preserve"> </w:t>
      </w:r>
      <w:r>
        <w:t xml:space="preserve">degree as a measure of connectivity (number of neighbors),</w:t>
      </w:r>
      <w:r>
        <w:t xml:space="preserve"> </w:t>
      </w:r>
      <w:r>
        <w:t xml:space="preserve">hub score as a metric of overall correlation strength (eigenvector of the affinity matrix),</w:t>
      </w:r>
      <w:r>
        <w:t xml:space="preserve"> </w:t>
      </w:r>
      <w:r>
        <w:t xml:space="preserve">betweenness as a measure of connectivity and centrality (minimum/maximum-scaled number of the shortest paths between all pairs of vertices that pass through the vertex of interest), and</w:t>
      </w:r>
      <w:r>
        <w:t xml:space="preserve"> </w:t>
      </w:r>
      <w:r>
        <w:t xml:space="preserve">transitivity (fraction of neighbor vertices that are connected with each other)</w:t>
      </w:r>
      <w:r>
        <w:t xml:space="preserve"> </w:t>
      </w:r>
      <w:r>
        <w:t xml:space="preserve">(10)</w:t>
      </w:r>
      <w:r>
        <w:t xml:space="preserve"> </w:t>
      </w:r>
      <w:r>
        <w:t xml:space="preserve">(</w:t>
      </w:r>
      <w:r>
        <w:rPr>
          <w:bCs/>
          <w:b/>
        </w:rPr>
        <w:t xml:space="preserve">Supplementary Table S5</w:t>
      </w:r>
      <w:r>
        <w:t xml:space="preserve">).</w:t>
      </w:r>
    </w:p>
    <w:bookmarkEnd w:id="28"/>
    <w:bookmarkStart w:id="29" w:name="X48f794c782a1079be4c835dbb9e1a50e0d4da4c"/>
    <w:p>
      <w:pPr>
        <w:pStyle w:val="Heading2"/>
      </w:pPr>
      <w:r>
        <w:t xml:space="preserve">Univariable modeling of BCR-free survival</w:t>
      </w:r>
    </w:p>
    <w:p>
      <w:pPr>
        <w:pStyle w:val="FirstParagraph"/>
      </w:pPr>
      <w:r>
        <w:t xml:space="preserve">For univariable analysis of BCR-free survival, PCA patients in the pooled GEO, TCGA, and DKFZ cohort were classified as high and low expressors of each collagen-related gene with a cutoffs corresponding to the largest difference in survival between the expression strata.</w:t>
      </w:r>
      <w:r>
        <w:t xml:space="preserve"> </w:t>
      </w:r>
      <w:r>
        <w:t xml:space="preserve">BCR risk of the high as compared with low expressors was assessed by unavailable Cox proportional hazard regression.</w:t>
      </w:r>
      <w:r>
        <w:t xml:space="preserve"> </w:t>
      </w:r>
      <w:r>
        <w:t xml:space="preserve">Inference of the Cox proportional hazard models was assessed by hazard ratio (HR) with 95% confidence intervals, and p values corrected for multiple testing with the false discovery rate method (FDR).</w:t>
      </w:r>
      <w:r>
        <w:t xml:space="preserve"> </w:t>
      </w:r>
      <w:r>
        <w:t xml:space="preserve">Harrell’s concordance index</w:t>
      </w:r>
      <w:r>
        <w:t xml:space="preserve"> </w:t>
      </w:r>
      <w:r>
        <w:t xml:space="preserve">(11)</w:t>
      </w:r>
      <w:r>
        <w:t xml:space="preserve"> </w:t>
      </w:r>
      <w:r>
        <w:t xml:space="preserve">and Integrated Brier Score</w:t>
      </w:r>
      <w:r>
        <w:t xml:space="preserve"> </w:t>
      </w:r>
      <w:r>
        <w:t xml:space="preserve">(12)</w:t>
      </w:r>
      <w:r>
        <w:t xml:space="preserve"> </w:t>
      </w:r>
      <w:r>
        <w:t xml:space="preserve">were used as statistics of, respectively, model accuracy and calibration (</w:t>
      </w:r>
      <w:r>
        <w:rPr>
          <w:bCs/>
          <w:b/>
        </w:rPr>
        <w:t xml:space="preserve">Supplementary Table S6</w:t>
      </w:r>
      <w:r>
        <w:t xml:space="preserve">).</w:t>
      </w:r>
    </w:p>
    <w:bookmarkEnd w:id="29"/>
    <w:bookmarkStart w:id="30" w:name="X8ff871d6e52a7c2cdd6d9b6f2b6a4f7f80482c6"/>
    <w:p>
      <w:pPr>
        <w:pStyle w:val="Heading2"/>
      </w:pPr>
      <w:r>
        <w:t xml:space="preserve">Multi-parameter modeling of BCR-free survival</w:t>
      </w:r>
    </w:p>
    <w:p>
      <w:pPr>
        <w:pStyle w:val="FirstParagraph"/>
      </w:pPr>
      <w:r>
        <w:t xml:space="preserve">Machine learning models of BCR-free survival were constructed for the following sets of explanatory variables:</w:t>
      </w:r>
      <w:r>
        <w:t xml:space="preserve"> </w:t>
      </w:r>
      <w:r>
        <w:t xml:space="preserve">(1) first- and second-order terms of ComBat-adjusted</w:t>
      </w:r>
      <w:r>
        <w:t xml:space="preserve"> </w:t>
      </w:r>
      <m:oMath>
        <m:r>
          <m:t>l</m:t>
        </m:r>
        <m:r>
          <m:t>o</m:t>
        </m:r>
        <m:sSub>
          <m:e>
            <m:r>
              <m:t>g</m:t>
            </m:r>
          </m:e>
          <m:sub>
            <m:r>
              <m:t>2</m:t>
            </m:r>
          </m:sub>
        </m:sSub>
      </m:oMath>
      <w:r>
        <w:t xml:space="preserve"> </w:t>
      </w:r>
      <w:r>
        <w:t xml:space="preserve">expression levels of the collagen-related transcripts,</w:t>
      </w:r>
      <w:r>
        <w:t xml:space="preserve"> </w:t>
      </w:r>
      <w:r>
        <w:t xml:space="preserve">(2) pathological tumor stage, ISUP grade, and ComBat-adjusted</w:t>
      </w:r>
      <w:r>
        <w:t xml:space="preserve"> </w:t>
      </w:r>
      <m:oMath>
        <m:r>
          <m:t>l</m:t>
        </m:r>
        <m:r>
          <m:t>o</m:t>
        </m:r>
        <m:sSub>
          <m:e>
            <m:r>
              <m:t>g</m:t>
            </m:r>
          </m:e>
          <m:sub>
            <m:r>
              <m:t>2</m:t>
            </m:r>
          </m:sub>
        </m:sSub>
      </m:oMath>
      <w:r>
        <w:t xml:space="preserve"> </w:t>
      </w:r>
      <w:r>
        <w:t xml:space="preserve">mRNA levels of the PSA-coding gene</w:t>
      </w:r>
      <w:r>
        <w:t xml:space="preserve"> </w:t>
      </w:r>
      <w:r>
        <w:rPr>
          <w:iCs/>
          <w:i/>
        </w:rPr>
        <w:t xml:space="preserve">KLK3</w:t>
      </w:r>
      <w:r>
        <w:t xml:space="preserve"> </w:t>
      </w:r>
      <w:r>
        <w:t xml:space="preserve">(13,14)</w:t>
      </w:r>
      <w:r>
        <w:t xml:space="preserve"> </w:t>
      </w:r>
      <w:r>
        <w:t xml:space="preserve">as clinical predictors of BCR, and</w:t>
      </w:r>
      <w:r>
        <w:t xml:space="preserve"> </w:t>
      </w:r>
      <w:r>
        <w:t xml:space="preserve">(3) pathological tumor stage, ISUP grade, ComBat-adjusted</w:t>
      </w:r>
      <w:r>
        <w:t xml:space="preserve"> </w:t>
      </w:r>
      <m:oMath>
        <m:r>
          <m:t>l</m:t>
        </m:r>
        <m:r>
          <m:t>o</m:t>
        </m:r>
        <m:sSub>
          <m:e>
            <m:r>
              <m:t>g</m:t>
            </m:r>
          </m:e>
          <m:sub>
            <m:r>
              <m:t>2</m:t>
            </m:r>
          </m:sub>
        </m:sSub>
      </m:oMath>
      <w:r>
        <w:t xml:space="preserve"> </w:t>
      </w:r>
      <w:r>
        <w:rPr>
          <w:iCs/>
          <w:i/>
        </w:rPr>
        <w:t xml:space="preserve">KLK3</w:t>
      </w:r>
      <w:r>
        <w:t xml:space="preserve"> </w:t>
      </w:r>
      <w:r>
        <w:t xml:space="preserve">mRNA levels, as well as the first- and second-order terms of ComBat-adjusted</w:t>
      </w:r>
      <w:r>
        <w:t xml:space="preserve"> </w:t>
      </w:r>
      <m:oMath>
        <m:r>
          <m:t>l</m:t>
        </m:r>
        <m:r>
          <m:t>o</m:t>
        </m:r>
        <m:sSub>
          <m:e>
            <m:r>
              <m:t>g</m:t>
            </m:r>
          </m:e>
          <m:sub>
            <m:r>
              <m:t>2</m:t>
            </m:r>
          </m:sub>
        </m:sSub>
      </m:oMath>
      <w:r>
        <w:t xml:space="preserve"> </w:t>
      </w:r>
      <w:r>
        <w:t xml:space="preserve">expression levels of the collagen-related transcripts.</w:t>
      </w:r>
      <w:r>
        <w:t xml:space="preserve"> </w:t>
      </w:r>
      <w:r>
        <w:t xml:space="preserve">The models were trained in the pooled GEO cohort with six algorithms (RIDGE regularized Cox proportional hazard regression, Elastic Net regularized Cox proportional hazard regression, LASSO regularized Cox proportional hazard regression, Support Vector Machines [SVM], Random Forest, and Gradient Boosted Machines [GBM])</w:t>
      </w:r>
      <w:r>
        <w:t xml:space="preserve"> </w:t>
      </w:r>
      <w:r>
        <w:t xml:space="preserve">(15–25)</w:t>
      </w:r>
      <w:r>
        <w:t xml:space="preserve">.</w:t>
      </w:r>
      <w:r>
        <w:t xml:space="preserve"> </w:t>
      </w:r>
      <w:r>
        <w:t xml:space="preserve">Performance of the models was evaluated by comparison of the predicted and actual BCR-free survival in the pooled GEO training cohort, and TCGA and DKFZ validation collectives with Harrell’s concordance index and Integrated Brier Scores (</w:t>
      </w:r>
      <w:r>
        <w:rPr>
          <w:bCs/>
          <w:b/>
        </w:rPr>
        <w:t xml:space="preserve">Supplementary Tables S7</w:t>
      </w:r>
      <w:r>
        <w:t xml:space="preserve"> </w:t>
      </w:r>
      <w:r>
        <w:t xml:space="preserve">-</w:t>
      </w:r>
      <w:r>
        <w:t xml:space="preserve"> </w:t>
      </w:r>
      <w:r>
        <w:rPr>
          <w:bCs/>
          <w:b/>
        </w:rPr>
        <w:t xml:space="preserve">S8</w:t>
      </w:r>
      <w:r>
        <w:t xml:space="preserve">).</w:t>
      </w:r>
      <w:r>
        <w:t xml:space="preserve"> </w:t>
      </w:r>
      <w:r>
        <w:t xml:space="preserve">BCR-free survival in patients stratified by tertiles of predictor scores returned by the machine learning models was explored with Kaplan-Meier plots and Peto-Peto tests.</w:t>
      </w:r>
      <w:r>
        <w:t xml:space="preserve"> </w:t>
      </w:r>
      <w:r>
        <w:t xml:space="preserve">Additionally, confidence and calibration of the models was assessed by plots of Brier Scores for unique follow-up times.</w:t>
      </w:r>
      <w:r>
        <w:t xml:space="preserve"> </w:t>
      </w:r>
      <w:r>
        <w:t xml:space="preserve">Finally, ability to predict BCR at one, two, three, and five years after diagnosis was assessed by receiver-operating characteristic (ROC)</w:t>
      </w:r>
      <w:r>
        <w:t xml:space="preserve"> </w:t>
      </w:r>
      <w:r>
        <w:t xml:space="preserve">(26)</w:t>
      </w:r>
      <w:r>
        <w:t xml:space="preserve">.</w:t>
      </w:r>
    </w:p>
    <w:bookmarkEnd w:id="30"/>
    <w:bookmarkStart w:id="31" w:name="X5179dd5e81781e46668a99041f12decf6349a27"/>
    <w:p>
      <w:pPr>
        <w:pStyle w:val="Heading2"/>
      </w:pPr>
      <w:r>
        <w:t xml:space="preserve">Multi-parameter modeling of overall survival</w:t>
      </w:r>
    </w:p>
    <w:p>
      <w:pPr>
        <w:pStyle w:val="FirstParagraph"/>
      </w:pPr>
      <w:r>
        <w:t xml:space="preserve">Overall survival of PCA patients was modeled in the GSE16560 watchful waiting cohort</w:t>
      </w:r>
      <w:r>
        <w:t xml:space="preserve"> </w:t>
      </w:r>
      <w:r>
        <w:t xml:space="preserve">(3)</w:t>
      </w:r>
      <w:r>
        <w:t xml:space="preserve">.</w:t>
      </w:r>
      <w:r>
        <w:t xml:space="preserve"> </w:t>
      </w:r>
      <w:r>
        <w:t xml:space="preserve">First- and second-order terms of ComBat-adjusted</w:t>
      </w:r>
      <w:r>
        <w:t xml:space="preserve"> </w:t>
      </w:r>
      <m:oMath>
        <m:r>
          <m:t>l</m:t>
        </m:r>
        <m:r>
          <m:t>o</m:t>
        </m:r>
        <m:sSub>
          <m:e>
            <m:r>
              <m:t>g</m:t>
            </m:r>
          </m:e>
          <m:sub>
            <m:r>
              <m:t>2</m:t>
            </m:r>
          </m:sub>
        </m:sSub>
      </m:oMath>
      <w:r>
        <w:t xml:space="preserve">-transformed expression levels of the collagen-related genes served as explanatory factors.</w:t>
      </w:r>
      <w:r>
        <w:t xml:space="preserve"> </w:t>
      </w:r>
      <w:r>
        <w:t xml:space="preserve">Machine learning models using the algorithms outlined above for the BCR-free survival were trained in a training subset of the GSE16560 cohort, and validated in the test subset.</w:t>
      </w:r>
      <w:r>
        <w:t xml:space="preserve"> </w:t>
      </w:r>
      <w:r>
        <w:t xml:space="preserve">Performance of the models of overall survival was evaluated in the training and test subsets of the GSE16560 cohort as described above for BCR-free survival (</w:t>
      </w:r>
      <w:r>
        <w:rPr>
          <w:bCs/>
          <w:b/>
        </w:rPr>
        <w:t xml:space="preserve">Supplementary Tables S10</w:t>
      </w:r>
      <w:r>
        <w:t xml:space="preserve"> </w:t>
      </w:r>
      <w:r>
        <w:t xml:space="preserve">-</w:t>
      </w:r>
      <w:r>
        <w:t xml:space="preserve"> </w:t>
      </w:r>
      <w:r>
        <w:rPr>
          <w:bCs/>
          <w:b/>
        </w:rPr>
        <w:t xml:space="preserve">S11</w:t>
      </w:r>
      <w:r>
        <w:t xml:space="preserve">).</w:t>
      </w:r>
    </w:p>
    <w:bookmarkEnd w:id="31"/>
    <w:bookmarkStart w:id="33" w:name="data-and-code-availability"/>
    <w:p>
      <w:pPr>
        <w:pStyle w:val="Heading2"/>
      </w:pPr>
      <w:r>
        <w:t xml:space="preserve">Data and code availability</w:t>
      </w:r>
    </w:p>
    <w:p>
      <w:pPr>
        <w:pStyle w:val="FirstParagraph"/>
      </w:pPr>
      <w:r>
        <w:t xml:space="preserve">Publicly available data sets were analyzed: the links are provided in</w:t>
      </w:r>
      <w:r>
        <w:t xml:space="preserve"> </w:t>
      </w:r>
      <w:r>
        <w:rPr>
          <w:bCs/>
          <w:b/>
        </w:rPr>
        <w:t xml:space="preserve">Methods/Transcriptome data sets</w:t>
      </w:r>
      <w:r>
        <w:t xml:space="preserve">.</w:t>
      </w:r>
      <w:r>
        <w:t xml:space="preserve"> </w:t>
      </w:r>
      <w:r>
        <w:t xml:space="preserve">Formatted data sets used for analyses will be made available upon request to the corresponding author.</w:t>
      </w:r>
      <w:r>
        <w:t xml:space="preserve"> </w:t>
      </w:r>
      <w:r>
        <w:t xml:space="preserve">The R analysis pipeline for the transcriptome data is available from GitHub (</w:t>
      </w:r>
      <w:hyperlink r:id="rId32">
        <w:r>
          <w:rPr>
            <w:rStyle w:val="InternetLink"/>
          </w:rPr>
          <w:t xml:space="preserve">https://github.com/PiotrTymoszuk/BCR_collagen</w:t>
        </w:r>
      </w:hyperlink>
      <w:r>
        <w:t xml:space="preserve">).</w:t>
      </w:r>
    </w:p>
    <w:p>
      <w:r>
        <w:br w:type="page"/>
      </w:r>
    </w:p>
    <w:bookmarkEnd w:id="33"/>
    <w:bookmarkEnd w:id="34"/>
    <w:bookmarkStart w:id="41" w:name="figures"/>
    <w:p>
      <w:pPr>
        <w:pStyle w:val="Heading1"/>
      </w:pPr>
      <w:r>
        <w:t xml:space="preserve">Figures</w:t>
      </w:r>
    </w:p>
    <w:p>
      <w:pPr>
        <w:pStyle w:val="CaptionedFigure"/>
      </w:pPr>
      <w:r>
        <w:drawing>
          <wp:inline>
            <wp:extent cx="5943600" cy="4788715"/>
            <wp:effectExtent b="0" l="0" r="0" t="0"/>
            <wp:docPr descr="Figure 1: Univariable analysis of BCR-free survival with collagen-related transcripts as candidate standalone prognostic factors." title="" id="36" name="Picture"/>
            <a:graphic>
              <a:graphicData uri="http://schemas.openxmlformats.org/drawingml/2006/picture">
                <pic:pic>
                  <pic:nvPicPr>
                    <pic:cNvPr descr="C:\Users\piotr\Desktop\collagen%20BCR\paper\manuscript_figures_tables_files/figure-docx/fig-uni-mrna-1.png" id="37" name="Picture"/>
                    <pic:cNvPicPr>
                      <a:picLocks noChangeArrowheads="1" noChangeAspect="1"/>
                    </pic:cNvPicPr>
                  </pic:nvPicPr>
                  <pic:blipFill>
                    <a:blip r:embed="rId35"/>
                    <a:stretch>
                      <a:fillRect/>
                    </a:stretch>
                  </pic:blipFill>
                  <pic:spPr bwMode="auto">
                    <a:xfrm>
                      <a:off x="0" y="0"/>
                      <a:ext cx="5943600" cy="4788715"/>
                    </a:xfrm>
                    <a:prstGeom prst="rect">
                      <a:avLst/>
                    </a:prstGeom>
                    <a:noFill/>
                    <a:ln w="9525">
                      <a:noFill/>
                      <a:headEnd/>
                      <a:tailEnd/>
                    </a:ln>
                  </pic:spPr>
                </pic:pic>
              </a:graphicData>
            </a:graphic>
          </wp:inline>
        </w:drawing>
      </w:r>
    </w:p>
    <w:p>
      <w:pPr>
        <w:pStyle w:val="ImageCaption"/>
      </w:pPr>
      <w:r>
        <w:t xml:space="preserve">Figure 1: Univariable analysis of BCR-free survival with collagen-related transcripts as candidate standalone prognostic factors.</w:t>
      </w:r>
    </w:p>
    <w:p>
      <w:pPr>
        <w:pStyle w:val="TextBody"/>
      </w:pPr>
      <w:r>
        <w:rPr>
          <w:bCs/>
          <w:b/>
        </w:rPr>
        <w:t xml:space="preserve">Figure</w:t>
      </w:r>
      <w:r>
        <w:rPr>
          <w:bCs/>
          <w:b/>
        </w:rPr>
        <w:t xml:space="preserve"> </w:t>
      </w:r>
      <w:r>
        <w:rPr>
          <w:bCs/>
          <w:b/>
        </w:rPr>
        <w:t xml:space="preserve">1</w:t>
      </w:r>
      <w:r>
        <w:rPr>
          <w:bCs/>
          <w:b/>
        </w:rPr>
        <w:t xml:space="preserve">. Univariable analysis of BCR-free survival with collagen-related transcripts as candidate standalone prognostic factors.</w:t>
      </w:r>
    </w:p>
    <w:p>
      <w:pPr>
        <w:pStyle w:val="TextBody"/>
      </w:pPr>
      <w:r>
        <w:rPr>
          <w:iCs/>
          <w:i/>
        </w:rPr>
        <w:t xml:space="preserve">Prostate cancer (PCA) patients in the pooled GEO (total: n = 485, biochemical relapse [BCR]: n = 194), TCGA (total: n = 493, BCR: n = 93), and DKFZ cohort (total: n = 105, BCR: n = 24) were classified as high and low expressors for each of the</w:t>
      </w:r>
      <w:r>
        <w:rPr>
          <w:iCs/>
          <w:i/>
        </w:rPr>
        <w:t xml:space="preserve"> </w:t>
      </w:r>
      <w:r>
        <w:rPr>
          <w:rStyle w:val="VerbatimChar"/>
          <w:iCs/>
          <w:i/>
        </w:rPr>
        <w:t xml:space="preserve">r</w:t>
      </w:r>
      <w:r>
        <w:rPr>
          <w:iCs/>
          <w:i/>
        </w:rPr>
        <w:t xml:space="preserve">length(globals$genes)` collagen-related transcripts with the expression cutoffs corresponding to the largest differences in survival between the high and low expressors.</w:t>
      </w:r>
      <w:r>
        <w:t xml:space="preserve"> </w:t>
      </w:r>
      <w:r>
        <w:rPr>
          <w:iCs/>
          <w:i/>
        </w:rPr>
        <w:t xml:space="preserve">BCR risk was compared between the high and low expressors for each transcript by univariable Cox proportional hazard regression. P values were corrected for multiple testing with the false discovery rate (FDR) method.</w:t>
      </w:r>
      <w:r>
        <w:t xml:space="preserve"> </w:t>
      </w:r>
      <w:r>
        <w:rPr>
          <w:iCs/>
          <w:i/>
        </w:rPr>
        <w:t xml:space="preserve">Standalone BCR risk markers were defined as transcripts associated with unfavorable prognosis (high versus low expressors, hazard ratio [HR] &gt; 1, pFDR &lt; 0.05) or favorable prognosis (HR &lt; 1, pFDR &lt; 0.05) in all three cohorts.</w:t>
      </w:r>
    </w:p>
    <w:p>
      <w:pPr>
        <w:pStyle w:val="TextBody"/>
      </w:pPr>
      <w:r>
        <w:rPr>
          <w:iCs/>
          <w:i/>
        </w:rPr>
        <w:t xml:space="preserve">HR with 95% confidence intervals for BCR risk in the high versus low expression strata are presented in a Forest plot (left). The model performance statistics, Harrell’s concordance index (C-index, measure of model accuracy), and Integrated Brier Scores (IBS, measure of model calibration, low values indicative of good calibration) are presented in a dot plot (right).</w:t>
      </w:r>
    </w:p>
    <w:p>
      <w:r>
        <w:br w:type="page"/>
      </w:r>
    </w:p>
    <w:p>
      <w:pPr>
        <w:pStyle w:val="CaptionedFigure"/>
      </w:pPr>
      <w:r>
        <w:drawing>
          <wp:inline>
            <wp:extent cx="5943600" cy="7596231"/>
            <wp:effectExtent b="0" l="0" r="0" t="0"/>
            <wp:docPr descr="Figure 2: Machine learning modeling of BCR-free survival with expression levels of the collagen-related transcripts as explanatory factors." title="" id="39" name="Picture"/>
            <a:graphic>
              <a:graphicData uri="http://schemas.openxmlformats.org/drawingml/2006/picture">
                <pic:pic>
                  <pic:nvPicPr>
                    <pic:cNvPr descr="C:\Users\piotr\Desktop\collagen%20BCR\paper\manuscript_figures_tables_files/figure-docx/fig-ml-mrna-1.png" id="40" name="Picture"/>
                    <pic:cNvPicPr>
                      <a:picLocks noChangeArrowheads="1" noChangeAspect="1"/>
                    </pic:cNvPicPr>
                  </pic:nvPicPr>
                  <pic:blipFill>
                    <a:blip r:embed="rId38"/>
                    <a:stretch>
                      <a:fillRect/>
                    </a:stretch>
                  </pic:blipFill>
                  <pic:spPr bwMode="auto">
                    <a:xfrm>
                      <a:off x="0" y="0"/>
                      <a:ext cx="5943600" cy="7596231"/>
                    </a:xfrm>
                    <a:prstGeom prst="rect">
                      <a:avLst/>
                    </a:prstGeom>
                    <a:noFill/>
                    <a:ln w="9525">
                      <a:noFill/>
                      <a:headEnd/>
                      <a:tailEnd/>
                    </a:ln>
                  </pic:spPr>
                </pic:pic>
              </a:graphicData>
            </a:graphic>
          </wp:inline>
        </w:drawing>
      </w:r>
    </w:p>
    <w:p>
      <w:pPr>
        <w:pStyle w:val="ImageCaption"/>
      </w:pPr>
      <w:r>
        <w:t xml:space="preserve">Figure 2: Machine learning modeling of BCR-free survival with expression levels of the collagen-related transcripts as explanatory factors.</w:t>
      </w:r>
    </w:p>
    <w:p>
      <w:pPr>
        <w:pStyle w:val="TextBody"/>
      </w:pPr>
      <w:r>
        <w:rPr>
          <w:bCs/>
          <w:b/>
        </w:rPr>
        <w:t xml:space="preserve">Figure</w:t>
      </w:r>
      <w:r>
        <w:rPr>
          <w:bCs/>
          <w:b/>
        </w:rPr>
        <w:t xml:space="preserve"> </w:t>
      </w:r>
      <w:r>
        <w:rPr>
          <w:bCs/>
          <w:b/>
        </w:rPr>
        <w:t xml:space="preserve">2</w:t>
      </w:r>
      <w:r>
        <w:rPr>
          <w:bCs/>
          <w:b/>
        </w:rPr>
        <w:t xml:space="preserve">. Machine learning modeling of BCR-free survival with expression levels of the collagen-related transcripts as explanatory factors.</w:t>
      </w:r>
    </w:p>
    <w:p>
      <w:pPr>
        <w:pStyle w:val="TextBody"/>
      </w:pPr>
      <w:r>
        <w:rPr>
          <w:iCs/>
          <w:i/>
        </w:rPr>
        <w:t xml:space="preserve">Risk of biochemical relapse (BCR) in prostate cancer (PCA) was modeled by multi-parameter machine learning models with ComBat-processed</w:t>
      </w:r>
      <w:r>
        <w:rPr>
          <w:iCs/>
          <w:i/>
        </w:rPr>
        <w:t xml:space="preserve"> </w:t>
      </w:r>
      <m:oMath>
        <m:r>
          <m:t>l</m:t>
        </m:r>
        <m:r>
          <m:t>o</m:t>
        </m:r>
        <m:sSub>
          <m:e>
            <m:r>
              <m:t>g</m:t>
            </m:r>
          </m:e>
          <m:sub>
            <m:r>
              <m:t>2</m:t>
            </m:r>
          </m:sub>
        </m:sSub>
      </m:oMath>
      <w:r>
        <w:rPr>
          <w:iCs/>
          <w:i/>
        </w:rPr>
        <w:t xml:space="preserve">-transformed expression levels of 55 collagen-related transcripts as explanatory factors.</w:t>
      </w:r>
      <w:r>
        <w:t xml:space="preserve"> </w:t>
      </w:r>
      <w:r>
        <w:rPr>
          <w:iCs/>
          <w:i/>
        </w:rPr>
        <w:t xml:space="preserve">The models were trained in the pooled GEO cohort with six machine learning algorithms (RIDGE Cox regression, Elastic Net Cox regression, LASSO Cox regression, survival Support Vector Machines [SVM], survival Random Forest, and survival Gradient Boosted Machines [GBM]).</w:t>
      </w:r>
      <w:r>
        <w:t xml:space="preserve"> </w:t>
      </w:r>
      <w:r>
        <w:rPr>
          <w:iCs/>
          <w:i/>
        </w:rPr>
        <w:t xml:space="preserve">Performance of the models was evaluated in the pooled GEO training cohort (total: n = 485, BCR: n = 194), and the TCGA (total: n = 493, BCR: n = 93) and DKFZ (total: n = 105, BCR: n = 24) validation collectives.</w:t>
      </w:r>
    </w:p>
    <w:p>
      <w:pPr>
        <w:pStyle w:val="TextBody"/>
      </w:pPr>
      <w:r>
        <w:rPr>
          <w:iCs/>
          <w:i/>
        </w:rPr>
        <w:t xml:space="preserve">(A) Metrics of performance of the survival models, Harrell’s concordance index (C-index, measure of model accuracy) and Integrated Brier Score (IBS, measure of model calibration, low values are characteristic for good calibration), are presented in dot plots. Dashed lines represent C-index and IBS values expected for random BCR risk prediction. Note the superior accuracy and calibration of the GBM model in the validation collectives.</w:t>
      </w:r>
    </w:p>
    <w:p>
      <w:pPr>
        <w:pStyle w:val="TextBody"/>
      </w:pPr>
      <w:r>
        <w:rPr>
          <w:iCs/>
          <w:i/>
        </w:rPr>
        <w:t xml:space="preserve">(B) BCR-free survival of PCA patients stratified by tertiles of the predictor scores of the best performing GBM model. Statistical significance of differences between the predictor score tertiles was determined by Peto-Peto test corrected for multiple testing wit the false discovery rate method. Fractions of BCR-free patients and minimum/maximum scaled time after diagnosis are visualized in Kaplan-Meier plots. Numbers of patients and BCR in the predictor score tertiles are indicated in the legends. P values are displayed in the plots.</w:t>
      </w:r>
    </w:p>
    <w:p>
      <w:pPr>
        <w:pStyle w:val="TextBody"/>
      </w:pPr>
      <w:r>
        <w:rPr>
          <w:iCs/>
          <w:i/>
        </w:rPr>
        <w:t xml:space="preserve">(C) Importance of the explanatory variables for BCR-risk prediction by the GBM model was gauged by difference in sum of squared error (</w:t>
      </w:r>
      <m:oMath>
        <m:r>
          <m:t>Δ</m:t>
        </m:r>
        <m:r>
          <m:t>S</m:t>
        </m:r>
        <m:r>
          <m:t>S</m:t>
        </m:r>
        <m:r>
          <m:t>E</m:t>
        </m:r>
      </m:oMath>
      <w:r>
        <w:rPr>
          <w:iCs/>
          <w:i/>
        </w:rPr>
        <w:t xml:space="preserve">) attributed to inclusion of a particular collagen-related transcript in the GBM learner ensemble. High</w:t>
      </w:r>
      <w:r>
        <w:rPr>
          <w:iCs/>
          <w:i/>
        </w:rPr>
        <w:t xml:space="preserve"> </w:t>
      </w:r>
      <m:oMath>
        <m:r>
          <m:t>Δ</m:t>
        </m:r>
        <m:r>
          <m:t>S</m:t>
        </m:r>
        <m:r>
          <m:t>S</m:t>
        </m:r>
        <m:r>
          <m:t>E</m:t>
        </m:r>
      </m:oMath>
      <w:r>
        <w:rPr>
          <w:iCs/>
          <w:i/>
        </w:rPr>
        <w:t xml:space="preserve"> </w:t>
      </w:r>
      <w:r>
        <w:rPr>
          <w:iCs/>
          <w:i/>
        </w:rPr>
        <w:t xml:space="preserve">values are characteristic for highly influential variables.</w:t>
      </w:r>
      <w:r>
        <w:rPr>
          <w:iCs/>
          <w:i/>
        </w:rPr>
        <w:t xml:space="preserve"> </w:t>
      </w:r>
      <m:oMath>
        <m:r>
          <m:t>Δ</m:t>
        </m:r>
        <m:r>
          <m:t>S</m:t>
        </m:r>
        <m:r>
          <m:t>S</m:t>
        </m:r>
        <m:r>
          <m:t>E</m:t>
        </m:r>
      </m:oMath>
      <w:r>
        <w:rPr>
          <w:iCs/>
          <w:i/>
        </w:rPr>
        <w:t xml:space="preserve"> </w:t>
      </w:r>
      <w:r>
        <w:rPr>
          <w:iCs/>
          <w:i/>
        </w:rPr>
        <w:t xml:space="preserve">values for the variables that contributed substantially to the BCR risk prediction (</w:t>
      </w:r>
      <m:oMath>
        <m:r>
          <m:t>Δ</m:t>
        </m:r>
        <m:r>
          <m:t>S</m:t>
        </m:r>
        <m:r>
          <m:t>S</m:t>
        </m:r>
        <m:r>
          <m:t>E</m:t>
        </m:r>
      </m:oMath>
      <w:r>
        <w:rPr>
          <w:iCs/>
          <w:i/>
        </w:rPr>
        <w:t xml:space="preserve"> </w:t>
      </w:r>
      <w:r>
        <w:rPr>
          <w:iCs/>
          <w:i/>
        </w:rPr>
        <w:t xml:space="preserve">&gt; 0) are presented in a bar plot.</w:t>
      </w:r>
    </w:p>
    <w:p>
      <w:r>
        <w:br w:type="page"/>
      </w:r>
    </w:p>
    <w:bookmarkEnd w:id="41"/>
    <w:bookmarkStart w:id="94" w:name="references"/>
    <w:p>
      <w:pPr>
        <w:pStyle w:val="Heading1"/>
      </w:pPr>
      <w:r>
        <w:t xml:space="preserve">References</w:t>
      </w:r>
    </w:p>
    <w:bookmarkStart w:id="93" w:name="refs"/>
    <w:bookmarkStart w:id="43" w:name="ref-Liu2018"/>
    <w:p>
      <w:pPr>
        <w:pStyle w:val="Bibliography"/>
      </w:pPr>
      <w:r>
        <w:t xml:space="preserve">1.</w:t>
      </w:r>
      <w:r>
        <w:t xml:space="preserve"> </w:t>
      </w:r>
      <w:r>
        <w:t xml:space="preserve">	</w:t>
      </w:r>
      <w:r>
        <w:t xml:space="preserve">Liu J, Lichtenberg T, Hoadley KA, Poisson LM, Lazar AJ, Cherniack AD, Kovatich AJ, Benz CC, Levine DA, Lee AV, et al.</w:t>
      </w:r>
      <w:r>
        <w:t xml:space="preserve"> </w:t>
      </w:r>
      <w:r>
        <w:t xml:space="preserve">An Integrated TCGA Pan-Cancer Clinical Data Resource to Drive High-Quality Survival Outcome Analytics</w:t>
      </w:r>
      <w:r>
        <w:t xml:space="preserve">.</w:t>
      </w:r>
      <w:r>
        <w:t xml:space="preserve"> </w:t>
      </w:r>
      <w:r>
        <w:rPr>
          <w:iCs/>
          <w:i/>
        </w:rPr>
        <w:t xml:space="preserve">Cell</w:t>
      </w:r>
      <w:r>
        <w:t xml:space="preserve"> (2018) 173:400–416.e11. doi:</w:t>
      </w:r>
      <w:r>
        <w:t xml:space="preserve"> </w:t>
      </w:r>
      <w:hyperlink r:id="rId42">
        <w:r>
          <w:rPr>
            <w:rStyle w:val="InternetLink"/>
          </w:rPr>
          <w:t xml:space="preserve">10.1016/J.CELL.2018.02.052</w:t>
        </w:r>
      </w:hyperlink>
    </w:p>
    <w:bookmarkEnd w:id="43"/>
    <w:bookmarkStart w:id="45" w:name="ref-Abeshouse2015"/>
    <w:p>
      <w:pPr>
        <w:pStyle w:val="Bibliography"/>
      </w:pPr>
      <w:r>
        <w:t xml:space="preserve">2.</w:t>
      </w:r>
      <w:r>
        <w:t xml:space="preserve"> </w:t>
      </w:r>
      <w:r>
        <w:t xml:space="preserve">	</w:t>
      </w:r>
      <w:r>
        <w:t xml:space="preserve">Abeshouse A, Ahn J, Akbani R, Ally A, Amin S, Andry CD, Annala M, Aprikian A, Armenia J, Arora A, et al.</w:t>
      </w:r>
      <w:r>
        <w:t xml:space="preserve"> </w:t>
      </w:r>
      <w:r>
        <w:t xml:space="preserve">The Molecular Taxonomy of Primary Prostate Cancer</w:t>
      </w:r>
      <w:r>
        <w:t xml:space="preserve">.</w:t>
      </w:r>
      <w:r>
        <w:t xml:space="preserve"> </w:t>
      </w:r>
      <w:r>
        <w:rPr>
          <w:iCs/>
          <w:i/>
        </w:rPr>
        <w:t xml:space="preserve">Cell</w:t>
      </w:r>
      <w:r>
        <w:t xml:space="preserve"> (2015) 163:1011–1025. doi:</w:t>
      </w:r>
      <w:r>
        <w:t xml:space="preserve"> </w:t>
      </w:r>
      <w:hyperlink r:id="rId44">
        <w:r>
          <w:rPr>
            <w:rStyle w:val="InternetLink"/>
          </w:rPr>
          <w:t xml:space="preserve">10.1016/j.cell.2015.10.025</w:t>
        </w:r>
      </w:hyperlink>
    </w:p>
    <w:bookmarkEnd w:id="45"/>
    <w:bookmarkStart w:id="47" w:name="ref-Sboner2010"/>
    <w:p>
      <w:pPr>
        <w:pStyle w:val="Bibliography"/>
      </w:pPr>
      <w:r>
        <w:t xml:space="preserve">3.</w:t>
      </w:r>
      <w:r>
        <w:t xml:space="preserve"> </w:t>
      </w:r>
      <w:r>
        <w:t xml:space="preserve">	</w:t>
      </w:r>
      <w:r>
        <w:t xml:space="preserve">Sboner A, Demichelis F, Calza S, Pawitan Y, Setlur SR, Hoshida Y, Perner S, Adami HO, Fall K, Mucci LA, et al.</w:t>
      </w:r>
      <w:r>
        <w:t xml:space="preserve"> </w:t>
      </w:r>
      <w:r>
        <w:t xml:space="preserve">Molecular sampling of prostate cancer: A dilemma for predicting disease progression</w:t>
      </w:r>
      <w:r>
        <w:t xml:space="preserve">.</w:t>
      </w:r>
      <w:r>
        <w:t xml:space="preserve"> </w:t>
      </w:r>
      <w:r>
        <w:rPr>
          <w:iCs/>
          <w:i/>
        </w:rPr>
        <w:t xml:space="preserve">BMC Medical Genomics</w:t>
      </w:r>
      <w:r>
        <w:t xml:space="preserve"> (2010) 3: doi:</w:t>
      </w:r>
      <w:r>
        <w:t xml:space="preserve"> </w:t>
      </w:r>
      <w:hyperlink r:id="rId46">
        <w:r>
          <w:rPr>
            <w:rStyle w:val="InternetLink"/>
          </w:rPr>
          <w:t xml:space="preserve">10.1186/1755-8794-3-8</w:t>
        </w:r>
      </w:hyperlink>
    </w:p>
    <w:bookmarkEnd w:id="47"/>
    <w:bookmarkStart w:id="49" w:name="ref-Long2014"/>
    <w:p>
      <w:pPr>
        <w:pStyle w:val="Bibliography"/>
      </w:pPr>
      <w:r>
        <w:t xml:space="preserve">4.</w:t>
      </w:r>
      <w:r>
        <w:t xml:space="preserve"> </w:t>
      </w:r>
      <w:r>
        <w:t xml:space="preserve">	</w:t>
      </w:r>
      <w:r>
        <w:t xml:space="preserve">Long Q, Xu J, Osunkoya AO, Sannigrahi S, Johnson BA, Zhou W, Gillespie T, Park JY, Nam RK, Sugar L, et al.</w:t>
      </w:r>
      <w:r>
        <w:t xml:space="preserve"> </w:t>
      </w:r>
      <w:r>
        <w:t xml:space="preserve">Global transcriptome analysis of formalin-fixed prostate cancer specimens identifies biomarkers of disease recurrence</w:t>
      </w:r>
      <w:r>
        <w:t xml:space="preserve">.</w:t>
      </w:r>
      <w:r>
        <w:t xml:space="preserve"> </w:t>
      </w:r>
      <w:r>
        <w:rPr>
          <w:iCs/>
          <w:i/>
        </w:rPr>
        <w:t xml:space="preserve">Cancer research</w:t>
      </w:r>
      <w:r>
        <w:t xml:space="preserve"> (2014) 74:3228–3237. doi:</w:t>
      </w:r>
      <w:r>
        <w:t xml:space="preserve"> </w:t>
      </w:r>
      <w:hyperlink r:id="rId48">
        <w:r>
          <w:rPr>
            <w:rStyle w:val="InternetLink"/>
          </w:rPr>
          <w:t xml:space="preserve">10.1158/0008-5472.CAN-13-2699</w:t>
        </w:r>
      </w:hyperlink>
    </w:p>
    <w:bookmarkEnd w:id="49"/>
    <w:bookmarkStart w:id="51" w:name="ref-Ross-Adams2015"/>
    <w:p>
      <w:pPr>
        <w:pStyle w:val="Bibliography"/>
      </w:pPr>
      <w:r>
        <w:t xml:space="preserve">5.</w:t>
      </w:r>
      <w:r>
        <w:t xml:space="preserve"> </w:t>
      </w:r>
      <w:r>
        <w:t xml:space="preserve">	</w:t>
      </w:r>
      <w:r>
        <w:t xml:space="preserve">Ross-Adams H, Lamb A, Dunning M, Halim S, Lindberg J, Massie C, Egevad L, Russell R, Ramos-Montoya A, Vowler S, et al.</w:t>
      </w:r>
      <w:r>
        <w:t xml:space="preserve"> </w:t>
      </w:r>
      <w:r>
        <w:t xml:space="preserve">Integration of copy number and transcriptomics provides risk stratification in prostate cancer: A discovery and validation cohort study</w:t>
      </w:r>
      <w:r>
        <w:t xml:space="preserve">.</w:t>
      </w:r>
      <w:r>
        <w:t xml:space="preserve"> </w:t>
      </w:r>
      <w:r>
        <w:rPr>
          <w:iCs/>
          <w:i/>
        </w:rPr>
        <w:t xml:space="preserve">EBioMedicine</w:t>
      </w:r>
      <w:r>
        <w:t xml:space="preserve"> (2015) 2:1133–1144. doi:</w:t>
      </w:r>
      <w:r>
        <w:t xml:space="preserve"> </w:t>
      </w:r>
      <w:hyperlink r:id="rId50">
        <w:r>
          <w:rPr>
            <w:rStyle w:val="InternetLink"/>
          </w:rPr>
          <w:t xml:space="preserve">10.1016/j.ebiom.2015.07.017</w:t>
        </w:r>
      </w:hyperlink>
    </w:p>
    <w:bookmarkEnd w:id="51"/>
    <w:bookmarkStart w:id="53" w:name="ref-Schimmelpfennig2023"/>
    <w:p>
      <w:pPr>
        <w:pStyle w:val="Bibliography"/>
      </w:pPr>
      <w:r>
        <w:t xml:space="preserve">6.</w:t>
      </w:r>
      <w:r>
        <w:t xml:space="preserve"> </w:t>
      </w:r>
      <w:r>
        <w:t xml:space="preserve">	</w:t>
      </w:r>
      <w:r>
        <w:t xml:space="preserve">Schimmelpfennig C, Rade M, Füssel S, Löffler D, Blumert C, Bertram C, Borkowetz A, Otto DJ, Puppel SH, Hönscheid P, et al.</w:t>
      </w:r>
      <w:r>
        <w:t xml:space="preserve"> </w:t>
      </w:r>
      <w:r>
        <w:t xml:space="preserve">Characterization and evaluation of gene fusions as a measure of genetic instability and disease prognosis in prostate cancer</w:t>
      </w:r>
      <w:r>
        <w:t xml:space="preserve">.</w:t>
      </w:r>
      <w:r>
        <w:t xml:space="preserve"> </w:t>
      </w:r>
      <w:r>
        <w:rPr>
          <w:iCs/>
          <w:i/>
        </w:rPr>
        <w:t xml:space="preserve">BMC cancer</w:t>
      </w:r>
      <w:r>
        <w:t xml:space="preserve"> (2023) 23: doi:</w:t>
      </w:r>
      <w:r>
        <w:t xml:space="preserve"> </w:t>
      </w:r>
      <w:hyperlink r:id="rId52">
        <w:r>
          <w:rPr>
            <w:rStyle w:val="InternetLink"/>
          </w:rPr>
          <w:t xml:space="preserve">10.1186/S12885-023-11019-6</w:t>
        </w:r>
      </w:hyperlink>
    </w:p>
    <w:bookmarkEnd w:id="53"/>
    <w:bookmarkStart w:id="55" w:name="ref-Gerhauser2018"/>
    <w:p>
      <w:pPr>
        <w:pStyle w:val="Bibliography"/>
      </w:pPr>
      <w:r>
        <w:t xml:space="preserve">7.</w:t>
      </w:r>
      <w:r>
        <w:t xml:space="preserve"> </w:t>
      </w:r>
      <w:r>
        <w:t xml:space="preserve">	</w:t>
      </w:r>
      <w:r>
        <w:t xml:space="preserve">Gerhauser C, Favero F, Risch T, Simon R, Feuerbach L, Assenov Y, Heckmann D, Sidiropoulos N, Waszak SM, Hübschmann D, et al.</w:t>
      </w:r>
      <w:r>
        <w:t xml:space="preserve"> </w:t>
      </w:r>
      <w:r>
        <w:t xml:space="preserve">Molecular Evolution of Early-Onset Prostate Cancer Identifies Molecular Risk Markers and Clinical Trajectories</w:t>
      </w:r>
      <w:r>
        <w:t xml:space="preserve">.</w:t>
      </w:r>
      <w:r>
        <w:t xml:space="preserve"> </w:t>
      </w:r>
      <w:r>
        <w:rPr>
          <w:iCs/>
          <w:i/>
        </w:rPr>
        <w:t xml:space="preserve">Cancer cell</w:t>
      </w:r>
      <w:r>
        <w:t xml:space="preserve"> (2018) 34:996–1011.e8. doi:</w:t>
      </w:r>
      <w:r>
        <w:t xml:space="preserve"> </w:t>
      </w:r>
      <w:hyperlink r:id="rId54">
        <w:r>
          <w:rPr>
            <w:rStyle w:val="InternetLink"/>
          </w:rPr>
          <w:t xml:space="preserve">10.1016/J.CCELL.2018.10.016</w:t>
        </w:r>
      </w:hyperlink>
    </w:p>
    <w:bookmarkEnd w:id="55"/>
    <w:bookmarkStart w:id="57" w:name="ref-Heidegger2024"/>
    <w:p>
      <w:pPr>
        <w:pStyle w:val="Bibliography"/>
      </w:pPr>
      <w:r>
        <w:t xml:space="preserve">8.</w:t>
      </w:r>
      <w:r>
        <w:t xml:space="preserve"> </w:t>
      </w:r>
      <w:r>
        <w:t xml:space="preserve">	</w:t>
      </w:r>
      <w:r>
        <w:t xml:space="preserve">Heidegger I, Frantzi M, Salcher S, Tymoszuk P, Martowicz A, Gomez-Gomez E, Blanca A, Lendinez Cano G, Latosinska A, Mischak H, et al.</w:t>
      </w:r>
      <w:r>
        <w:t xml:space="preserve"> </w:t>
      </w:r>
      <w:r>
        <w:t xml:space="preserve">Prediction of Clinically Significant Prostate Cancer by a Specific Collagen-related Transcriptome, Proteome, and Urinome Signature</w:t>
      </w:r>
      <w:r>
        <w:t xml:space="preserve">.</w:t>
      </w:r>
      <w:r>
        <w:t xml:space="preserve"> </w:t>
      </w:r>
      <w:r>
        <w:rPr>
          <w:iCs/>
          <w:i/>
        </w:rPr>
        <w:t xml:space="preserve">European urology oncology</w:t>
      </w:r>
      <w:r>
        <w:t xml:space="preserve"> (2024) doi:</w:t>
      </w:r>
      <w:r>
        <w:t xml:space="preserve"> </w:t>
      </w:r>
      <w:hyperlink r:id="rId56">
        <w:r>
          <w:rPr>
            <w:rStyle w:val="InternetLink"/>
          </w:rPr>
          <w:t xml:space="preserve">10.1016/J.EUO.2024.05.014</w:t>
        </w:r>
      </w:hyperlink>
    </w:p>
    <w:bookmarkEnd w:id="57"/>
    <w:bookmarkStart w:id="59" w:name="ref-Leek2012"/>
    <w:p>
      <w:pPr>
        <w:pStyle w:val="Bibliography"/>
      </w:pPr>
      <w:r>
        <w:t xml:space="preserve">9.</w:t>
      </w:r>
      <w:r>
        <w:t xml:space="preserve"> </w:t>
      </w:r>
      <w:r>
        <w:t xml:space="preserve">	</w:t>
      </w:r>
      <w:r>
        <w:t xml:space="preserve">Leek JT, Johnson WE, Parker HS, Jaffe AE, Storey JD.</w:t>
      </w:r>
      <w:r>
        <w:t xml:space="preserve"> </w:t>
      </w:r>
      <w:r>
        <w:t xml:space="preserve">The sva package for removing batch effects and other unwanted variation in high-throughput experiments</w:t>
      </w:r>
      <w:r>
        <w:t xml:space="preserve">.</w:t>
      </w:r>
      <w:r>
        <w:t xml:space="preserve"> </w:t>
      </w:r>
      <w:r>
        <w:rPr>
          <w:iCs/>
          <w:i/>
        </w:rPr>
        <w:t xml:space="preserve">Bioinformatics</w:t>
      </w:r>
      <w:r>
        <w:t xml:space="preserve"> (2012) 28:882. doi:</w:t>
      </w:r>
      <w:r>
        <w:t xml:space="preserve"> </w:t>
      </w:r>
      <w:hyperlink r:id="rId58">
        <w:r>
          <w:rPr>
            <w:rStyle w:val="InternetLink"/>
          </w:rPr>
          <w:t xml:space="preserve">10.1093/BIOINFORMATICS/BTS034</w:t>
        </w:r>
      </w:hyperlink>
    </w:p>
    <w:bookmarkEnd w:id="59"/>
    <w:bookmarkStart w:id="61" w:name="ref-Csardi2006"/>
    <w:p>
      <w:pPr>
        <w:pStyle w:val="Bibliography"/>
      </w:pPr>
      <w:r>
        <w:t xml:space="preserve">10.</w:t>
      </w:r>
      <w:r>
        <w:t xml:space="preserve"> </w:t>
      </w:r>
      <w:r>
        <w:t xml:space="preserve">	</w:t>
      </w:r>
      <w:r>
        <w:t xml:space="preserve">Csardi G, Nepusz T.</w:t>
      </w:r>
      <w:r>
        <w:t xml:space="preserve"> </w:t>
      </w:r>
      <w:r>
        <w:t xml:space="preserve">The igraph software package for complex network research</w:t>
      </w:r>
      <w:r>
        <w:t xml:space="preserve">.</w:t>
      </w:r>
      <w:r>
        <w:t xml:space="preserve"> </w:t>
      </w:r>
      <w:r>
        <w:rPr>
          <w:iCs/>
          <w:i/>
        </w:rPr>
        <w:t xml:space="preserve">InterJournal</w:t>
      </w:r>
      <w:r>
        <w:t xml:space="preserve"> (2006) Complex Sy:1695.</w:t>
      </w:r>
      <w:r>
        <w:t xml:space="preserve"> </w:t>
      </w:r>
      <w:hyperlink r:id="rId60">
        <w:r>
          <w:rPr>
            <w:rStyle w:val="InternetLink"/>
          </w:rPr>
          <w:t xml:space="preserve">https://igraph.org</w:t>
        </w:r>
      </w:hyperlink>
    </w:p>
    <w:bookmarkEnd w:id="61"/>
    <w:bookmarkStart w:id="63" w:name="ref-Harrell1996"/>
    <w:p>
      <w:pPr>
        <w:pStyle w:val="Bibliography"/>
      </w:pPr>
      <w:r>
        <w:t xml:space="preserve">11.</w:t>
      </w:r>
      <w:r>
        <w:t xml:space="preserve"> </w:t>
      </w:r>
      <w:r>
        <w:t xml:space="preserve">	</w:t>
      </w:r>
      <w:r>
        <w:t xml:space="preserve">Harrell FE, Lee KL, Mark DB.</w:t>
      </w:r>
      <w:r>
        <w:t xml:space="preserve"> </w:t>
      </w:r>
      <w:r>
        <w:t xml:space="preserve">Multivariable prognostic models: Issues in developing models, evaluating assumptions and adequacy, and measuring and reducing errors</w:t>
      </w:r>
      <w:r>
        <w:t xml:space="preserve">.</w:t>
      </w:r>
      <w:r>
        <w:t xml:space="preserve"> </w:t>
      </w:r>
      <w:r>
        <w:rPr>
          <w:iCs/>
          <w:i/>
        </w:rPr>
        <w:t xml:space="preserve">Statistics in Medicine</w:t>
      </w:r>
      <w:r>
        <w:t xml:space="preserve"> (1996) 15:361–387. doi:</w:t>
      </w:r>
      <w:r>
        <w:t xml:space="preserve"> </w:t>
      </w:r>
      <w:hyperlink r:id="rId62">
        <w:r>
          <w:rPr>
            <w:rStyle w:val="InternetLink"/>
          </w:rPr>
          <w:t xml:space="preserve">10.1002/(SICI)1097-0258(19960229)15:4&lt;361::AID-SIM168&gt;3.0.CO;2-4</w:t>
        </w:r>
      </w:hyperlink>
    </w:p>
    <w:bookmarkEnd w:id="63"/>
    <w:bookmarkStart w:id="65" w:name="ref-Graf1999"/>
    <w:p>
      <w:pPr>
        <w:pStyle w:val="Bibliography"/>
      </w:pPr>
      <w:r>
        <w:t xml:space="preserve">12.</w:t>
      </w:r>
      <w:r>
        <w:t xml:space="preserve"> </w:t>
      </w:r>
      <w:r>
        <w:t xml:space="preserve">	</w:t>
      </w:r>
      <w:r>
        <w:t xml:space="preserve">Graf E, Schmoor C, Sauerbrei W, Schumacher M.</w:t>
      </w:r>
      <w:r>
        <w:t xml:space="preserve"> </w:t>
      </w:r>
      <w:r>
        <w:t xml:space="preserve">Assessment and comparison of prognostic classification schemes for survival data.</w:t>
      </w:r>
      <w:r>
        <w:t xml:space="preserve"> </w:t>
      </w:r>
      <w:r>
        <w:rPr>
          <w:iCs/>
          <w:i/>
        </w:rPr>
        <w:t xml:space="preserve">Statistics in Medicine</w:t>
      </w:r>
      <w:r>
        <w:t xml:space="preserve"> (1999) 18:2529–2545. doi:</w:t>
      </w:r>
      <w:r>
        <w:t xml:space="preserve"> </w:t>
      </w:r>
      <w:hyperlink r:id="rId64">
        <w:r>
          <w:rPr>
            <w:rStyle w:val="InternetLink"/>
          </w:rPr>
          <w:t xml:space="preserve">10.1002/(sici)1097-0258(19990915/30)18:17/18&lt;2529::aid-sim274&gt;3.0.co;2-5</w:t>
        </w:r>
      </w:hyperlink>
    </w:p>
    <w:bookmarkEnd w:id="65"/>
    <w:bookmarkStart w:id="67" w:name="ref-Lunger2021"/>
    <w:p>
      <w:pPr>
        <w:pStyle w:val="Bibliography"/>
      </w:pPr>
      <w:r>
        <w:t xml:space="preserve">13.</w:t>
      </w:r>
      <w:r>
        <w:t xml:space="preserve"> </w:t>
      </w:r>
      <w:r>
        <w:t xml:space="preserve">	</w:t>
      </w:r>
      <w:r>
        <w:t xml:space="preserve">Lunger L, Retz M, Bandur M, Souchay M, Vitzthum E, Jäger M, Weirich G, Schuster T, Autenrieth M, Kübler H, et al.</w:t>
      </w:r>
      <w:r>
        <w:t xml:space="preserve"> </w:t>
      </w:r>
      <w:r>
        <w:t xml:space="preserve">KLK3 and TMPRSS2 for molecular lymph-node staging in prostate cancer patients undergoing radical prostatectomy</w:t>
      </w:r>
      <w:r>
        <w:t xml:space="preserve">.</w:t>
      </w:r>
      <w:r>
        <w:t xml:space="preserve"> </w:t>
      </w:r>
      <w:r>
        <w:rPr>
          <w:iCs/>
          <w:i/>
        </w:rPr>
        <w:t xml:space="preserve">Prostate cancer and prostatic diseases</w:t>
      </w:r>
      <w:r>
        <w:t xml:space="preserve"> (2021) 24:362–369. doi:</w:t>
      </w:r>
      <w:r>
        <w:t xml:space="preserve"> </w:t>
      </w:r>
      <w:hyperlink r:id="rId66">
        <w:r>
          <w:rPr>
            <w:rStyle w:val="InternetLink"/>
          </w:rPr>
          <w:t xml:space="preserve">10.1038/S41391-020-00283-3</w:t>
        </w:r>
      </w:hyperlink>
    </w:p>
    <w:bookmarkEnd w:id="67"/>
    <w:bookmarkStart w:id="69" w:name="ref-Boyukozer2020"/>
    <w:p>
      <w:pPr>
        <w:pStyle w:val="Bibliography"/>
      </w:pPr>
      <w:r>
        <w:t xml:space="preserve">14.</w:t>
      </w:r>
      <w:r>
        <w:t xml:space="preserve"> </w:t>
      </w:r>
      <w:r>
        <w:t xml:space="preserve">	</w:t>
      </w:r>
      <w:r>
        <w:t xml:space="preserve">Boyukozer FB, Tanoglu EG, Ozen M, Ittmann M, Aslan ES.</w:t>
      </w:r>
      <w:r>
        <w:t xml:space="preserve"> </w:t>
      </w:r>
      <w:r>
        <w:t xml:space="preserve">Kallikrein gene family as biomarkers for recurrent prostate cancer</w:t>
      </w:r>
      <w:r>
        <w:t xml:space="preserve">.</w:t>
      </w:r>
      <w:r>
        <w:t xml:space="preserve"> </w:t>
      </w:r>
      <w:r>
        <w:rPr>
          <w:iCs/>
          <w:i/>
        </w:rPr>
        <w:t xml:space="preserve">Croatian Medical Journal</w:t>
      </w:r>
      <w:r>
        <w:t xml:space="preserve"> (2020) 61:450. doi:</w:t>
      </w:r>
      <w:r>
        <w:t xml:space="preserve"> </w:t>
      </w:r>
      <w:hyperlink r:id="rId68">
        <w:r>
          <w:rPr>
            <w:rStyle w:val="InternetLink"/>
          </w:rPr>
          <w:t xml:space="preserve">10.3325/CMJ.2020.61.450</w:t>
        </w:r>
      </w:hyperlink>
    </w:p>
    <w:bookmarkEnd w:id="69"/>
    <w:bookmarkStart w:id="71" w:name="ref-Simon2011"/>
    <w:p>
      <w:pPr>
        <w:pStyle w:val="Bibliography"/>
      </w:pPr>
      <w:r>
        <w:t xml:space="preserve">15.</w:t>
      </w:r>
      <w:r>
        <w:t xml:space="preserve"> </w:t>
      </w:r>
      <w:r>
        <w:t xml:space="preserve">	</w:t>
      </w:r>
      <w:r>
        <w:t xml:space="preserve">Simon N, Friedman J, Hastie T, Tibshirani R.</w:t>
      </w:r>
      <w:r>
        <w:t xml:space="preserve"> </w:t>
      </w:r>
      <w:r>
        <w:t xml:space="preserve">Regularization Paths for Cox’s Proportional Hazards Model via Coordinate Descent</w:t>
      </w:r>
      <w:r>
        <w:t xml:space="preserve">.</w:t>
      </w:r>
      <w:r>
        <w:t xml:space="preserve"> </w:t>
      </w:r>
      <w:r>
        <w:rPr>
          <w:iCs/>
          <w:i/>
        </w:rPr>
        <w:t xml:space="preserve">Journal of Statistical Software</w:t>
      </w:r>
      <w:r>
        <w:t xml:space="preserve"> (2011) 39:1–13. doi:</w:t>
      </w:r>
      <w:r>
        <w:t xml:space="preserve"> </w:t>
      </w:r>
      <w:hyperlink r:id="rId70">
        <w:r>
          <w:rPr>
            <w:rStyle w:val="InternetLink"/>
          </w:rPr>
          <w:t xml:space="preserve">10.18637/JSS.V039.I05</w:t>
        </w:r>
      </w:hyperlink>
    </w:p>
    <w:bookmarkEnd w:id="71"/>
    <w:bookmarkStart w:id="73" w:name="ref-Tibshirani1996"/>
    <w:p>
      <w:pPr>
        <w:pStyle w:val="Bibliography"/>
      </w:pPr>
      <w:r>
        <w:t xml:space="preserve">16.</w:t>
      </w:r>
      <w:r>
        <w:t xml:space="preserve"> </w:t>
      </w:r>
      <w:r>
        <w:t xml:space="preserve">	</w:t>
      </w:r>
      <w:r>
        <w:t xml:space="preserve">Tibshirani R.</w:t>
      </w:r>
      <w:r>
        <w:t xml:space="preserve"> </w:t>
      </w:r>
      <w:r>
        <w:t xml:space="preserve">Regression Shrinkage and Selection via the Lasso</w:t>
      </w:r>
      <w:r>
        <w:t xml:space="preserve">.</w:t>
      </w:r>
      <w:r>
        <w:t xml:space="preserve"> </w:t>
      </w:r>
      <w:r>
        <w:rPr>
          <w:iCs/>
          <w:i/>
        </w:rPr>
        <w:t xml:space="preserve">Journal of the Royal Statistical Society Series B (Methodological)</w:t>
      </w:r>
      <w:r>
        <w:t xml:space="preserve"> (1996) 58:267–288. doi:</w:t>
      </w:r>
      <w:r>
        <w:t xml:space="preserve"> </w:t>
      </w:r>
      <w:hyperlink r:id="rId72">
        <w:r>
          <w:rPr>
            <w:rStyle w:val="InternetLink"/>
          </w:rPr>
          <w:t xml:space="preserve">10.1111/j.2517-6161.1996.tb02080.x</w:t>
        </w:r>
      </w:hyperlink>
    </w:p>
    <w:bookmarkEnd w:id="73"/>
    <w:bookmarkStart w:id="75" w:name="ref-Zou2005"/>
    <w:p>
      <w:pPr>
        <w:pStyle w:val="Bibliography"/>
      </w:pPr>
      <w:r>
        <w:t xml:space="preserve">17.</w:t>
      </w:r>
      <w:r>
        <w:t xml:space="preserve"> </w:t>
      </w:r>
      <w:r>
        <w:t xml:space="preserve">	</w:t>
      </w:r>
      <w:r>
        <w:t xml:space="preserve">Zou H, Hastie T.</w:t>
      </w:r>
      <w:r>
        <w:t xml:space="preserve"> </w:t>
      </w:r>
      <w:r>
        <w:t xml:space="preserve">Regularization and variable selection via the elastic net</w:t>
      </w:r>
      <w:r>
        <w:t xml:space="preserve">.</w:t>
      </w:r>
      <w:r>
        <w:t xml:space="preserve"> </w:t>
      </w:r>
      <w:r>
        <w:rPr>
          <w:iCs/>
          <w:i/>
        </w:rPr>
        <w:t xml:space="preserve">Journal of the Royal Statistical Society Series B: Statistical Methodology</w:t>
      </w:r>
      <w:r>
        <w:t xml:space="preserve"> (2005) 67:301–320. doi:</w:t>
      </w:r>
      <w:r>
        <w:t xml:space="preserve"> </w:t>
      </w:r>
      <w:hyperlink r:id="rId74">
        <w:r>
          <w:rPr>
            <w:rStyle w:val="InternetLink"/>
          </w:rPr>
          <w:t xml:space="preserve">10.1111/j.1467-9868.2005.00503.x</w:t>
        </w:r>
      </w:hyperlink>
    </w:p>
    <w:bookmarkEnd w:id="75"/>
    <w:bookmarkStart w:id="77" w:name="ref-Friedman2010"/>
    <w:p>
      <w:pPr>
        <w:pStyle w:val="Bibliography"/>
      </w:pPr>
      <w:r>
        <w:t xml:space="preserve">18.</w:t>
      </w:r>
      <w:r>
        <w:t xml:space="preserve"> </w:t>
      </w:r>
      <w:r>
        <w:t xml:space="preserve">	</w:t>
      </w:r>
      <w:r>
        <w:t xml:space="preserve">Friedman J, Hastie T, Tibshirani R.</w:t>
      </w:r>
      <w:r>
        <w:t xml:space="preserve"> </w:t>
      </w:r>
      <w:r>
        <w:t xml:space="preserve">Regularization paths for generalized linear models via coordinate descent</w:t>
      </w:r>
      <w:r>
        <w:t xml:space="preserve">.</w:t>
      </w:r>
      <w:r>
        <w:t xml:space="preserve"> </w:t>
      </w:r>
      <w:r>
        <w:rPr>
          <w:iCs/>
          <w:i/>
        </w:rPr>
        <w:t xml:space="preserve">Journal of Statistical Software</w:t>
      </w:r>
      <w:r>
        <w:t xml:space="preserve"> (2010) 33:1–22. doi:</w:t>
      </w:r>
      <w:r>
        <w:t xml:space="preserve"> </w:t>
      </w:r>
      <w:hyperlink r:id="rId76">
        <w:r>
          <w:rPr>
            <w:rStyle w:val="InternetLink"/>
          </w:rPr>
          <w:t xml:space="preserve">10.18637/jss.v033.i01</w:t>
        </w:r>
      </w:hyperlink>
    </w:p>
    <w:bookmarkEnd w:id="77"/>
    <w:bookmarkStart w:id="79" w:name="ref-Fouodo2018"/>
    <w:p>
      <w:pPr>
        <w:pStyle w:val="Bibliography"/>
      </w:pPr>
      <w:r>
        <w:t xml:space="preserve">19.</w:t>
      </w:r>
      <w:r>
        <w:t xml:space="preserve"> </w:t>
      </w:r>
      <w:r>
        <w:t xml:space="preserve">	</w:t>
      </w:r>
      <w:r>
        <w:t xml:space="preserve">Fouodo CJK, König IR, Weihs C, Ziegler A, Wright MN.</w:t>
      </w:r>
      <w:r>
        <w:t xml:space="preserve"> </w:t>
      </w:r>
      <w:r>
        <w:t xml:space="preserve">Support vector machines for survival analysis with R</w:t>
      </w:r>
      <w:r>
        <w:t xml:space="preserve">.</w:t>
      </w:r>
      <w:r>
        <w:t xml:space="preserve"> </w:t>
      </w:r>
      <w:r>
        <w:rPr>
          <w:iCs/>
          <w:i/>
        </w:rPr>
        <w:t xml:space="preserve">R Journal</w:t>
      </w:r>
      <w:r>
        <w:t xml:space="preserve"> (2018) 10:412–423. doi:</w:t>
      </w:r>
      <w:r>
        <w:t xml:space="preserve"> </w:t>
      </w:r>
      <w:hyperlink r:id="rId78">
        <w:r>
          <w:rPr>
            <w:rStyle w:val="InternetLink"/>
          </w:rPr>
          <w:t xml:space="preserve">10.32614/RJ-2018-005</w:t>
        </w:r>
      </w:hyperlink>
    </w:p>
    <w:bookmarkEnd w:id="79"/>
    <w:bookmarkStart w:id="80" w:name="ref-Weston1998"/>
    <w:p>
      <w:pPr>
        <w:pStyle w:val="Bibliography"/>
      </w:pPr>
      <w:r>
        <w:t xml:space="preserve">20.</w:t>
      </w:r>
      <w:r>
        <w:t xml:space="preserve"> </w:t>
      </w:r>
      <w:r>
        <w:t xml:space="preserve">	</w:t>
      </w:r>
      <w:r>
        <w:t xml:space="preserve">Weston J, Watkins C.</w:t>
      </w:r>
      <w:r>
        <w:t xml:space="preserve"> </w:t>
      </w:r>
      <w:r>
        <w:t xml:space="preserve">Multi-Class Support Vector Machines</w:t>
      </w:r>
      <w:r>
        <w:t xml:space="preserve">. (1998)</w:t>
      </w:r>
    </w:p>
    <w:bookmarkEnd w:id="80"/>
    <w:bookmarkStart w:id="82" w:name="ref-Breiman2001"/>
    <w:p>
      <w:pPr>
        <w:pStyle w:val="Bibliography"/>
      </w:pPr>
      <w:r>
        <w:t xml:space="preserve">21.</w:t>
      </w:r>
      <w:r>
        <w:t xml:space="preserve"> </w:t>
      </w:r>
      <w:r>
        <w:t xml:space="preserve">	</w:t>
      </w:r>
      <w:r>
        <w:t xml:space="preserve">Breiman L.</w:t>
      </w:r>
      <w:r>
        <w:t xml:space="preserve"> </w:t>
      </w:r>
      <w:r>
        <w:t xml:space="preserve">Random forests</w:t>
      </w:r>
      <w:r>
        <w:t xml:space="preserve">.</w:t>
      </w:r>
      <w:r>
        <w:t xml:space="preserve"> </w:t>
      </w:r>
      <w:r>
        <w:rPr>
          <w:iCs/>
          <w:i/>
        </w:rPr>
        <w:t xml:space="preserve">Machine Learning</w:t>
      </w:r>
      <w:r>
        <w:t xml:space="preserve"> (2001) 45:5–32. doi:</w:t>
      </w:r>
      <w:r>
        <w:t xml:space="preserve"> </w:t>
      </w:r>
      <w:hyperlink r:id="rId81">
        <w:r>
          <w:rPr>
            <w:rStyle w:val="InternetLink"/>
          </w:rPr>
          <w:t xml:space="preserve">10.1023/A:1010933404324</w:t>
        </w:r>
      </w:hyperlink>
    </w:p>
    <w:bookmarkEnd w:id="82"/>
    <w:bookmarkStart w:id="84" w:name="ref-Ishwaran2008"/>
    <w:p>
      <w:pPr>
        <w:pStyle w:val="Bibliography"/>
      </w:pPr>
      <w:r>
        <w:t xml:space="preserve">22.</w:t>
      </w:r>
      <w:r>
        <w:t xml:space="preserve"> </w:t>
      </w:r>
      <w:r>
        <w:t xml:space="preserve">	</w:t>
      </w:r>
      <w:r>
        <w:t xml:space="preserve">Ishwaran H, Kogalur UB, Blackstone EH, Lauer MS.</w:t>
      </w:r>
      <w:r>
        <w:t xml:space="preserve"> </w:t>
      </w:r>
      <w:r>
        <w:t xml:space="preserve">Random survival forests</w:t>
      </w:r>
      <w:r>
        <w:t xml:space="preserve">.</w:t>
      </w:r>
      <w:r>
        <w:t xml:space="preserve"> </w:t>
      </w:r>
      <w:r>
        <w:rPr>
          <w:iCs/>
          <w:i/>
        </w:rPr>
        <w:t xml:space="preserve">https://doiorg/101214/08-AOAS169</w:t>
      </w:r>
      <w:r>
        <w:t xml:space="preserve"> (2008) 2:841–860. doi:</w:t>
      </w:r>
      <w:r>
        <w:t xml:space="preserve"> </w:t>
      </w:r>
      <w:hyperlink r:id="rId83">
        <w:r>
          <w:rPr>
            <w:rStyle w:val="InternetLink"/>
          </w:rPr>
          <w:t xml:space="preserve">10.1214/08-AOAS169</w:t>
        </w:r>
      </w:hyperlink>
    </w:p>
    <w:bookmarkEnd w:id="84"/>
    <w:bookmarkStart w:id="86" w:name="ref-Friedman2001"/>
    <w:p>
      <w:pPr>
        <w:pStyle w:val="Bibliography"/>
      </w:pPr>
      <w:r>
        <w:t xml:space="preserve">23.</w:t>
      </w:r>
      <w:r>
        <w:t xml:space="preserve"> </w:t>
      </w:r>
      <w:r>
        <w:t xml:space="preserve">	</w:t>
      </w:r>
      <w:r>
        <w:t xml:space="preserve">Friedman JH.</w:t>
      </w:r>
      <w:r>
        <w:t xml:space="preserve"> </w:t>
      </w:r>
      <w:r>
        <w:t xml:space="preserve">Greedy function approximation: A gradient boosting machine.</w:t>
      </w:r>
      <w:r>
        <w:t xml:space="preserve"> </w:t>
      </w:r>
      <w:r>
        <w:rPr>
          <w:iCs/>
          <w:i/>
        </w:rPr>
        <w:t xml:space="preserve">https://doiorg/101214/aos/1013203451</w:t>
      </w:r>
      <w:r>
        <w:t xml:space="preserve"> (2001) 29:1189–1232. doi:</w:t>
      </w:r>
      <w:r>
        <w:t xml:space="preserve"> </w:t>
      </w:r>
      <w:hyperlink r:id="rId85">
        <w:r>
          <w:rPr>
            <w:rStyle w:val="InternetLink"/>
          </w:rPr>
          <w:t xml:space="preserve">10.1214/AOS/1013203451</w:t>
        </w:r>
      </w:hyperlink>
    </w:p>
    <w:bookmarkEnd w:id="86"/>
    <w:bookmarkStart w:id="88" w:name="ref-Greenwell2022"/>
    <w:p>
      <w:pPr>
        <w:pStyle w:val="Bibliography"/>
      </w:pPr>
      <w:r>
        <w:t xml:space="preserve">24.</w:t>
      </w:r>
      <w:r>
        <w:t xml:space="preserve"> </w:t>
      </w:r>
      <w:r>
        <w:t xml:space="preserve">	</w:t>
      </w:r>
      <w:r>
        <w:t xml:space="preserve">Greenwell B, Boehmke B, Cunningham J, Developers G.</w:t>
      </w:r>
      <w:r>
        <w:t xml:space="preserve"> </w:t>
      </w:r>
      <w:r>
        <w:t xml:space="preserve">gbm: Generalized Boosted Regression Models</w:t>
      </w:r>
      <w:r>
        <w:t xml:space="preserve">. (2022)</w:t>
      </w:r>
      <w:r>
        <w:t xml:space="preserve"> </w:t>
      </w:r>
      <w:hyperlink r:id="rId87">
        <w:r>
          <w:rPr>
            <w:rStyle w:val="InternetLink"/>
          </w:rPr>
          <w:t xml:space="preserve">https://cran.r-project.org/package=gbm</w:t>
        </w:r>
      </w:hyperlink>
    </w:p>
    <w:bookmarkEnd w:id="88"/>
    <w:bookmarkStart w:id="90" w:name="ref-Friedman2002"/>
    <w:p>
      <w:pPr>
        <w:pStyle w:val="Bibliography"/>
      </w:pPr>
      <w:r>
        <w:t xml:space="preserve">25.</w:t>
      </w:r>
      <w:r>
        <w:t xml:space="preserve"> </w:t>
      </w:r>
      <w:r>
        <w:t xml:space="preserve">	</w:t>
      </w:r>
      <w:r>
        <w:t xml:space="preserve">Friedman JH.</w:t>
      </w:r>
      <w:r>
        <w:t xml:space="preserve"> </w:t>
      </w:r>
      <w:r>
        <w:t xml:space="preserve">Stochastic gradient boosting</w:t>
      </w:r>
      <w:r>
        <w:t xml:space="preserve">.</w:t>
      </w:r>
      <w:r>
        <w:t xml:space="preserve"> </w:t>
      </w:r>
      <w:r>
        <w:rPr>
          <w:iCs/>
          <w:i/>
        </w:rPr>
        <w:t xml:space="preserve">Computational Statistics &amp; Data Analysis</w:t>
      </w:r>
      <w:r>
        <w:t xml:space="preserve"> (2002) 38:367–378. doi:</w:t>
      </w:r>
      <w:r>
        <w:t xml:space="preserve"> </w:t>
      </w:r>
      <w:hyperlink r:id="rId89">
        <w:r>
          <w:rPr>
            <w:rStyle w:val="InternetLink"/>
          </w:rPr>
          <w:t xml:space="preserve">10.1016/S0167-9473(01)00065-2</w:t>
        </w:r>
      </w:hyperlink>
    </w:p>
    <w:bookmarkEnd w:id="90"/>
    <w:bookmarkStart w:id="92" w:name="ref-Heagerty2000"/>
    <w:p>
      <w:pPr>
        <w:pStyle w:val="Bibliography"/>
      </w:pPr>
      <w:r>
        <w:t xml:space="preserve">26.</w:t>
      </w:r>
      <w:r>
        <w:t xml:space="preserve"> </w:t>
      </w:r>
      <w:r>
        <w:t xml:space="preserve">	</w:t>
      </w:r>
      <w:r>
        <w:t xml:space="preserve">Heagerty PJ, Lumley T, Pepe MS.</w:t>
      </w:r>
      <w:r>
        <w:t xml:space="preserve"> </w:t>
      </w:r>
      <w:r>
        <w:t xml:space="preserve">Time-dependent ROC curves for censored survival data and a diagnostic marker</w:t>
      </w:r>
      <w:r>
        <w:t xml:space="preserve">.</w:t>
      </w:r>
      <w:r>
        <w:t xml:space="preserve"> </w:t>
      </w:r>
      <w:r>
        <w:rPr>
          <w:iCs/>
          <w:i/>
        </w:rPr>
        <w:t xml:space="preserve">Biometrics</w:t>
      </w:r>
      <w:r>
        <w:t xml:space="preserve"> (2000) 56:337–344. doi:</w:t>
      </w:r>
      <w:r>
        <w:t xml:space="preserve"> </w:t>
      </w:r>
      <w:hyperlink r:id="rId91">
        <w:r>
          <w:rPr>
            <w:rStyle w:val="InternetLink"/>
          </w:rPr>
          <w:t xml:space="preserve">10.1111/J.0006-341X.2000.00337.X</w:t>
        </w:r>
      </w:hyperlink>
    </w:p>
    <w:bookmarkEnd w:id="92"/>
    <w:bookmarkEnd w:id="93"/>
    <w:bookmarkEnd w:id="94"/>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hyperlink" Id="rId87" Target="https://cran.r-project.org/package=gbm" TargetMode="External" /><Relationship Type="http://schemas.openxmlformats.org/officeDocument/2006/relationships/hyperlink" Id="rId62" Target="https://doi.org/10.1002/(SICI)1097-0258(19960229)15:4&lt;361::AID-SIM168&gt;3.0.CO;2-4" TargetMode="External" /><Relationship Type="http://schemas.openxmlformats.org/officeDocument/2006/relationships/hyperlink" Id="rId64" Target="https://doi.org/10.1002/(sici)1097-0258(19990915/30)18:17/18&lt;2529::aid-sim274&gt;3.0.co;2-5" TargetMode="External" /><Relationship Type="http://schemas.openxmlformats.org/officeDocument/2006/relationships/hyperlink" Id="rId54" Target="https://doi.org/10.1016/J.CCELL.2018.10.016" TargetMode="External" /><Relationship Type="http://schemas.openxmlformats.org/officeDocument/2006/relationships/hyperlink" Id="rId42" Target="https://doi.org/10.1016/J.CELL.2018.02.052" TargetMode="External" /><Relationship Type="http://schemas.openxmlformats.org/officeDocument/2006/relationships/hyperlink" Id="rId56" Target="https://doi.org/10.1016/J.EUO.2024.05.014" TargetMode="External" /><Relationship Type="http://schemas.openxmlformats.org/officeDocument/2006/relationships/hyperlink" Id="rId89" Target="https://doi.org/10.1016/S0167-9473(01)00065-2" TargetMode="External" /><Relationship Type="http://schemas.openxmlformats.org/officeDocument/2006/relationships/hyperlink" Id="rId44" Target="https://doi.org/10.1016/j.cell.2015.10.025" TargetMode="External" /><Relationship Type="http://schemas.openxmlformats.org/officeDocument/2006/relationships/hyperlink" Id="rId50" Target="https://doi.org/10.1016/j.ebiom.2015.07.017" TargetMode="External" /><Relationship Type="http://schemas.openxmlformats.org/officeDocument/2006/relationships/hyperlink" Id="rId81" Target="https://doi.org/10.1023/A:1010933404324" TargetMode="External" /><Relationship Type="http://schemas.openxmlformats.org/officeDocument/2006/relationships/hyperlink" Id="rId66" Target="https://doi.org/10.1038/S41391-020-00283-3" TargetMode="External" /><Relationship Type="http://schemas.openxmlformats.org/officeDocument/2006/relationships/hyperlink" Id="rId58" Target="https://doi.org/10.1093/BIOINFORMATICS/BTS034" TargetMode="External" /><Relationship Type="http://schemas.openxmlformats.org/officeDocument/2006/relationships/hyperlink" Id="rId91" Target="https://doi.org/10.1111/J.0006-341X.2000.00337.X" TargetMode="External" /><Relationship Type="http://schemas.openxmlformats.org/officeDocument/2006/relationships/hyperlink" Id="rId74" Target="https://doi.org/10.1111/j.1467-9868.2005.00503.x" TargetMode="External" /><Relationship Type="http://schemas.openxmlformats.org/officeDocument/2006/relationships/hyperlink" Id="rId72" Target="https://doi.org/10.1111/j.2517-6161.1996.tb02080.x" TargetMode="External" /><Relationship Type="http://schemas.openxmlformats.org/officeDocument/2006/relationships/hyperlink" Id="rId48" Target="https://doi.org/10.1158/0008-5472.CAN-13-2699" TargetMode="External" /><Relationship Type="http://schemas.openxmlformats.org/officeDocument/2006/relationships/hyperlink" Id="rId46" Target="https://doi.org/10.1186/1755-8794-3-8" TargetMode="External" /><Relationship Type="http://schemas.openxmlformats.org/officeDocument/2006/relationships/hyperlink" Id="rId52" Target="https://doi.org/10.1186/S12885-023-11019-6" TargetMode="External" /><Relationship Type="http://schemas.openxmlformats.org/officeDocument/2006/relationships/hyperlink" Id="rId83" Target="https://doi.org/10.1214/08-AOAS169" TargetMode="External" /><Relationship Type="http://schemas.openxmlformats.org/officeDocument/2006/relationships/hyperlink" Id="rId85" Target="https://doi.org/10.1214/AOS/1013203451" TargetMode="External" /><Relationship Type="http://schemas.openxmlformats.org/officeDocument/2006/relationships/hyperlink" Id="rId70" Target="https://doi.org/10.18637/JSS.V039.I05" TargetMode="External" /><Relationship Type="http://schemas.openxmlformats.org/officeDocument/2006/relationships/hyperlink" Id="rId76" Target="https://doi.org/10.18637/jss.v033.i01" TargetMode="External" /><Relationship Type="http://schemas.openxmlformats.org/officeDocument/2006/relationships/hyperlink" Id="rId78" Target="https://doi.org/10.32614/RJ-2018-005" TargetMode="External" /><Relationship Type="http://schemas.openxmlformats.org/officeDocument/2006/relationships/hyperlink" Id="rId68" Target="https://doi.org/10.3325/CMJ.2020.61.450" TargetMode="External" /><Relationship Type="http://schemas.openxmlformats.org/officeDocument/2006/relationships/hyperlink" Id="rId32" Target="https://github.com/PiotrTymoszuk/BCR_collagen" TargetMode="External" /><Relationship Type="http://schemas.openxmlformats.org/officeDocument/2006/relationships/hyperlink" Id="rId60" Target="https://igraph.org" TargetMode="External" /><Relationship Type="http://schemas.openxmlformats.org/officeDocument/2006/relationships/hyperlink" Id="rId20" Target="https://www.cbioportal.org/study/summary?id=prad_tcga_pan_can_atlas_2018" TargetMode="External" /><Relationship Type="http://schemas.openxmlformats.org/officeDocument/2006/relationships/hyperlink" Id="rId26" Target="https://www.cbioportal.org/study/summary?id=prostate_dkfz_2018" TargetMode="External" /><Relationship Type="http://schemas.openxmlformats.org/officeDocument/2006/relationships/hyperlink" Id="rId21" Target="https://www.ncbi.nlm.nih.gov/geo/query/acc.cgi?acc=GSE16560" TargetMode="External" /><Relationship Type="http://schemas.openxmlformats.org/officeDocument/2006/relationships/hyperlink" Id="rId25" Target="https://www.ncbi.nlm.nih.gov/geo/query/acc.cgi?acc=GSE220095" TargetMode="External" /><Relationship Type="http://schemas.openxmlformats.org/officeDocument/2006/relationships/hyperlink" Id="rId22" Target="https://www.ncbi.nlm.nih.gov/geo/query/acc.cgi?acc=GSE54460" TargetMode="External" /><Relationship Type="http://schemas.openxmlformats.org/officeDocument/2006/relationships/hyperlink" Id="rId23" Target="https://www.ncbi.nlm.nih.gov/geo/query/acc.cgi?acc=GSE70768" TargetMode="External" /><Relationship Type="http://schemas.openxmlformats.org/officeDocument/2006/relationships/hyperlink" Id="rId24" Target="https://www.ncbi.nlm.nih.gov/geo/query/acc.cgi?acc=GSE70769" TargetMode="External" /></Relationships>
</file>

<file path=word/_rels/footnotes.xml.rels><?xml version="1.0" encoding="UTF-8"?><Relationships xmlns="http://schemas.openxmlformats.org/package/2006/relationships"><Relationship Type="http://schemas.openxmlformats.org/officeDocument/2006/relationships/hyperlink" Id="rId87" Target="https://cran.r-project.org/package=gbm" TargetMode="External" /><Relationship Type="http://schemas.openxmlformats.org/officeDocument/2006/relationships/hyperlink" Id="rId62" Target="https://doi.org/10.1002/(SICI)1097-0258(19960229)15:4&lt;361::AID-SIM168&gt;3.0.CO;2-4" TargetMode="External" /><Relationship Type="http://schemas.openxmlformats.org/officeDocument/2006/relationships/hyperlink" Id="rId64" Target="https://doi.org/10.1002/(sici)1097-0258(19990915/30)18:17/18&lt;2529::aid-sim274&gt;3.0.co;2-5" TargetMode="External" /><Relationship Type="http://schemas.openxmlformats.org/officeDocument/2006/relationships/hyperlink" Id="rId54" Target="https://doi.org/10.1016/J.CCELL.2018.10.016" TargetMode="External" /><Relationship Type="http://schemas.openxmlformats.org/officeDocument/2006/relationships/hyperlink" Id="rId42" Target="https://doi.org/10.1016/J.CELL.2018.02.052" TargetMode="External" /><Relationship Type="http://schemas.openxmlformats.org/officeDocument/2006/relationships/hyperlink" Id="rId56" Target="https://doi.org/10.1016/J.EUO.2024.05.014" TargetMode="External" /><Relationship Type="http://schemas.openxmlformats.org/officeDocument/2006/relationships/hyperlink" Id="rId89" Target="https://doi.org/10.1016/S0167-9473(01)00065-2" TargetMode="External" /><Relationship Type="http://schemas.openxmlformats.org/officeDocument/2006/relationships/hyperlink" Id="rId44" Target="https://doi.org/10.1016/j.cell.2015.10.025" TargetMode="External" /><Relationship Type="http://schemas.openxmlformats.org/officeDocument/2006/relationships/hyperlink" Id="rId50" Target="https://doi.org/10.1016/j.ebiom.2015.07.017" TargetMode="External" /><Relationship Type="http://schemas.openxmlformats.org/officeDocument/2006/relationships/hyperlink" Id="rId81" Target="https://doi.org/10.1023/A:1010933404324" TargetMode="External" /><Relationship Type="http://schemas.openxmlformats.org/officeDocument/2006/relationships/hyperlink" Id="rId66" Target="https://doi.org/10.1038/S41391-020-00283-3" TargetMode="External" /><Relationship Type="http://schemas.openxmlformats.org/officeDocument/2006/relationships/hyperlink" Id="rId58" Target="https://doi.org/10.1093/BIOINFORMATICS/BTS034" TargetMode="External" /><Relationship Type="http://schemas.openxmlformats.org/officeDocument/2006/relationships/hyperlink" Id="rId91" Target="https://doi.org/10.1111/J.0006-341X.2000.00337.X" TargetMode="External" /><Relationship Type="http://schemas.openxmlformats.org/officeDocument/2006/relationships/hyperlink" Id="rId74" Target="https://doi.org/10.1111/j.1467-9868.2005.00503.x" TargetMode="External" /><Relationship Type="http://schemas.openxmlformats.org/officeDocument/2006/relationships/hyperlink" Id="rId72" Target="https://doi.org/10.1111/j.2517-6161.1996.tb02080.x" TargetMode="External" /><Relationship Type="http://schemas.openxmlformats.org/officeDocument/2006/relationships/hyperlink" Id="rId48" Target="https://doi.org/10.1158/0008-5472.CAN-13-2699" TargetMode="External" /><Relationship Type="http://schemas.openxmlformats.org/officeDocument/2006/relationships/hyperlink" Id="rId46" Target="https://doi.org/10.1186/1755-8794-3-8" TargetMode="External" /><Relationship Type="http://schemas.openxmlformats.org/officeDocument/2006/relationships/hyperlink" Id="rId52" Target="https://doi.org/10.1186/S12885-023-11019-6" TargetMode="External" /><Relationship Type="http://schemas.openxmlformats.org/officeDocument/2006/relationships/hyperlink" Id="rId83" Target="https://doi.org/10.1214/08-AOAS169" TargetMode="External" /><Relationship Type="http://schemas.openxmlformats.org/officeDocument/2006/relationships/hyperlink" Id="rId85" Target="https://doi.org/10.1214/AOS/1013203451" TargetMode="External" /><Relationship Type="http://schemas.openxmlformats.org/officeDocument/2006/relationships/hyperlink" Id="rId70" Target="https://doi.org/10.18637/JSS.V039.I05" TargetMode="External" /><Relationship Type="http://schemas.openxmlformats.org/officeDocument/2006/relationships/hyperlink" Id="rId76" Target="https://doi.org/10.18637/jss.v033.i01" TargetMode="External" /><Relationship Type="http://schemas.openxmlformats.org/officeDocument/2006/relationships/hyperlink" Id="rId78" Target="https://doi.org/10.32614/RJ-2018-005" TargetMode="External" /><Relationship Type="http://schemas.openxmlformats.org/officeDocument/2006/relationships/hyperlink" Id="rId68" Target="https://doi.org/10.3325/CMJ.2020.61.450" TargetMode="External" /><Relationship Type="http://schemas.openxmlformats.org/officeDocument/2006/relationships/hyperlink" Id="rId32" Target="https://github.com/PiotrTymoszuk/BCR_collagen" TargetMode="External" /><Relationship Type="http://schemas.openxmlformats.org/officeDocument/2006/relationships/hyperlink" Id="rId60" Target="https://igraph.org" TargetMode="External" /><Relationship Type="http://schemas.openxmlformats.org/officeDocument/2006/relationships/hyperlink" Id="rId20" Target="https://www.cbioportal.org/study/summary?id=prad_tcga_pan_can_atlas_2018" TargetMode="External" /><Relationship Type="http://schemas.openxmlformats.org/officeDocument/2006/relationships/hyperlink" Id="rId26" Target="https://www.cbioportal.org/study/summary?id=prostate_dkfz_2018" TargetMode="External" /><Relationship Type="http://schemas.openxmlformats.org/officeDocument/2006/relationships/hyperlink" Id="rId21" Target="https://www.ncbi.nlm.nih.gov/geo/query/acc.cgi?acc=GSE16560" TargetMode="External" /><Relationship Type="http://schemas.openxmlformats.org/officeDocument/2006/relationships/hyperlink" Id="rId25" Target="https://www.ncbi.nlm.nih.gov/geo/query/acc.cgi?acc=GSE220095" TargetMode="External" /><Relationship Type="http://schemas.openxmlformats.org/officeDocument/2006/relationships/hyperlink" Id="rId22" Target="https://www.ncbi.nlm.nih.gov/geo/query/acc.cgi?acc=GSE54460" TargetMode="External" /><Relationship Type="http://schemas.openxmlformats.org/officeDocument/2006/relationships/hyperlink" Id="rId23" Target="https://www.ncbi.nlm.nih.gov/geo/query/acc.cgi?acc=GSE70768" TargetMode="External" /><Relationship Type="http://schemas.openxmlformats.org/officeDocument/2006/relationships/hyperlink" Id="rId24" Target="https://www.ncbi.nlm.nih.gov/geo/query/acc.cgi?acc=GSE707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2</Pages>
  <Words>365</Words>
  <Characters>2349</Characters>
  <CharactersWithSpaces>2696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Prognostic and biological relevance of collagen-related genes in prostate cancer</dc:title>
  <dc:creator/>
  <cp:keywords/>
  <dcterms:created xsi:type="dcterms:W3CDTF">2025-02-27T22:38:25Z</dcterms:created>
  <dcterms:modified xsi:type="dcterms:W3CDTF">2025-02-27T22:38:25Z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coll_biblio.bib</vt:lpwstr>
  </property>
  <property fmtid="{D5CDD505-2E9C-101B-9397-08002B2CF9AE}" pid="3" name="csl">
    <vt:lpwstr>frontiers-in-immunology.csl</vt:lpwstr>
  </property>
  <property fmtid="{D5CDD505-2E9C-101B-9397-08002B2CF9AE}" pid="4" name="date">
    <vt:lpwstr>2025-02-27</vt:lpwstr>
  </property>
  <property fmtid="{D5CDD505-2E9C-101B-9397-08002B2CF9AE}" pid="5" name="header-includes">
    <vt:lpwstr>   </vt:lpwstr>
  </property>
  <property fmtid="{D5CDD505-2E9C-101B-9397-08002B2CF9AE}" pid="6" name="output">
    <vt:lpwstr/>
  </property>
  <property fmtid="{D5CDD505-2E9C-101B-9397-08002B2CF9AE}" pid="7" name="subtitle">
    <vt:lpwstr>Methods, figures and tables for the transcriptome part</vt:lpwstr>
  </property>
</Properties>
</file>