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Persistent</w:t>
      </w:r>
      <w:r>
        <w:t xml:space="preserve"> </w:t>
      </w:r>
      <w:r>
        <w:t xml:space="preserve">somatic</w:t>
      </w:r>
      <w:r>
        <w:t xml:space="preserve"> </w:t>
      </w:r>
      <w:r>
        <w:t xml:space="preserve">symptoms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to</w:t>
      </w:r>
      <w:r>
        <w:t xml:space="preserve"> </w:t>
      </w:r>
      <w:r>
        <w:t xml:space="preserve">individual</w:t>
      </w:r>
      <w:r>
        <w:t xml:space="preserve"> </w:t>
      </w:r>
      <w:r>
        <w:t xml:space="preserve">illness</w:t>
      </w:r>
      <w:r>
        <w:t xml:space="preserve"> </w:t>
      </w:r>
      <w:r>
        <w:t xml:space="preserve">perception</w:t>
      </w:r>
      <w:r>
        <w:t xml:space="preserve"> </w:t>
      </w:r>
      <w:r>
        <w:t xml:space="preserve">at</w:t>
      </w:r>
      <w:r>
        <w:t xml:space="preserve"> </w:t>
      </w:r>
      <w:r>
        <w:t xml:space="preserve">one</w:t>
      </w:r>
      <w:r>
        <w:t xml:space="preserve"> </w:t>
      </w:r>
      <w:r>
        <w:t xml:space="preserve">year</w:t>
      </w:r>
      <w:r>
        <w:t xml:space="preserve"> </w:t>
      </w:r>
      <w:r>
        <w:t xml:space="preserve">after</w:t>
      </w:r>
      <w:r>
        <w:t xml:space="preserve"> </w:t>
      </w:r>
      <w:r>
        <w:t xml:space="preserve">COVID-19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prospective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Reviewers</w:t>
      </w:r>
    </w:p>
    <w:p>
      <w:pPr>
        <w:pStyle w:val="Author"/>
      </w:pPr>
      <w:r>
        <w:t xml:space="preserve">CovILD</w:t>
      </w:r>
      <w:r>
        <w:t xml:space="preserve"> </w:t>
      </w:r>
      <w:r>
        <w:t xml:space="preserve">study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2023-03-06</w:t>
      </w:r>
    </w:p>
    <w:p>
      <w:r>
        <w:br w:type="page"/>
      </w:r>
    </w:p>
    <w:bookmarkStart w:id="23" w:name="figures-for-reviewers"/>
    <w:p>
      <w:pPr>
        <w:pStyle w:val="Heading1"/>
      </w:pPr>
      <w:r>
        <w:t xml:space="preserve">Figures for Reviewers</w:t>
      </w:r>
    </w:p>
    <w:p>
      <w:pPr>
        <w:pStyle w:val="CaptionedFigure"/>
      </w:pPr>
      <w:r>
        <w:drawing>
          <wp:inline>
            <wp:extent cx="5943600" cy="2641133"/>
            <wp:effectExtent b="0" l="0" r="0" t="0"/>
            <wp:docPr descr="Figure 1: Performance and reproducibility of backward elimination multi-parameter models." title="" id="21" name="Picture"/>
            <a:graphic>
              <a:graphicData uri="http://schemas.openxmlformats.org/drawingml/2006/picture">
                <pic:pic>
                  <pic:nvPicPr>
                    <pic:cNvPr descr="C:\Users\piotr\Desktop\COVILD12%20psych\paper\reviewer_material_files/figure-docx/fig-eli-performanc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Performance and reproducibility of backward elimination multi-parameter models.</w:t>
      </w:r>
    </w:p>
    <w:p>
      <w:pPr>
        <w:pStyle w:val="TextBody"/>
      </w:pPr>
      <w:r>
        <w:rPr>
          <w:bCs/>
          <w:b/>
        </w:rPr>
        <w:t xml:space="preserve">Supplementary Figure S</w:t>
      </w:r>
      <w:r>
        <w:rPr>
          <w:bCs/>
          <w:b/>
        </w:rPr>
        <w:t xml:space="preserve">1</w:t>
      </w:r>
      <w:r>
        <w:rPr>
          <w:bCs/>
          <w:b/>
        </w:rPr>
        <w:t xml:space="preserve">. Performance and reproducibility of backward elimination multi-parameter models.</w:t>
      </w:r>
    </w:p>
    <w:p>
      <w:pPr>
        <w:pStyle w:val="TextBody"/>
      </w:pPr>
      <w:r>
        <w:rPr>
          <w:iCs/>
          <w:i/>
        </w:rPr>
        <w:t xml:space="preserve">The total illness perception (IP) score, the emotion/concern/consequences and the lacking control/coherence sub-scores at the one-year follow-up were modeled by linear regression with Akaike information criterion-driven backwards elimination of model terms.</w:t>
      </w:r>
    </w:p>
    <w:p>
      <w:pPr>
        <w:pStyle w:val="TextBody"/>
      </w:pPr>
      <w:r>
        <w:rPr>
          <w:iCs/>
          <w:i/>
        </w:rPr>
        <w:t xml:space="preserve">(A) Fraction of variance explained by the model in the training data set and 10-repeats 10-fold cross-validation (CV) was estimated by the</w:t>
      </w:r>
      <w:r>
        <w:rPr>
          <w:iCs/>
          <w:i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iCs/>
          <w:i/>
        </w:rPr>
        <w:t xml:space="preserve"> </w:t>
      </w:r>
      <w:r>
        <w:rPr>
          <w:iCs/>
          <w:i/>
        </w:rPr>
        <w:t xml:space="preserve">statistic.</w:t>
      </w:r>
    </w:p>
    <w:p>
      <w:pPr>
        <w:pStyle w:val="TextBody"/>
      </w:pPr>
      <w:r>
        <w:rPr>
          <w:iCs/>
          <w:i/>
        </w:rPr>
        <w:t xml:space="preserve">(B) Model error expressed as root mean squared error (RMSE) in the training and CV data sets.</w:t>
      </w:r>
    </w:p>
    <w:bookmarkEnd w:id="23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2</Pages>
  <Words>365</Words>
  <Characters>2349</Characters>
  <CharactersWithSpaces>2696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Persistent somatic symptoms are key to individual illness perception at one year after COVID-19 in a cross-sectional prospective cohort study</dc:title>
  <dc:creator>CovILD study team</dc:creator>
  <cp:keywords/>
  <dcterms:created xsi:type="dcterms:W3CDTF">2023-03-06T17:03:08Z</dcterms:created>
  <dcterms:modified xsi:type="dcterms:W3CDTF">2023-03-06T17:03:08Z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cov_biblio.bib</vt:lpwstr>
  </property>
  <property fmtid="{D5CDD505-2E9C-101B-9397-08002B2CF9AE}" pid="3" name="csl">
    <vt:lpwstr>jpr.csl</vt:lpwstr>
  </property>
  <property fmtid="{D5CDD505-2E9C-101B-9397-08002B2CF9AE}" pid="4" name="date">
    <vt:lpwstr>2023-03-06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Figures for Reviewers</vt:lpwstr>
  </property>
</Properties>
</file>