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6.png" ContentType="image/png"/>
  <Override PartName="/word/media/rId29.png" ContentType="image/png"/>
  <Override PartName="/word/media/rId28.png" ContentType="image/png"/>
  <Override PartName="/word/media/rId22.png" ContentType="image/png"/>
  <Override PartName="/word/media/rId27.png" ContentType="image/png"/>
  <Override PartName="/word/media/rId25.png" ContentType="image/png"/>
  <Override PartName="/word/media/rId24.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COVID-19</w:t>
      </w:r>
      <w:r>
        <w:t xml:space="preserve"> </w:t>
      </w:r>
      <w:r>
        <w:t xml:space="preserve">and</w:t>
      </w:r>
      <w:r>
        <w:t xml:space="preserve"> </w:t>
      </w:r>
      <w:r>
        <w:t xml:space="preserve">its</w:t>
      </w:r>
      <w:r>
        <w:t xml:space="preserve"> </w:t>
      </w:r>
      <w:r>
        <w:t xml:space="preserve">continuing</w:t>
      </w:r>
      <w:r>
        <w:t xml:space="preserve"> </w:t>
      </w:r>
      <w:r>
        <w:t xml:space="preserve">burden</w:t>
      </w:r>
      <w:r>
        <w:t xml:space="preserve"> </w:t>
      </w:r>
      <w:r>
        <w:t xml:space="preserve">after</w:t>
      </w:r>
      <w:r>
        <w:t xml:space="preserve"> </w:t>
      </w:r>
      <w:r>
        <w:t xml:space="preserve">12</w:t>
      </w:r>
      <w:r>
        <w:t xml:space="preserve"> </w:t>
      </w:r>
      <w:r>
        <w:t xml:space="preserve">months:</w:t>
      </w:r>
      <w:r>
        <w:t xml:space="preserve"> </w:t>
      </w:r>
      <w:r>
        <w:t xml:space="preserve">a</w:t>
      </w:r>
      <w:r>
        <w:t xml:space="preserve"> </w:t>
      </w:r>
      <w:r>
        <w:t xml:space="preserve">longitudinal</w:t>
      </w:r>
      <w:r>
        <w:t xml:space="preserve"> </w:t>
      </w:r>
      <w:r>
        <w:t xml:space="preserve">observational</w:t>
      </w:r>
      <w:r>
        <w:t xml:space="preserve"> </w:t>
      </w:r>
      <w:r>
        <w:t xml:space="preserve">prospective</w:t>
      </w:r>
      <w:r>
        <w:t xml:space="preserve"> </w:t>
      </w:r>
      <w:r>
        <w:t xml:space="preserve">multicenter</w:t>
      </w:r>
      <w:r>
        <w:t xml:space="preserve"> </w:t>
      </w:r>
      <w:r>
        <w:t xml:space="preserve">trial</w:t>
      </w:r>
    </w:p>
    <w:p>
      <w:pPr>
        <w:pStyle w:val="Subtitle"/>
      </w:pPr>
      <w:r>
        <w:t xml:space="preserve">Figures</w:t>
      </w:r>
      <w:r>
        <w:t xml:space="preserve"> </w:t>
      </w:r>
      <w:r>
        <w:t xml:space="preserve">and</w:t>
      </w:r>
      <w:r>
        <w:t xml:space="preserve"> </w:t>
      </w:r>
      <w:r>
        <w:t xml:space="preserve">Tables</w:t>
      </w:r>
    </w:p>
    <w:p>
      <w:pPr>
        <w:pStyle w:val="Author"/>
      </w:pPr>
      <w:r>
        <w:t xml:space="preserve">CovILD</w:t>
      </w:r>
      <w:r>
        <w:t xml:space="preserve"> </w:t>
      </w:r>
      <w:r>
        <w:t xml:space="preserve">study</w:t>
      </w:r>
      <w:r>
        <w:t xml:space="preserve"> </w:t>
      </w:r>
      <w:r>
        <w:t xml:space="preserve">team</w:t>
      </w:r>
    </w:p>
    <w:p>
      <w:pPr>
        <w:pStyle w:val="Date"/>
      </w:pPr>
      <w:r>
        <w:t xml:space="preserve">2022-05-23</w:t>
      </w:r>
    </w:p>
    <w:p>
      <w:r>
        <w:br w:type="page"/>
      </w:r>
    </w:p>
    <w:p>
      <w:pPr>
        <w:pStyle w:val="Heading1"/>
      </w:pPr>
      <w:bookmarkStart w:id="20" w:name="tables"/>
      <w:r>
        <w:t xml:space="preserve">Tables</w:t>
      </w:r>
      <w:bookmarkEnd w:id="20"/>
    </w:p>
    <w:p>
      <w:pPr>
        <w:pStyle w:val="Compact"/>
      </w:pPr>
      <w:bookmarkStart w:id="775c3e51-2832-4361-ad86-44fc1c56ccb2" w:name="tab-cohort"/>
      <w:r>
        <w:rPr>
          <w:b/>
        </w:rPr>
        <w:t xml:space="preserve">Table 1:</w:t>
      </w:r>
      <w:r>
        <w:rPr>
          <w:b/>
        </w:rPr>
        <w:t xml:space="preserve"> </w:t>
      </w:r>
      <w:bookmarkEnd w:id="775c3e51-2832-4361-ad86-44fc1c56ccb2"/>
      <w:r>
        <w:t xml:space="preserve">Baseline characteristics of the study cohort and the COVID-19 severity groups.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01"/>
        <w:gridCol w:w="1417"/>
        <w:gridCol w:w="1417"/>
        <w:gridCol w:w="1417"/>
        <w:gridCol w:w="1417"/>
        <w:gridCol w:w="1417"/>
        <w:gridCol w:w="102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Variable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CovILD cohort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Ambulatory COVID-19</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Moderate COVID-19</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Severe COVID-19</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vertAlign w:val="superscript"/>
                <w:sz w:val="20"/>
                <w:szCs w:val="20"/>
                <w:color w:val="000000"/>
              </w:rPr>
              <w:t xml:space="preserve">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Effect 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vertAlign w:val="superscript"/>
                <w:sz w:val="20"/>
                <w:szCs w:val="20"/>
                <w:color w:val="000000"/>
              </w:rPr>
              <w:t xml:space="preserve">a</w:t>
            </w:r>
          </w:p>
        </w:tc>
      </w:tr>
      <w:tr>
        <w:trPr>
          <w:cantSplit/>
          <w:trHeight w:val="360" w:hRule="auto"/>
        </w:trPr>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 number</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108</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27</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55</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26</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Sex</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female: 41% (n = 44)</w:t>
              <w:br/>
              <w:t xml:space="preserve">male: 59% (n = 64)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female: 67% (n = 18)</w:t>
              <w:br/>
              <w:t xml:space="preserve">male: 33% (n = 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female: 35% (n = 19)</w:t>
              <w:br/>
              <w:t xml:space="preserve">male: 65% (n = 36)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female: 27% (n = 7)</w:t>
              <w:br/>
              <w:t xml:space="preserve">male: 73% (n = 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0.31</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Age, years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56 [IQR: 49 - 68]</w:t>
              <w:br/>
              <w:t xml:space="preserve">range: 19 - 87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47 [IQR: 38 - 55]</w:t>
              <w:br/>
              <w:t xml:space="preserve">range: 19 - 70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62 [IQR: 53 - 72]</w:t>
              <w:br/>
              <w:t xml:space="preserve">range: 27 - 87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56 [IQR: 52 - 64]</w:t>
              <w:br/>
              <w:t xml:space="preserve">range: 44 - 79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η² = 0.19</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Weight class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normal: 39% (n = 42)</w:t>
              <w:br/>
              <w:t xml:space="preserve">overweight: 43% (n = 46)</w:t>
              <w:br/>
              <w:t xml:space="preserve">obesity: 19% (n = 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normal: 56% (n = 15)</w:t>
              <w:br/>
              <w:t xml:space="preserve">overweight: 33% (n = 9)</w:t>
              <w:br/>
              <w:t xml:space="preserve">obesity: 11% (n = 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normal: 29% (n = 16)</w:t>
              <w:br/>
              <w:t xml:space="preserve">overweight: 51% (n = 28)</w:t>
              <w:br/>
              <w:t xml:space="preserve">obesity: 20% (n = 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normal: 42% (n = 11)</w:t>
              <w:br/>
              <w:t xml:space="preserve">overweight: 35% (n = 9)</w:t>
              <w:br/>
              <w:t xml:space="preserve">obesity: 23% (n = 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0.32)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0.17</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Smoking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never: 63% (n = 68)</w:t>
              <w:br/>
              <w:t xml:space="preserve">ex: 34% (n = 37)</w:t>
              <w:br/>
              <w:t xml:space="preserve">active: 2.8% (n = 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never: 81% (n = 22)</w:t>
              <w:br/>
              <w:t xml:space="preserve">ex: 15% (n = 4)</w:t>
              <w:br/>
              <w:t xml:space="preserve">active: 3.7% (n = 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never: 53% (n = 29)</w:t>
              <w:br/>
              <w:t xml:space="preserve">ex: 44% (n = 24)</w:t>
              <w:br/>
              <w:t xml:space="preserve">active: 3.6% (n = 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never: 65% (n = 17)</w:t>
              <w:br/>
              <w:t xml:space="preserve">ex: 35% (n = 9)</w:t>
              <w:br/>
              <w:t xml:space="preserve">active: 0% (n = 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0.24)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0.19</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Comorbidity present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75% (n = 81)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41% (n = 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85% (n = 47)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88% (n = 23)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0.46</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Metabolic disease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42% (n = 45)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19% (n = 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49% (n = 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50% (n = 13)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0.086)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0.27</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Diabetes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15% (n = 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3.7% (n = 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15% (n = 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27% (n = 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0.23</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Hypercholesterolemia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21% (n = 23)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3.7% (n = 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31% (n = 17)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19% (n = 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0.084)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0.27</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CVD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40% (n = 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7.4% (n = 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47% (n = 26)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58% (n = 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0.0027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0.39</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Pulmonary disease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19% (n = 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11% (n = 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22% (n = 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19% (n = 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0.63)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0.11</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Malignancy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9.3% (n = 10)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3.7% (n = 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15% (n = 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3.8% (n = 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0.32)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0.19</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Immune deficiency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5.6% (n = 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 (n = 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3.6% (n = 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15% (n = 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0.14)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0.25</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CKD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c</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6.5% (n = 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 (n = 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5.5% (n = 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15% (n = 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0.22</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GID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13% (n = 14)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 (n = 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20% (n = 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12% (n = 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0.24</w:t>
            </w:r>
          </w:p>
        </w:tc>
      </w:tr>
      <w:tr>
        <w:trPr>
          <w:cantSplit/>
          <w:trHeight w:val="360"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Rehabilitation</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 68% (n = 71)</w:t>
              <w:br/>
              <w:t xml:space="preserve">inpatient: 25% (n = 26)</w:t>
              <w:br/>
              <w:t xml:space="preserve">outpatient: 6.7% (n = 7)</w:t>
              <w:br/>
              <w:t xml:space="preserve">n = 104</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 89% (n = 24)</w:t>
              <w:br/>
              <w:t xml:space="preserve">inpatient: 0% (n = 0)</w:t>
              <w:br/>
              <w:t xml:space="preserve">outpatient: 11% (n = 3)</w:t>
              <w:br/>
              <w:t xml:space="preserve">n = 27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 81% (n = 43)</w:t>
              <w:br/>
              <w:t xml:space="preserve">inpatient: 13% (n = 7)</w:t>
              <w:br/>
              <w:t xml:space="preserve">outpatient: 5.7% (n = 3)</w:t>
              <w:br/>
              <w:t xml:space="preserve">n = 53</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 17% (n = 4)</w:t>
              <w:br/>
              <w:t xml:space="preserve">inpatient: 79% (n = 19)</w:t>
              <w:br/>
              <w:t xml:space="preserve">outpatient: 4.2% (n = 1)</w:t>
              <w:br/>
              <w:t xml:space="preserve">n = 24</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0.5</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Comparison between the COVID-19 severity strata. Categorical variables: χ² test with Cramer V effect size statistic; numeric variables: Kruskal-Vallis test with η² effect size statistic. P values corrected for multiple testing with Benjamini-Hochberg method.</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Body mass index (BMI); overweight &gt; 25 kg/m², obesity &gt; 30 kg/m²</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CVD: Cardiovascular disease</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CKD: Chronic kidney disease</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GID: Gastrointestinal disease</w:t>
            </w:r>
          </w:p>
        </w:tc>
      </w:tr>
    </w:tbl>
    <w:p>
      <w:r>
        <w:br w:type="page"/>
      </w:r>
    </w:p>
    <w:p>
      <w:pPr>
        <w:pStyle w:val="Compact"/>
      </w:pPr>
      <w:bookmarkStart w:id="5296f223-8489-44ca-82f7-8c4d9842b439" w:name="tab-enpoints"/>
      <w:r>
        <w:rPr>
          <w:b/>
        </w:rPr>
        <w:t xml:space="preserve">Table 2:</w:t>
      </w:r>
      <w:r>
        <w:rPr>
          <w:b/>
        </w:rPr>
        <w:t xml:space="preserve"> </w:t>
      </w:r>
      <w:bookmarkEnd w:id="5296f223-8489-44ca-82f7-8c4d9842b439"/>
      <w:r>
        <w:t xml:space="preserve">Key outcome measures of participants according to COVID-19 severity groups.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01"/>
        <w:gridCol w:w="1417"/>
        <w:gridCol w:w="1417"/>
        <w:gridCol w:w="1417"/>
        <w:gridCol w:w="1417"/>
        <w:gridCol w:w="1417"/>
        <w:gridCol w:w="102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Variable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CovILD cohort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Ambulatory COVID-19</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Moderate COVID-19</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Severe COVID-19</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vertAlign w:val="superscript"/>
                <w:sz w:val="20"/>
                <w:szCs w:val="20"/>
                <w:color w:val="000000"/>
              </w:rPr>
              <w:t xml:space="preserve">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Effect 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vertAlign w:val="superscript"/>
                <w:sz w:val="20"/>
                <w:szCs w:val="20"/>
                <w:color w:val="000000"/>
              </w:rPr>
              <w:t xml:space="preserve">a</w:t>
            </w:r>
          </w:p>
        </w:tc>
      </w:tr>
      <w:tr>
        <w:trPr>
          <w:cantSplit/>
          <w:trHeight w:val="360" w:hRule="auto"/>
        </w:trPr>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Symptoms present</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65% (n = 68)</w:t>
              <w:br/>
              <w:t xml:space="preserve">n = 105</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59% (n = 16)</w:t>
              <w:br/>
              <w:t xml:space="preserve">n = 27</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67% (n = 36)</w:t>
              <w:br/>
              <w:t xml:space="preserve">n = 54</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67% (n = 16)</w:t>
              <w:br/>
              <w:t xml:space="preserve">n = 24</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0.86)</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0.068</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LFT abnormality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33% (n = 35)</w:t>
              <w:br/>
              <w:t xml:space="preserve">n = 106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22% (n = 6)</w:t>
              <w:br/>
              <w:t xml:space="preserve">n = 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32% (n = 17)</w:t>
              <w:br/>
              <w:t xml:space="preserve">n = 53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46% (n = 12)</w:t>
              <w:br/>
              <w:t xml:space="preserve">n = 26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0.32)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0.18</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CT abnormality (CT score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c</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51% (n = 52)</w:t>
              <w:br/>
              <w:t xml:space="preserve">n = 101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13% (n = 3)</w:t>
              <w:br/>
              <w:t xml:space="preserve">n = 23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52% (n = 27)</w:t>
              <w:br/>
              <w:t xml:space="preserve">n = 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85% (n = 22)</w:t>
              <w:br/>
              <w:t xml:space="preserve">n = 26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0.5</w:t>
            </w:r>
          </w:p>
        </w:tc>
      </w:tr>
      <w:tr>
        <w:trPr>
          <w:cantSplit/>
          <w:trHeight w:val="360"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Diastolic dysfunction</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63% (n = 67)</w:t>
              <w:br/>
              <w:t xml:space="preserve">n = 107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30% (n = 8)</w:t>
              <w:br/>
              <w:t xml:space="preserve">n = 27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69% (n = 37)</w:t>
              <w:br/>
              <w:t xml:space="preserve">n = 54</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85% (n = 22)</w:t>
              <w:br/>
              <w:t xml:space="preserve">n = 26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0.001</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0.42</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COVID-19 severity groups compared with χ² test with Cramer V effect size statistic. P values corrected for multiple testing with Benjamini-Hochberg method.</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LFT abnormality: abnormality in lung function testing, &gt; 80% predicted value (FEV1: forced expiratory volume in 1 second; FVC: forced vital capacity; DLCO: diffusion lung capacity for carbon monoxide; TLC: total lung capacity) or &gt; 70% predicted value cutoffs (FEV1:FVC: FEV1 to FVC ratio.)</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CT abnormality: any abnormality in chest computed tomography, CT severity score ≥ 1.</w:t>
            </w:r>
          </w:p>
        </w:tc>
      </w:tr>
    </w:tbl>
    <w:p>
      <w:r>
        <w:br w:type="page"/>
      </w:r>
    </w:p>
    <w:p>
      <w:pPr>
        <w:pStyle w:val="Compact"/>
      </w:pPr>
      <w:bookmarkStart w:id="4421a077-8b21-45aa-bcb1-796bf2ecdced" w:name="tab-psych-reco"/>
      <w:r>
        <w:rPr>
          <w:b/>
        </w:rPr>
        <w:t xml:space="preserve">Table 3:</w:t>
      </w:r>
      <w:r>
        <w:rPr>
          <w:b/>
        </w:rPr>
        <w:t xml:space="preserve"> </w:t>
      </w:r>
      <w:bookmarkEnd w:id="4421a077-8b21-45aa-bcb1-796bf2ecdced"/>
      <w:r>
        <w:t xml:space="preserve">12-month sub-maximal exercise performance and mental health across COVID-19 severity groups.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01"/>
        <w:gridCol w:w="1417"/>
        <w:gridCol w:w="1417"/>
        <w:gridCol w:w="1417"/>
        <w:gridCol w:w="1417"/>
        <w:gridCol w:w="1417"/>
        <w:gridCol w:w="102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Variable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CovILD cohort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Ambulatory</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Moderate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Severe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vertAlign w:val="superscript"/>
                <w:sz w:val="20"/>
                <w:szCs w:val="20"/>
                <w:color w:val="000000"/>
              </w:rPr>
              <w:t xml:space="preserve">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Effect 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vertAlign w:val="superscript"/>
                <w:sz w:val="20"/>
                <w:szCs w:val="20"/>
                <w:color w:val="000000"/>
              </w:rPr>
              <w:t xml:space="preserve">a</w:t>
            </w:r>
          </w:p>
        </w:tc>
      </w:tr>
      <w:tr>
        <w:trPr>
          <w:cantSplit/>
          <w:trHeight w:val="360" w:hRule="auto"/>
        </w:trPr>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SMWD, m</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b</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550 [IQR: 490 - 630]</w:t>
              <w:br/>
              <w:t xml:space="preserve">range: 270 - 760</w:t>
              <w:br/>
              <w:t xml:space="preserve">n = 102</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580 [IQR: 540 - 640]</w:t>
              <w:br/>
              <w:t xml:space="preserve">range: 400 - 740</w:t>
              <w:br/>
              <w:t xml:space="preserve">n = 26</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540 [IQR: 460 - 620]</w:t>
              <w:br/>
              <w:t xml:space="preserve">range: 270 - 760</w:t>
              <w:br/>
              <w:t xml:space="preserve">n = 51</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520 [IQR: 480 - 620]</w:t>
              <w:br/>
              <w:t xml:space="preserve">range: 310 - 700</w:t>
              <w:br/>
              <w:t xml:space="preserve">n = 25</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0.18)</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η² = 0.034</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SMWD vs ref., m</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c</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-13 [IQR: -75 - 42]</w:t>
              <w:br/>
              <w:t xml:space="preserve">range: -230 - 140</w:t>
              <w:br/>
              <w:t xml:space="preserve">n = 102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-27 [IQR: -83 - 25]</w:t>
              <w:br/>
              <w:t xml:space="preserve">range: -230 - 120</w:t>
              <w:br/>
              <w:t xml:space="preserve">n = 26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-3.6 [IQR: -63 - 47]</w:t>
              <w:br/>
              <w:t xml:space="preserve">range: -230 - 130</w:t>
              <w:br/>
              <w:t xml:space="preserve">n = 51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-25 [IQR: -67 - 39]</w:t>
              <w:br/>
              <w:t xml:space="preserve">range: -210 - 140</w:t>
              <w:br/>
              <w:t xml:space="preserve">n = 25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η² = 0.0013</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SMWD &lt; ref.</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56% (n = 57)</w:t>
              <w:br/>
              <w:t xml:space="preserve">n = 102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62% (n = 16)</w:t>
              <w:br/>
              <w:t xml:space="preserve">n = 26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51% (n = 26)</w:t>
              <w:br/>
              <w:t xml:space="preserve">n = 51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60% (n = 15)</w:t>
              <w:br/>
              <w:t xml:space="preserve">n = 25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0.74)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0.099</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Fatigue score (likert CFS)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12 [IQR: 11 - 16]</w:t>
              <w:br/>
              <w:t xml:space="preserve">range: 0 - 32</w:t>
              <w:br/>
              <w:t xml:space="preserve">n = 101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11 [IQR: 11 - 17]</w:t>
              <w:br/>
              <w:t xml:space="preserve">range: 0 - 26</w:t>
              <w:br/>
              <w:t xml:space="preserve">n = 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12 [IQR: 11 - 15]</w:t>
              <w:br/>
              <w:t xml:space="preserve">range: 1 - 24</w:t>
              <w:br/>
              <w:t xml:space="preserve">n = 51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13 [IQR: 11 - 23]</w:t>
              <w:br/>
              <w:t xml:space="preserve">range: 1 - 32</w:t>
              <w:br/>
              <w:t xml:space="preserve">n = 23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η² = -3.5e-05</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Fatigue (bimodal CFS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37% (n = 38)</w:t>
              <w:br/>
              <w:t xml:space="preserve">n = 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44% (n = 12)</w:t>
              <w:br/>
              <w:t xml:space="preserve">n = 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31% (n = 16)</w:t>
              <w:br/>
              <w:t xml:space="preserve">n = 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42% (n = 10)</w:t>
              <w:br/>
              <w:t xml:space="preserve">n = 24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0.55)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0.13</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General health score (EQ5D5L VAS)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f</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85 [IQR: 75 - 90]</w:t>
              <w:br/>
              <w:t xml:space="preserve">range: 40 - 100</w:t>
              <w:br/>
              <w:t xml:space="preserve">n = 102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85 [IQR: 75 - 94]</w:t>
              <w:br/>
              <w:t xml:space="preserve">range: 40 - 100</w:t>
              <w:br/>
              <w:t xml:space="preserve">n = 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85 [IQR: 80 - 90]</w:t>
              <w:br/>
              <w:t xml:space="preserve">range: 50 - 100</w:t>
              <w:br/>
              <w:t xml:space="preserve">n = 51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80 [IQR: 70 - 90]</w:t>
              <w:br/>
              <w:t xml:space="preserve">range: 40 - 100</w:t>
              <w:br/>
              <w:t xml:space="preserve">n = 24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0.66)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η² = -0.0071</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Imp. general health (VAS &lt; 73, EQ5D5L)</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f</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19% (n = 19)</w:t>
              <w:br/>
              <w:t xml:space="preserve">n = 102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19% (n = 5)</w:t>
              <w:br/>
              <w:t xml:space="preserve">n = 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14% (n = 7)</w:t>
              <w:br/>
              <w:t xml:space="preserve">n = 51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29% (n = 7)</w:t>
              <w:br/>
              <w:t xml:space="preserve">n = 24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0.16</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Mobility impairment score (EQ5D5L)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 [IQR: 1 - 1]</w:t>
              <w:br/>
              <w:t xml:space="preserve">range: 1 - 3</w:t>
              <w:br/>
              <w:t xml:space="preserve">n = 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 [IQR: 1 - 1]</w:t>
              <w:br/>
              <w:t xml:space="preserve">range: 1 - 2</w:t>
              <w:br/>
              <w:t xml:space="preserve">n = 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 [IQR: 1 - 1]</w:t>
              <w:br/>
              <w:t xml:space="preserve">range: 1 - 3</w:t>
              <w:br/>
              <w:t xml:space="preserve">n = 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 [IQR: 1 - 1.2]</w:t>
              <w:br/>
              <w:t xml:space="preserve">range: 1 - 3</w:t>
              <w:br/>
              <w:t xml:space="preserve">n = 24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0.33)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η² = 0.013</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Imp. mobility (score  &gt; 1, EQ5D5L)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14% (n = 14)</w:t>
              <w:br/>
              <w:t xml:space="preserve">n = 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11% (n = 3)</w:t>
              <w:br/>
              <w:t xml:space="preserve">n = 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9.6% (n = 5)</w:t>
              <w:br/>
              <w:t xml:space="preserve">n = 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25% (n = 6)</w:t>
              <w:br/>
              <w:t xml:space="preserve">n = 24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0.32)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0.18</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Self-care impairment score (EQ5D5L)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 [IQR: 1 - 1]</w:t>
              <w:br/>
              <w:t xml:space="preserve">range: 1 - 2</w:t>
              <w:br/>
              <w:t xml:space="preserve">n = 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 [IQR: 1 - 1]</w:t>
              <w:br/>
              <w:t xml:space="preserve">range: 1 - 1</w:t>
              <w:br/>
              <w:t xml:space="preserve">n = 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 [IQR: 1 - 1]</w:t>
              <w:br/>
              <w:t xml:space="preserve">range: 1 - 2</w:t>
              <w:br/>
              <w:t xml:space="preserve">n = 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 [IQR: 1 - 1]</w:t>
              <w:br/>
              <w:t xml:space="preserve">range: 1 - 2</w:t>
              <w:br/>
              <w:t xml:space="preserve">n = 24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0.32)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η² = 0.014</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Imp. self-care (score  &gt; 1, EQ5D5L)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2.9% (n = 3)</w:t>
              <w:br/>
              <w:t xml:space="preserve">n = 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 (n = 0)</w:t>
              <w:br/>
              <w:t xml:space="preserve">n = 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1.9% (n = 1)</w:t>
              <w:br/>
              <w:t xml:space="preserve">n = 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8.3% (n = 2)</w:t>
              <w:br/>
              <w:t xml:space="preserve">n = 24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0.32)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0.18</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Activity impairment score (EQ5D5L)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 [IQR: 1 - 1]</w:t>
              <w:br/>
              <w:t xml:space="preserve">range: 1 - 3</w:t>
              <w:br/>
              <w:t xml:space="preserve">n = 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 [IQR: 1 - 1.5]</w:t>
              <w:br/>
              <w:t xml:space="preserve">range: 1 - 3</w:t>
              <w:br/>
              <w:t xml:space="preserve">n = 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 [IQR: 1 - 1]</w:t>
              <w:br/>
              <w:t xml:space="preserve">range: 1 - 3</w:t>
              <w:br/>
              <w:t xml:space="preserve">n = 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 [IQR: 1 - 2]</w:t>
              <w:br/>
              <w:t xml:space="preserve">range: 1 - 3</w:t>
              <w:br/>
              <w:t xml:space="preserve">n = 24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η² = 0.033</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Imp. usual activity (score  &gt; 1, EQ5D5L)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18% (n = 19)</w:t>
              <w:br/>
              <w:t xml:space="preserve">n = 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26% (n = 7)</w:t>
              <w:br/>
              <w:t xml:space="preserve">n = 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9.6% (n = 5)</w:t>
              <w:br/>
              <w:t xml:space="preserve">n = 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29% (n = 7)</w:t>
              <w:br/>
              <w:t xml:space="preserve">n = 24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0.23</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Pain/discomfort score (EQ5D5L)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 [IQR: 1 - 2]</w:t>
              <w:br/>
              <w:t xml:space="preserve">range: 1 - 4</w:t>
              <w:br/>
              <w:t xml:space="preserve">n = 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 [IQR: 1 - 2]</w:t>
              <w:br/>
              <w:t xml:space="preserve">range: 1 - 3</w:t>
              <w:br/>
              <w:t xml:space="preserve">n = 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 [IQR: 1 - 2]</w:t>
              <w:br/>
              <w:t xml:space="preserve">range: 1 - 4</w:t>
              <w:br/>
              <w:t xml:space="preserve">n = 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1.5 [IQR: 1 - 2]</w:t>
              <w:br/>
              <w:t xml:space="preserve">range: 1 - 4</w:t>
              <w:br/>
              <w:t xml:space="preserve">n = 24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0.28)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η² = 0.019</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Pain/discomfort (score  &gt; 1, EQ5D5L)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36% (n = 37)</w:t>
              <w:br/>
              <w:t xml:space="preserve">n = 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41% (n = 11)</w:t>
              <w:br/>
              <w:t xml:space="preserve">n = 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27% (n = 14)</w:t>
              <w:br/>
              <w:t xml:space="preserve">n = 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50% (n = 12)</w:t>
              <w:br/>
              <w:t xml:space="preserve">n = 24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0.2</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Anxiety/depression score (EQ5D5L)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 [IQR: 1 - 2]</w:t>
              <w:br/>
              <w:t xml:space="preserve">range: 1 - 5</w:t>
              <w:br/>
              <w:t xml:space="preserve">n = 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 [IQR: 1 - 2]</w:t>
              <w:br/>
              <w:t xml:space="preserve">range: 1 - 4</w:t>
              <w:br/>
              <w:t xml:space="preserve">n = 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 [IQR: 1 - 1]</w:t>
              <w:br/>
              <w:t xml:space="preserve">range: 1 - 3</w:t>
              <w:br/>
              <w:t xml:space="preserve">n = 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 [IQR: 1 - 2]</w:t>
              <w:br/>
              <w:t xml:space="preserve">range: 1 - 5</w:t>
              <w:br/>
              <w:t xml:space="preserve">n = 24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0.23)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η² = 0.027</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Anxiety/depression (score  &gt; 1, EQ5D5L)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28% (n = 29)</w:t>
              <w:br/>
              <w:t xml:space="preserve">n = 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30% (n = 8)</w:t>
              <w:br/>
              <w:t xml:space="preserve">n = 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21% (n = 11)</w:t>
              <w:br/>
              <w:t xml:space="preserve">n = 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42% (n = 10)</w:t>
              <w:br/>
              <w:t xml:space="preserve">n = 24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0.32)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0.18</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Stress score (PSS)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h</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5 [IQR: 3 - 8]</w:t>
              <w:br/>
              <w:t xml:space="preserve">range: 0 - 11</w:t>
              <w:br/>
              <w:t xml:space="preserve">n = 102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4 [IQR: 1 - 6.5]</w:t>
              <w:br/>
              <w:t xml:space="preserve">range: 0 - 11</w:t>
              <w:br/>
              <w:t xml:space="preserve">n = 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5 [IQR: 2.8 - 8]</w:t>
              <w:br/>
              <w:t xml:space="preserve">range: 0 - 11</w:t>
              <w:br/>
              <w:t xml:space="preserve">n = 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8 [IQR: 5 - 9.5]</w:t>
              <w:br/>
              <w:t xml:space="preserve">range: 0 - 11</w:t>
              <w:br/>
              <w:t xml:space="preserve">n = 23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0.061)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η² = 0.068</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Elevated stress (PSS &gt;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h</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49% (n = 50)</w:t>
              <w:br/>
              <w:t xml:space="preserve">n = 102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33% (n = 9)</w:t>
              <w:br/>
              <w:t xml:space="preserve">n = 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48% (n = 25)</w:t>
              <w:br/>
              <w:t xml:space="preserve">n = 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70% (n = 16)</w:t>
              <w:br/>
              <w:t xml:space="preserve">n = 23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0.25</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Somatic symptom disorder score (SSD-12)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i</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7 [IQR: 3 - 13]</w:t>
              <w:br/>
              <w:t xml:space="preserve">range: 0 - 30</w:t>
              <w:br/>
              <w:t xml:space="preserve">n = 101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5 [IQR: 2 - 10]</w:t>
              <w:br/>
              <w:t xml:space="preserve">range: 0 - 25</w:t>
              <w:br/>
              <w:t xml:space="preserve">n = 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5 [IQR: 2 - 9.8]</w:t>
              <w:br/>
              <w:t xml:space="preserve">range: 0 - 30</w:t>
              <w:br/>
              <w:t xml:space="preserve">n = 50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16 [IQR: 6.8 - 22]</w:t>
              <w:br/>
              <w:t xml:space="preserve">range: 0 - 30</w:t>
              <w:br/>
              <w:t xml:space="preserve">n = 24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η² = 0.087</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Resilience score (BRCS)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j</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16 [IQR: 13 - 18]</w:t>
              <w:br/>
              <w:t xml:space="preserve">range: 4 - 20</w:t>
              <w:br/>
              <w:t xml:space="preserve">n = 100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18 [IQR: 14 - 19]</w:t>
              <w:br/>
              <w:t xml:space="preserve">range: 4 - 20</w:t>
              <w:br/>
              <w:t xml:space="preserve">n = 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16 [IQR: 12 - 18]</w:t>
              <w:br/>
              <w:t xml:space="preserve">range: 4 - 20</w:t>
              <w:br/>
              <w:t xml:space="preserve">n = 49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16 [IQR: 14 - 17]</w:t>
              <w:br/>
              <w:t xml:space="preserve">range: 4 - 20</w:t>
              <w:br/>
              <w:t xml:space="preserve">n = 24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0.23)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η² = 0.026</w:t>
            </w:r>
          </w:p>
        </w:tc>
      </w:tr>
      <w:tr>
        <w:trPr>
          <w:cantSplit/>
          <w:trHeight w:val="360"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Resilience (BRCS)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k</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low: 29% (n = 29)</w:t>
              <w:br/>
              <w:t xml:space="preserve">medium: 26% (n = 26)</w:t>
              <w:br/>
              <w:t xml:space="preserve">high: 45% (n = 45)</w:t>
              <w:br/>
              <w:t xml:space="preserve">n = 100</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low: 22% (n = 6)</w:t>
              <w:br/>
              <w:t xml:space="preserve">medium: 19% (n = 5)</w:t>
              <w:br/>
              <w:t xml:space="preserve">high: 59% (n = 16)</w:t>
              <w:br/>
              <w:t xml:space="preserve">n = 27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low: 35% (n = 17)</w:t>
              <w:br/>
              <w:t xml:space="preserve">medium: 27% (n = 13)</w:t>
              <w:br/>
              <w:t xml:space="preserve">high: 39% (n = 19)</w:t>
              <w:br/>
              <w:t xml:space="preserve">n = 49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low: 25% (n = 6)</w:t>
              <w:br/>
              <w:t xml:space="preserve">medium: 33% (n = 8)</w:t>
              <w:br/>
              <w:t xml:space="preserve">high: 42% (n = 10)</w:t>
              <w:br/>
              <w:t xml:space="preserve">n = 24</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0.55)</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0.14</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Comparison between the COVID-19 severity strata. Categorical variables: χ² test with Cramer V effect size statistic; numeric variables: Kruskal-Vallis test with η² effect size statistic. P values corrected for multiple testing with Benjamini-Hochberg method.</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SMWD: six-minute walking distance, meters.</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SMWD vs ref.: difference between the reference and observed SMWD value, meters</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SMWD &lt; ref.: SMWD below the reference value.</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CFS: 11-item Chalder fatigue score, incr.: increased.</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f</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VAS: visual analogue scale, imp.: impaired.</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h</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PSS: 4-item perceived stress scale.</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i</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SSD-12: 12-item somatic syndrome disorder – B criteria scale.</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j</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BRCS: brief resilient coping score.</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k</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low: 4 - 13 points, medium: 14 - 16 points, high: 17 - 21 points in the BRCS scale.</w:t>
            </w:r>
          </w:p>
        </w:tc>
      </w:tr>
    </w:tbl>
    <w:p>
      <w:r>
        <w:br w:type="page"/>
      </w:r>
    </w:p>
    <w:p>
      <w:pPr>
        <w:pStyle w:val="Heading1"/>
      </w:pPr>
      <w:bookmarkStart w:id="21" w:name="sec:figures"/>
      <w:r>
        <w:t xml:space="preserve">Figures</w:t>
      </w:r>
      <w:bookmarkEnd w:id="21"/>
    </w:p>
    <w:p>
      <w:pPr>
        <w:pStyle w:val="CaptionedFigure"/>
      </w:pPr>
      <w:r>
        <w:drawing>
          <wp:inline>
            <wp:extent cx="3243906" cy="3965961"/>
            <wp:effectExtent b="0" l="0" r="0" t="0"/>
            <wp:docPr descr="Figure 1: CONSORT flow diagram of the study analysis inclusion." title="" id="1" name="Picture"/>
            <a:graphic>
              <a:graphicData uri="http://schemas.openxmlformats.org/drawingml/2006/picture">
                <pic:pic>
                  <pic:nvPicPr>
                    <pic:cNvPr descr="C:\Users\piotr\Desktop\COVILD%2012%20months\paper\figures_and_tables_files/figure-docx/fig-consort-1.png" id="0" name="Picture"/>
                    <pic:cNvPicPr>
                      <a:picLocks noChangeArrowheads="1" noChangeAspect="1"/>
                    </pic:cNvPicPr>
                  </pic:nvPicPr>
                  <pic:blipFill>
                    <a:blip r:embed="rId22"/>
                    <a:stretch>
                      <a:fillRect/>
                    </a:stretch>
                  </pic:blipFill>
                  <pic:spPr bwMode="auto">
                    <a:xfrm>
                      <a:off x="0" y="0"/>
                      <a:ext cx="3243906" cy="3965961"/>
                    </a:xfrm>
                    <a:prstGeom prst="rect">
                      <a:avLst/>
                    </a:prstGeom>
                    <a:noFill/>
                    <a:ln w="9525">
                      <a:noFill/>
                      <a:headEnd/>
                      <a:tailEnd/>
                    </a:ln>
                  </pic:spPr>
                </pic:pic>
              </a:graphicData>
            </a:graphic>
          </wp:inline>
        </w:drawing>
      </w:r>
    </w:p>
    <w:p>
      <w:pPr>
        <w:pStyle w:val="ImageCaption"/>
      </w:pPr>
      <w:r>
        <w:t xml:space="preserve">Figure 1: CONSORT flow diagram of the study analysis inclusion.</w:t>
      </w:r>
    </w:p>
    <w:p>
      <w:pPr>
        <w:pStyle w:val="TextBody"/>
      </w:pPr>
      <w:r>
        <w:rPr>
          <w:b/>
        </w:rPr>
        <w:t xml:space="preserve">Figure</w:t>
      </w:r>
      <w:r>
        <w:rPr>
          <w:b/>
        </w:rPr>
        <w:t xml:space="preserve"> </w:t>
      </w:r>
      <w:r>
        <w:rPr>
          <w:b/>
        </w:rPr>
        <w:t xml:space="preserve">1</w:t>
      </w:r>
      <w:r>
        <w:rPr>
          <w:b/>
        </w:rPr>
        <w:t xml:space="preserve">. CONSORT flow diagram of the study analysis inclusion.</w:t>
      </w:r>
    </w:p>
    <w:p>
      <w:r>
        <w:br w:type="page"/>
      </w:r>
    </w:p>
    <w:p>
      <w:pPr>
        <w:pStyle w:val="CaptionedFigure"/>
      </w:pPr>
      <w:r>
        <w:drawing>
          <wp:inline>
            <wp:extent cx="5943600" cy="6934899"/>
            <wp:effectExtent b="0" l="0" r="0" t="0"/>
            <wp:docPr descr="Figure 2: COVID-19 symptom recovery." title="" id="1" name="Picture"/>
            <a:graphic>
              <a:graphicData uri="http://schemas.openxmlformats.org/drawingml/2006/picture">
                <pic:pic>
                  <pic:nvPicPr>
                    <pic:cNvPr descr="C:\Users\piotr\Desktop\COVILD%2012%20months\paper\figures_and_tables_files/figure-docx/fig-symptoms-1.png" id="0" name="Picture"/>
                    <pic:cNvPicPr>
                      <a:picLocks noChangeArrowheads="1" noChangeAspect="1"/>
                    </pic:cNvPicPr>
                  </pic:nvPicPr>
                  <pic:blipFill>
                    <a:blip r:embed="rId23"/>
                    <a:stretch>
                      <a:fillRect/>
                    </a:stretch>
                  </pic:blipFill>
                  <pic:spPr bwMode="auto">
                    <a:xfrm>
                      <a:off x="0" y="0"/>
                      <a:ext cx="5943600" cy="6934899"/>
                    </a:xfrm>
                    <a:prstGeom prst="rect">
                      <a:avLst/>
                    </a:prstGeom>
                    <a:noFill/>
                    <a:ln w="9525">
                      <a:noFill/>
                      <a:headEnd/>
                      <a:tailEnd/>
                    </a:ln>
                  </pic:spPr>
                </pic:pic>
              </a:graphicData>
            </a:graphic>
          </wp:inline>
        </w:drawing>
      </w:r>
    </w:p>
    <w:p>
      <w:pPr>
        <w:pStyle w:val="ImageCaption"/>
      </w:pPr>
      <w:r>
        <w:t xml:space="preserve">Figure 2: COVID-19 symptom recovery.</w:t>
      </w:r>
    </w:p>
    <w:p>
      <w:pPr>
        <w:pStyle w:val="TextBody"/>
      </w:pPr>
      <w:r>
        <w:rPr>
          <w:b/>
        </w:rPr>
        <w:t xml:space="preserve">Figure</w:t>
      </w:r>
      <w:r>
        <w:rPr>
          <w:b/>
        </w:rPr>
        <w:t xml:space="preserve"> </w:t>
      </w:r>
      <w:r>
        <w:rPr>
          <w:b/>
        </w:rPr>
        <w:t xml:space="preserve">2</w:t>
      </w:r>
      <w:r>
        <w:rPr>
          <w:b/>
        </w:rPr>
        <w:t xml:space="preserve">. COVID-19 symptom recovery.</w:t>
      </w:r>
    </w:p>
    <w:p>
      <w:pPr>
        <w:pStyle w:val="TextBody"/>
      </w:pPr>
      <w:r>
        <w:t xml:space="preserve">Presence of COVID-19 symptoms was analyzed in the entire study collective and in ambulatory, moderate and severe COVID-19 survivors.</w:t>
      </w:r>
    </w:p>
    <w:p>
      <w:pPr>
        <w:pStyle w:val="TextBody"/>
      </w:pPr>
      <w:r>
        <w:rPr>
          <w:b/>
        </w:rPr>
        <w:t xml:space="preserve">(A)</w:t>
      </w:r>
      <w:r>
        <w:t xml:space="preserve"> </w:t>
      </w:r>
      <w:r>
        <w:t xml:space="preserve">Percentages of individuals with particular symptoms at the 1-year follow-up. Numbers of complete observations are indicated on the plot axis. Point size and color codes for the symptom percentage.</w:t>
      </w:r>
    </w:p>
    <w:p>
      <w:pPr>
        <w:pStyle w:val="TextBody"/>
      </w:pPr>
      <w:r>
        <w:rPr>
          <w:b/>
        </w:rPr>
        <w:t xml:space="preserve">(B)</w:t>
      </w:r>
      <w:r>
        <w:t xml:space="preserve"> </w:t>
      </w:r>
      <w:r>
        <w:t xml:space="preserve">Percentages of individuals with any symptoms during acute COVID-19 and at the 2-, 3-, 6-month and 1-year follow-up. Participants with the complete longitudinal data set were included in the analysis. The recovery was modeled by second-order mixed-effect logistic modeling and likelihood ratio test (full vs null model). P values were corrected for multiple testing with the Benjamini-Hochberg method. Likelihood ratio (</w:t>
      </w:r>
      <m:oMath>
        <m:r>
          <m:t>λ</m:t>
        </m:r>
      </m:oMath>
      <w:r>
        <w:t xml:space="preserve">), p values and numbers of participants with the complete longitudinal data set are presented in the plot captions.</w:t>
      </w:r>
    </w:p>
    <w:p>
      <w:pPr>
        <w:pStyle w:val="TextBody"/>
      </w:pPr>
      <w:r>
        <w:t xml:space="preserve">Chalder FS: Chalder fatigue score.</w:t>
      </w:r>
    </w:p>
    <w:p>
      <w:r>
        <w:br w:type="page"/>
      </w:r>
    </w:p>
    <w:p>
      <w:pPr>
        <w:pStyle w:val="CaptionedFigure"/>
      </w:pPr>
      <w:r>
        <w:drawing>
          <wp:inline>
            <wp:extent cx="5943600" cy="6934899"/>
            <wp:effectExtent b="0" l="0" r="0" t="0"/>
            <wp:docPr descr="Figure 3: Functional lung recovery." title="" id="1" name="Picture"/>
            <a:graphic>
              <a:graphicData uri="http://schemas.openxmlformats.org/drawingml/2006/picture">
                <pic:pic>
                  <pic:nvPicPr>
                    <pic:cNvPr descr="C:\Users\piotr\Desktop\COVILD%2012%20months\paper\figures_and_tables_files/figure-docx/fig-lft-1.png" id="0" name="Picture"/>
                    <pic:cNvPicPr>
                      <a:picLocks noChangeArrowheads="1" noChangeAspect="1"/>
                    </pic:cNvPicPr>
                  </pic:nvPicPr>
                  <pic:blipFill>
                    <a:blip r:embed="rId24"/>
                    <a:stretch>
                      <a:fillRect/>
                    </a:stretch>
                  </pic:blipFill>
                  <pic:spPr bwMode="auto">
                    <a:xfrm>
                      <a:off x="0" y="0"/>
                      <a:ext cx="5943600" cy="6934899"/>
                    </a:xfrm>
                    <a:prstGeom prst="rect">
                      <a:avLst/>
                    </a:prstGeom>
                    <a:noFill/>
                    <a:ln w="9525">
                      <a:noFill/>
                      <a:headEnd/>
                      <a:tailEnd/>
                    </a:ln>
                  </pic:spPr>
                </pic:pic>
              </a:graphicData>
            </a:graphic>
          </wp:inline>
        </w:drawing>
      </w:r>
    </w:p>
    <w:p>
      <w:pPr>
        <w:pStyle w:val="ImageCaption"/>
      </w:pPr>
      <w:r>
        <w:t xml:space="preserve">Figure 3: Functional lung recovery.</w:t>
      </w:r>
    </w:p>
    <w:p>
      <w:pPr>
        <w:pStyle w:val="TextBody"/>
      </w:pPr>
      <w:r>
        <w:rPr>
          <w:b/>
        </w:rPr>
        <w:t xml:space="preserve">Figure</w:t>
      </w:r>
      <w:r>
        <w:rPr>
          <w:b/>
        </w:rPr>
        <w:t xml:space="preserve"> </w:t>
      </w:r>
      <w:r>
        <w:rPr>
          <w:b/>
        </w:rPr>
        <w:t xml:space="preserve">3</w:t>
      </w:r>
      <w:r>
        <w:rPr>
          <w:b/>
        </w:rPr>
        <w:t xml:space="preserve">. Functional lung recovery.</w:t>
      </w:r>
    </w:p>
    <w:p>
      <w:pPr>
        <w:pStyle w:val="TextBody"/>
      </w:pPr>
      <w:r>
        <w:t xml:space="preserve">Lung function testing (LFT) was analyzed in the entire study collective and in ambulatory, moderate and severe COVID-19 survivors.</w:t>
      </w:r>
    </w:p>
    <w:p>
      <w:pPr>
        <w:pStyle w:val="TextBody"/>
      </w:pPr>
      <w:r>
        <w:rPr>
          <w:b/>
        </w:rPr>
        <w:t xml:space="preserve">(A)</w:t>
      </w:r>
      <w:r>
        <w:t xml:space="preserve"> </w:t>
      </w:r>
      <w:r>
        <w:t xml:space="preserve">Percentages of individuals with particular LFT abnormalities at the 1-year follow-up. Numbers of complete observations are indicated on the plot axis. Point size and color codes for the abnormality percentage. FEV1: forced expiratory volume in 1 second; FVC: forced vital capacity; DLCO: diffusion lung capacity for carbon monoxide; RV: residual volume, FEV1:FVC: FEV1 to FVC ratio, TLC: total lung capacity.</w:t>
      </w:r>
    </w:p>
    <w:p>
      <w:pPr>
        <w:pStyle w:val="TextBody"/>
      </w:pPr>
      <w:r>
        <w:rPr>
          <w:b/>
        </w:rPr>
        <w:t xml:space="preserve">(B)</w:t>
      </w:r>
      <w:r>
        <w:t xml:space="preserve"> </w:t>
      </w:r>
      <w:r>
        <w:t xml:space="preserve">Percentages of individuals with any LFT abnormality at the 2-, 3-, 6-month and 1-year follow-up. Participants with the complete longitudinal data set were included in the analysis. The recovery was modeled by second-order mixed-effect logistic modeling and likelihood ratio test (full vs null model). P values were corrected for multiple testing with the Benjamini-Hochberg method. Likelihood ratio (</w:t>
      </w:r>
      <m:oMath>
        <m:r>
          <m:t>λ</m:t>
        </m:r>
      </m:oMath>
      <w:r>
        <w:t xml:space="preserve">), p values and numbers of participants with the complete longitudinal data set are presented in the plot captions.</w:t>
      </w:r>
    </w:p>
    <w:p>
      <w:r>
        <w:br w:type="page"/>
      </w:r>
    </w:p>
    <w:p>
      <w:pPr>
        <w:pStyle w:val="CaptionedFigure"/>
      </w:pPr>
      <w:r>
        <w:drawing>
          <wp:inline>
            <wp:extent cx="5943600" cy="5943600"/>
            <wp:effectExtent b="0" l="0" r="0" t="0"/>
            <wp:docPr descr="Figure 4: Radiological lung recovery." title="" id="1" name="Picture"/>
            <a:graphic>
              <a:graphicData uri="http://schemas.openxmlformats.org/drawingml/2006/picture">
                <pic:pic>
                  <pic:nvPicPr>
                    <pic:cNvPr descr="C:\Users\piotr\Desktop\COVILD%2012%20months\paper\figures_and_tables_files/figure-docx/fig-ct-1.png" id="0" name="Picture"/>
                    <pic:cNvPicPr>
                      <a:picLocks noChangeArrowheads="1" noChangeAspect="1"/>
                    </pic:cNvPicPr>
                  </pic:nvPicPr>
                  <pic:blipFill>
                    <a:blip r:embed="rId2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4: Radiological lung recovery.</w:t>
      </w:r>
    </w:p>
    <w:p>
      <w:pPr>
        <w:pStyle w:val="TextBody"/>
      </w:pPr>
      <w:r>
        <w:rPr>
          <w:b/>
        </w:rPr>
        <w:t xml:space="preserve">Figure</w:t>
      </w:r>
      <w:r>
        <w:rPr>
          <w:b/>
        </w:rPr>
        <w:t xml:space="preserve"> </w:t>
      </w:r>
      <w:r>
        <w:rPr>
          <w:b/>
        </w:rPr>
        <w:t xml:space="preserve">4</w:t>
      </w:r>
      <w:r>
        <w:rPr>
          <w:b/>
        </w:rPr>
        <w:t xml:space="preserve">. Radiological lung recovery.</w:t>
      </w:r>
    </w:p>
    <w:p>
      <w:pPr>
        <w:pStyle w:val="TextBody"/>
      </w:pPr>
      <w:r>
        <w:t xml:space="preserve">Chest computed tomography (CT) was analyzed in the entire study collective and in ambulatory, moderate and severe COVID-19 survivors.</w:t>
      </w:r>
    </w:p>
    <w:p>
      <w:pPr>
        <w:pStyle w:val="TextBody"/>
      </w:pPr>
      <w:r>
        <w:rPr>
          <w:b/>
        </w:rPr>
        <w:t xml:space="preserve">(A)</w:t>
      </w:r>
      <w:r>
        <w:t xml:space="preserve"> </w:t>
      </w:r>
      <w:r>
        <w:t xml:space="preserve">Percentages of individuals with any chest CT abnormality and abnormalities scored &gt; 5 CT severity score points at the 1-year follow-up. Numbers of complete observations are indicated on the plot axis. Point size and color codes for the abnormality percentage.</w:t>
      </w:r>
    </w:p>
    <w:p>
      <w:pPr>
        <w:pStyle w:val="TextBody"/>
      </w:pPr>
      <w:r>
        <w:rPr>
          <w:b/>
        </w:rPr>
        <w:t xml:space="preserve">(B)</w:t>
      </w:r>
      <w:r>
        <w:t xml:space="preserve"> </w:t>
      </w:r>
      <w:r>
        <w:t xml:space="preserve">Percentages of individuals with any chest CT abnormality at the 2-, 3-, 6-month and 1-year follow-up. Participants with the complete longitudinal data set were included in the analysis. The recovery was modeled by second-order mixed-effect logistic modeling and likelihood ratio test (full vs null model). P values were corrected for multiple testing with the Benjamini-Hochberg method. Likelihood ratio (</w:t>
      </w:r>
      <m:oMath>
        <m:r>
          <m:t>λ</m:t>
        </m:r>
      </m:oMath>
      <w:r>
        <w:t xml:space="preserve">), p values and numbers of participants with the complete longitudinal data set are presented in the plot captions.</w:t>
      </w:r>
    </w:p>
    <w:p>
      <w:r>
        <w:br w:type="page"/>
      </w:r>
    </w:p>
    <w:p>
      <w:pPr>
        <w:pStyle w:val="CaptionedFigure"/>
      </w:pPr>
      <w:r>
        <w:drawing>
          <wp:inline>
            <wp:extent cx="5943600" cy="5943600"/>
            <wp:effectExtent b="0" l="0" r="0" t="0"/>
            <wp:docPr descr="Figure 5: Cardiological recovery." title="" id="1" name="Picture"/>
            <a:graphic>
              <a:graphicData uri="http://schemas.openxmlformats.org/drawingml/2006/picture">
                <pic:pic>
                  <pic:nvPicPr>
                    <pic:cNvPr descr="C:\Users\piotr\Desktop\COVILD%2012%20months\paper\figures_and_tables_files/figure-docx/fig-cardio-1.png" id="0" name="Picture"/>
                    <pic:cNvPicPr>
                      <a:picLocks noChangeArrowheads="1" noChangeAspect="1"/>
                    </pic:cNvPicPr>
                  </pic:nvPicPr>
                  <pic:blipFill>
                    <a:blip r:embed="rId2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5: Cardiological recovery.</w:t>
      </w:r>
    </w:p>
    <w:p>
      <w:pPr>
        <w:pStyle w:val="TextBody"/>
      </w:pPr>
      <w:r>
        <w:rPr>
          <w:b/>
        </w:rPr>
        <w:t xml:space="preserve">Figure</w:t>
      </w:r>
      <w:r>
        <w:rPr>
          <w:b/>
        </w:rPr>
        <w:t xml:space="preserve"> </w:t>
      </w:r>
      <w:r>
        <w:rPr>
          <w:b/>
        </w:rPr>
        <w:t xml:space="preserve">5</w:t>
      </w:r>
      <w:r>
        <w:rPr>
          <w:b/>
        </w:rPr>
        <w:t xml:space="preserve">. Cardiological recovery.</w:t>
      </w:r>
    </w:p>
    <w:p>
      <w:pPr>
        <w:pStyle w:val="TextBody"/>
      </w:pPr>
      <w:r>
        <w:t xml:space="preserve">Transthoracic echocardiography (TTE) was performed in the entire study collective and in ambulatory, moderate and severe COVID-19 survivors.</w:t>
      </w:r>
    </w:p>
    <w:p>
      <w:pPr>
        <w:pStyle w:val="TextBody"/>
      </w:pPr>
      <w:r>
        <w:rPr>
          <w:b/>
        </w:rPr>
        <w:t xml:space="preserve">(A)</w:t>
      </w:r>
      <w:r>
        <w:t xml:space="preserve"> </w:t>
      </w:r>
      <w:r>
        <w:t xml:space="preserve">Percentages of individuals diagnosed diastolic dysfunction of any severity and reduced left ventricular ejection fraction (LVEF) at the 1-year follow-up. Numbers of complete observations are indicated on the plot axis. Point size and color codes for the abnormality percentage.</w:t>
      </w:r>
    </w:p>
    <w:p>
      <w:pPr>
        <w:pStyle w:val="TextBody"/>
      </w:pPr>
      <w:r>
        <w:rPr>
          <w:b/>
        </w:rPr>
        <w:t xml:space="preserve">(B)</w:t>
      </w:r>
      <w:r>
        <w:t xml:space="preserve"> </w:t>
      </w:r>
      <w:r>
        <w:t xml:space="preserve">Percentages of individuals diagnosed diastolic dysfunction at the 2-, 3-, 6-month and 1-year follow-up. Participants with the complete longitudinal data set were included in the analysis. The recovery was modeled by second-order mixed-effect logistic modeling and likelihood ratio test (full vs null model). P values were corrected for multiple testing with the Benjamini-Hochberg method. Likelihood ratio (</w:t>
      </w:r>
      <m:oMath>
        <m:r>
          <m:t>λ</m:t>
        </m:r>
      </m:oMath>
      <w:r>
        <w:t xml:space="preserve">), p values and numbers of participants with the complete longitudinal data set are presented in the plot captions.</w:t>
      </w:r>
    </w:p>
    <w:p>
      <w:r>
        <w:br w:type="page"/>
      </w:r>
    </w:p>
    <w:p>
      <w:pPr>
        <w:pStyle w:val="CaptionedFigure"/>
      </w:pPr>
      <w:r>
        <w:drawing>
          <wp:inline>
            <wp:extent cx="5943600" cy="6439948"/>
            <wp:effectExtent b="0" l="0" r="0" t="0"/>
            <wp:docPr descr="Figure 6: Symptoms, cardiopulmonary findings and mental health." title="" id="1" name="Picture"/>
            <a:graphic>
              <a:graphicData uri="http://schemas.openxmlformats.org/drawingml/2006/picture">
                <pic:pic>
                  <pic:nvPicPr>
                    <pic:cNvPr descr="C:\Users\piotr\Desktop\COVILD%2012%20months\paper\figures_and_tables_files/figure-docx/fig-correlations-1.png" id="0" name="Picture"/>
                    <pic:cNvPicPr>
                      <a:picLocks noChangeArrowheads="1" noChangeAspect="1"/>
                    </pic:cNvPicPr>
                  </pic:nvPicPr>
                  <pic:blipFill>
                    <a:blip r:embed="rId27"/>
                    <a:stretch>
                      <a:fillRect/>
                    </a:stretch>
                  </pic:blipFill>
                  <pic:spPr bwMode="auto">
                    <a:xfrm>
                      <a:off x="0" y="0"/>
                      <a:ext cx="5943600" cy="6439948"/>
                    </a:xfrm>
                    <a:prstGeom prst="rect">
                      <a:avLst/>
                    </a:prstGeom>
                    <a:noFill/>
                    <a:ln w="9525">
                      <a:noFill/>
                      <a:headEnd/>
                      <a:tailEnd/>
                    </a:ln>
                  </pic:spPr>
                </pic:pic>
              </a:graphicData>
            </a:graphic>
          </wp:inline>
        </w:drawing>
      </w:r>
    </w:p>
    <w:p>
      <w:pPr>
        <w:pStyle w:val="ImageCaption"/>
      </w:pPr>
      <w:r>
        <w:t xml:space="preserve">Figure 6: Symptoms, cardiopulmonary findings and mental health.</w:t>
      </w:r>
    </w:p>
    <w:p>
      <w:pPr>
        <w:pStyle w:val="TextBody"/>
      </w:pPr>
      <w:r>
        <w:rPr>
          <w:b/>
        </w:rPr>
        <w:t xml:space="preserve">Figure</w:t>
      </w:r>
      <w:r>
        <w:rPr>
          <w:b/>
        </w:rPr>
        <w:t xml:space="preserve"> </w:t>
      </w:r>
      <w:r>
        <w:rPr>
          <w:b/>
        </w:rPr>
        <w:t xml:space="preserve">6</w:t>
      </w:r>
      <w:r>
        <w:rPr>
          <w:b/>
        </w:rPr>
        <w:t xml:space="preserve">. Symptoms, cardiopulmonary findings and mental health.</w:t>
      </w:r>
    </w:p>
    <w:p>
      <w:pPr>
        <w:pStyle w:val="TextBody"/>
      </w:pPr>
      <w:r>
        <w:t xml:space="preserve">Association of COVID-19 symptoms, cardiopulmonary abnormality as well as scores of fatigue, health self-perception, quality of life, mental health and stress scoring at the 1-year follow-up (</w:t>
      </w:r>
      <w:r>
        <w:rPr>
          <w:b/>
        </w:rPr>
        <w:t xml:space="preserve">Supplementary Tables S1</w:t>
      </w:r>
      <w:r>
        <w:t xml:space="preserve"> </w:t>
      </w:r>
      <w:r>
        <w:t xml:space="preserve">and</w:t>
      </w:r>
      <w:r>
        <w:t xml:space="preserve"> </w:t>
      </w:r>
      <w:r>
        <w:rPr>
          <w:b/>
        </w:rPr>
        <w:t xml:space="preserve">S2</w:t>
      </w:r>
      <w:r>
        <w:t xml:space="preserve">) was analyzed by pairwise Kendall’s</w:t>
      </w:r>
      <w:r>
        <w:t xml:space="preserve"> </w:t>
      </w:r>
      <m:oMath>
        <m:r>
          <m:t>τ</m:t>
        </m:r>
      </m:oMath>
      <w:r>
        <w:t xml:space="preserve"> </w:t>
      </w:r>
      <w:r>
        <w:t xml:space="preserve">correlation test. P values were corrected for multiple testing with the Benjamini-Hochberg method.</w:t>
      </w:r>
      <w:r>
        <w:t xml:space="preserve"> </w:t>
      </w:r>
      <m:oMath>
        <m:r>
          <m:t>τ</m:t>
        </m:r>
      </m:oMath>
      <w:r>
        <w:t xml:space="preserve"> </w:t>
      </w:r>
      <w:r>
        <w:t xml:space="preserve">coefficients for significant correlations are presented. Point size and color codes for the</w:t>
      </w:r>
      <w:r>
        <w:t xml:space="preserve"> </w:t>
      </w:r>
      <m:oMath>
        <m:r>
          <m:t>τ</m:t>
        </m:r>
      </m:oMath>
      <w:r>
        <w:t xml:space="preserve"> </w:t>
      </w:r>
      <w:r>
        <w:t xml:space="preserve">value. The number of complete observations is indicated under the plot.</w:t>
      </w:r>
    </w:p>
    <w:p>
      <w:pPr>
        <w:pStyle w:val="TextBody"/>
      </w:pPr>
      <w:r>
        <w:t xml:space="preserve">mMRC: modified medical research council dyspnea scale; #: number of,</w:t>
      </w:r>
      <w:r>
        <w:t xml:space="preserve"> </w:t>
      </w:r>
      <w:r>
        <w:t xml:space="preserve">LFT: lung function testing;</w:t>
      </w:r>
      <w:r>
        <w:t xml:space="preserve"> </w:t>
      </w:r>
      <w:r>
        <w:t xml:space="preserve">DLCO: diffusion lung capacity for carbon monoxide;</w:t>
      </w:r>
      <w:r>
        <w:t xml:space="preserve"> </w:t>
      </w:r>
      <w:r>
        <w:t xml:space="preserve">CT: chest computed tomography;</w:t>
      </w:r>
      <w:r>
        <w:t xml:space="preserve"> </w:t>
      </w:r>
      <w:r>
        <w:t xml:space="preserve">SMWD vs ref.: six minute walking distance, difference versus the reference value;</w:t>
      </w:r>
      <w:r>
        <w:t xml:space="preserve"> </w:t>
      </w:r>
      <w:r>
        <w:t xml:space="preserve">EQ5DL: European quality of life 5 dimensions;</w:t>
      </w:r>
      <w:r>
        <w:t xml:space="preserve"> </w:t>
      </w:r>
      <w:r>
        <w:t xml:space="preserve">VAS: visual analogue scale;</w:t>
      </w:r>
      <w:r>
        <w:t xml:space="preserve"> </w:t>
      </w:r>
      <w:r>
        <w:t xml:space="preserve">PSS: perceived stress score;</w:t>
      </w:r>
      <w:r>
        <w:t xml:space="preserve"> </w:t>
      </w:r>
      <w:r>
        <w:t xml:space="preserve">CFS: Chalder fatigue score.</w:t>
      </w:r>
    </w:p>
    <w:p>
      <w:r>
        <w:br w:type="page"/>
      </w:r>
    </w:p>
    <w:p>
      <w:pPr>
        <w:pStyle w:val="CaptionedFigure"/>
      </w:pPr>
      <w:r>
        <w:drawing>
          <wp:inline>
            <wp:extent cx="5943600" cy="7264866"/>
            <wp:effectExtent b="0" l="0" r="0" t="0"/>
            <wp:docPr descr="Figure 7: Clusters of clinical and psychosocial COVID-19 recovery." title="" id="1" name="Picture"/>
            <a:graphic>
              <a:graphicData uri="http://schemas.openxmlformats.org/drawingml/2006/picture">
                <pic:pic>
                  <pic:nvPicPr>
                    <pic:cNvPr descr="C:\Users\piotr\Desktop\COVILD%2012%20months\paper\figures_and_tables_files/figure-docx/fig-clusters-1.png" id="0" name="Picture"/>
                    <pic:cNvPicPr>
                      <a:picLocks noChangeArrowheads="1" noChangeAspect="1"/>
                    </pic:cNvPicPr>
                  </pic:nvPicPr>
                  <pic:blipFill>
                    <a:blip r:embed="rId28"/>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7: Clusters of clinical and psychosocial COVID-19 recovery.</w:t>
      </w:r>
    </w:p>
    <w:p>
      <w:pPr>
        <w:pStyle w:val="TextBody"/>
      </w:pPr>
      <w:r>
        <w:rPr>
          <w:b/>
        </w:rPr>
        <w:t xml:space="preserve">Figure</w:t>
      </w:r>
      <w:r>
        <w:rPr>
          <w:b/>
        </w:rPr>
        <w:t xml:space="preserve"> </w:t>
      </w:r>
      <w:r>
        <w:rPr>
          <w:b/>
        </w:rPr>
        <w:t xml:space="preserve">7</w:t>
      </w:r>
      <w:r>
        <w:rPr>
          <w:b/>
        </w:rPr>
        <w:t xml:space="preserve">. Clusters of clinical and psychosocial COVID-19 recovery.</w:t>
      </w:r>
    </w:p>
    <w:p>
      <w:pPr>
        <w:pStyle w:val="TextBody"/>
      </w:pPr>
      <w:r>
        <w:t xml:space="preserve">Clustering of the study participants in respect to 19 binary symptom, cardiopulmonary and psychosocial features recorded at the 1-year follow-up (</w:t>
      </w:r>
      <w:r>
        <w:rPr>
          <w:b/>
        </w:rPr>
        <w:t xml:space="preserve">Supplementary Table S1</w:t>
      </w:r>
      <w:r>
        <w:t xml:space="preserve"> </w:t>
      </w:r>
      <w:r>
        <w:t xml:space="preserve">and</w:t>
      </w:r>
      <w:r>
        <w:t xml:space="preserve"> </w:t>
      </w:r>
      <w:r>
        <w:rPr>
          <w:b/>
        </w:rPr>
        <w:t xml:space="preserve">S2</w:t>
      </w:r>
      <w:r>
        <w:t xml:space="preserve">) was analyzed by the PAM algorithm (PAM: partitioning around medoids, simple matching distance).</w:t>
      </w:r>
    </w:p>
    <w:p>
      <w:pPr>
        <w:pStyle w:val="TextBody"/>
      </w:pPr>
      <w:r>
        <w:rPr>
          <w:b/>
        </w:rPr>
        <w:t xml:space="preserve">(A)</w:t>
      </w:r>
      <w:r>
        <w:t xml:space="preserve"> </w:t>
      </w:r>
      <w:r>
        <w:t xml:space="preserve">Assignment of the study participants to the recovery clusters. Percentages of variance associated with the UMAP components are presented in the plot axes. Numbers of participants assigned to the clusters are presented next to the plot.</w:t>
      </w:r>
    </w:p>
    <w:p>
      <w:pPr>
        <w:pStyle w:val="TextBody"/>
      </w:pPr>
      <w:r>
        <w:rPr>
          <w:b/>
        </w:rPr>
        <w:t xml:space="preserve">(B)</w:t>
      </w:r>
      <w:r>
        <w:t xml:space="preserve"> </w:t>
      </w:r>
      <w:r>
        <w:t xml:space="preserve">Differences in frequency of the clustering variables between the recovery clusters were analyzed by</w:t>
      </w:r>
      <w:r>
        <w:t xml:space="preserve"> </w:t>
      </w:r>
      <m:oMath>
        <m:sSup>
          <m:e>
            <m:r>
              <m:t>χ</m:t>
            </m:r>
          </m:e>
          <m:sup>
            <m:r>
              <m:t>2</m:t>
            </m:r>
          </m:sup>
        </m:sSup>
      </m:oMath>
      <w:r>
        <w:t xml:space="preserve">. P values were corrected for multiple testing with the Benjamini-Hochberg method. Lines represent the estimated percentages of the feature in the cluster, tinted regions represent 2</w:t>
      </w:r>
      <m:oMath>
        <m:r>
          <m:t>×</m:t>
        </m:r>
      </m:oMath>
      <w:r>
        <w:t xml:space="preserve">SEM intervals. Features significantly differing between the clusters are labeled in bold.</w:t>
      </w:r>
    </w:p>
    <w:p>
      <w:pPr>
        <w:pStyle w:val="TextBody"/>
      </w:pPr>
      <w:r>
        <w:t xml:space="preserve">CP: cardiopulmonary,</w:t>
      </w:r>
      <w:r>
        <w:t xml:space="preserve"> </w:t>
      </w:r>
      <w:r>
        <w:t xml:space="preserve">imp.: impaired,</w:t>
      </w:r>
      <w:r>
        <w:t xml:space="preserve"> </w:t>
      </w:r>
      <w:r>
        <w:t xml:space="preserve">EQ5DL: European quality of life 5 dimensions;</w:t>
      </w:r>
      <w:r>
        <w:t xml:space="preserve"> </w:t>
      </w:r>
      <w:r>
        <w:t xml:space="preserve">VAS: visual analogue scale;</w:t>
      </w:r>
      <w:r>
        <w:t xml:space="preserve"> </w:t>
      </w:r>
      <w:r>
        <w:t xml:space="preserve">CFS: Chalder fatigue score;</w:t>
      </w:r>
      <w:r>
        <w:t xml:space="preserve"> </w:t>
      </w:r>
      <w:r>
        <w:t xml:space="preserve">PSS: perceived stress score;</w:t>
      </w:r>
      <w:r>
        <w:t xml:space="preserve"> </w:t>
      </w:r>
      <w:r>
        <w:t xml:space="preserve">SMWD &lt; ref: six-minute walking distance below the reference value.</w:t>
      </w:r>
      <w:r>
        <w:t xml:space="preserve"> </w:t>
      </w:r>
      <w:r>
        <w:t xml:space="preserve">LFT: lung function testing;</w:t>
      </w:r>
      <w:r>
        <w:t xml:space="preserve"> </w:t>
      </w:r>
      <w:r>
        <w:t xml:space="preserve">CT: chest computed tomography.</w:t>
      </w:r>
    </w:p>
    <w:p>
      <w:r>
        <w:br w:type="page"/>
      </w:r>
    </w:p>
    <w:p>
      <w:pPr>
        <w:pStyle w:val="CaptionedFigure"/>
      </w:pPr>
      <w:r>
        <w:drawing>
          <wp:inline>
            <wp:extent cx="5943600" cy="6934899"/>
            <wp:effectExtent b="0" l="0" r="0" t="0"/>
            <wp:docPr descr="Figure 8: Quality of life, fatigue and mental health rating in the COVID-19 recovery clusters." title="" id="1" name="Picture"/>
            <a:graphic>
              <a:graphicData uri="http://schemas.openxmlformats.org/drawingml/2006/picture">
                <pic:pic>
                  <pic:nvPicPr>
                    <pic:cNvPr descr="C:\Users\piotr\Desktop\COVILD%2012%20months\paper\figures_and_tables_files/figure-docx/fig-clust-psych-1.png" id="0" name="Picture"/>
                    <pic:cNvPicPr>
                      <a:picLocks noChangeArrowheads="1" noChangeAspect="1"/>
                    </pic:cNvPicPr>
                  </pic:nvPicPr>
                  <pic:blipFill>
                    <a:blip r:embed="rId29"/>
                    <a:stretch>
                      <a:fillRect/>
                    </a:stretch>
                  </pic:blipFill>
                  <pic:spPr bwMode="auto">
                    <a:xfrm>
                      <a:off x="0" y="0"/>
                      <a:ext cx="5943600" cy="6934899"/>
                    </a:xfrm>
                    <a:prstGeom prst="rect">
                      <a:avLst/>
                    </a:prstGeom>
                    <a:noFill/>
                    <a:ln w="9525">
                      <a:noFill/>
                      <a:headEnd/>
                      <a:tailEnd/>
                    </a:ln>
                  </pic:spPr>
                </pic:pic>
              </a:graphicData>
            </a:graphic>
          </wp:inline>
        </w:drawing>
      </w:r>
    </w:p>
    <w:p>
      <w:pPr>
        <w:pStyle w:val="ImageCaption"/>
      </w:pPr>
      <w:r>
        <w:t xml:space="preserve">Figure 8: Quality of life, fatigue and mental health rating in the COVID-19 recovery clusters.</w:t>
      </w:r>
    </w:p>
    <w:p>
      <w:pPr>
        <w:pStyle w:val="TextBody"/>
      </w:pPr>
      <w:r>
        <w:rPr>
          <w:b/>
        </w:rPr>
        <w:t xml:space="preserve">Figure</w:t>
      </w:r>
      <w:r>
        <w:rPr>
          <w:b/>
        </w:rPr>
        <w:t xml:space="preserve"> </w:t>
      </w:r>
      <w:r>
        <w:rPr>
          <w:b/>
        </w:rPr>
        <w:t xml:space="preserve">8</w:t>
      </w:r>
      <w:r>
        <w:rPr>
          <w:b/>
        </w:rPr>
        <w:t xml:space="preserve">. Quality of life, fatigue and mental health rating in the COVID-19 recovery clusters.</w:t>
      </w:r>
    </w:p>
    <w:p>
      <w:pPr>
        <w:pStyle w:val="TextBody"/>
      </w:pPr>
      <w:r>
        <w:t xml:space="preserve">Quality of life, general health and rating of fatigue, stress, somatic symptom disorder and resilience were assessed at the 1-year follow-up were compared between the COVID-19 recovery clusters (</w:t>
      </w:r>
      <w:r>
        <w:rPr>
          <w:b/>
        </w:rPr>
        <w:t xml:space="preserve">Figure</w:t>
      </w:r>
      <w:r>
        <w:rPr>
          <w:b/>
        </w:rPr>
        <w:t xml:space="preserve"> </w:t>
      </w:r>
      <w:r>
        <w:rPr>
          <w:b/>
        </w:rPr>
        <w:t xml:space="preserve">7</w:t>
      </w:r>
      <w:r>
        <w:t xml:space="preserve">,</w:t>
      </w:r>
      <w:r>
        <w:t xml:space="preserve"> </w:t>
      </w:r>
      <w:r>
        <w:rPr>
          <w:b/>
        </w:rPr>
        <w:t xml:space="preserve">Supplementary Figure S9</w:t>
      </w:r>
      <w:r>
        <w:t xml:space="preserve">). Statistical significance was determined by Kruskal-Wallis test with</w:t>
      </w:r>
      <w:r>
        <w:t xml:space="preserve"> </w:t>
      </w:r>
      <m:oMath>
        <m:sSup>
          <m:e>
            <m:r>
              <m:t>η</m:t>
            </m:r>
          </m:e>
          <m:sup>
            <m:r>
              <m:t>2</m:t>
            </m:r>
          </m:sup>
        </m:sSup>
      </m:oMath>
      <w:r>
        <w:t xml:space="preserve"> </w:t>
      </w:r>
      <w:r>
        <w:t xml:space="preserve">effect size statistic. P values were corrected for multiple testing with Benjamini-Hochberg method. Effect size statistic and p values are presented in plot captions. Numbers of participants assigned to the clusters are presented under to the plots.</w:t>
      </w:r>
    </w:p>
    <w:p>
      <w:pPr>
        <w:pStyle w:val="TextBody"/>
      </w:pPr>
      <w:r>
        <w:t xml:space="preserve">EQ5DL: European quality of life 5 dimensions;</w:t>
      </w:r>
      <w:r>
        <w:t xml:space="preserve"> </w:t>
      </w:r>
      <w:r>
        <w:t xml:space="preserve">VAS: visual analogue scale;</w:t>
      </w:r>
      <w:r>
        <w:t xml:space="preserve"> </w:t>
      </w:r>
      <w:r>
        <w:t xml:space="preserve">CFS: Chalder fatigue score;</w:t>
      </w:r>
      <w:r>
        <w:t xml:space="preserve"> </w:t>
      </w:r>
      <w:r>
        <w:t xml:space="preserve">SSD-12: somatic syndrome disorder - B criteria scale;</w:t>
      </w:r>
      <w:r>
        <w:t xml:space="preserve"> </w:t>
      </w:r>
      <w:r>
        <w:t xml:space="preserve">PSS: perceived stress score;</w:t>
      </w:r>
      <w:r>
        <w:t xml:space="preserve"> </w:t>
      </w:r>
      <w:r>
        <w:t xml:space="preserve">BRCS: brief resilient coping scale.</w:t>
      </w:r>
    </w:p>
    <w:p>
      <w:r>
        <w:br w:type="page"/>
      </w:r>
    </w:p>
    <w:sectPr>
      <w:footerReference w:type="default" r:id="rId9"/>
      <w:footnotePr>
        <w:numFmt w:val="decimal"/>
      </w:footnotePr>
      <w:type w:val="nextPage"/>
      <w:pgSz w:w="12240" w:h="15840"/>
      <w:pgMar w:left="1440" w:right="1440" w:header="0" w:top="1440" w:footer="1440" w:bottom="2204" w:gutter="0"/>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28" Target="media/rId28.png" /><Relationship Type="http://schemas.openxmlformats.org/officeDocument/2006/relationships/image" Id="rId22" Target="media/rId22.png" /><Relationship Type="http://schemas.openxmlformats.org/officeDocument/2006/relationships/image" Id="rId27" Target="media/rId27.png" /><Relationship Type="http://schemas.openxmlformats.org/officeDocument/2006/relationships/image" Id="rId25" Target="media/rId25.png" /><Relationship Type="http://schemas.openxmlformats.org/officeDocument/2006/relationships/image" Id="rId24" Target="media/rId24.png" /><Relationship Type="http://schemas.openxmlformats.org/officeDocument/2006/relationships/image" Id="rId23" Target="media/rId2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Application>LibreOffice/7.0.5.2$Windows_X86_64 LibreOffice_project/64390860c6cd0aca4beafafcfd84613dd9dfb63a</Application>
  <AppVersion>15.0000</AppVersion>
  <Pages>3</Pages>
  <Words>358</Words>
  <Characters>2323</Characters>
  <CharactersWithSpaces>2665</CharactersWithSpaces>
  <Paragraphs>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COVID-19 and its continuing burden after 12 months: a longitudinal observational prospective multicenter trial</dc:title>
  <dc:creator>CovILD study team</dc:creator>
  <cp:keywords/>
  <dcterms:created xsi:type="dcterms:W3CDTF">2022-05-23T10:45:26Z</dcterms:created>
  <dcterms:modified xsi:type="dcterms:W3CDTF">2022-05-23T10:45:26Z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cov_biblio.bib</vt:lpwstr>
  </property>
  <property fmtid="{D5CDD505-2E9C-101B-9397-08002B2CF9AE}" pid="3" name="csl">
    <vt:lpwstr>frontiers-in-immunology.csl</vt:lpwstr>
  </property>
  <property fmtid="{D5CDD505-2E9C-101B-9397-08002B2CF9AE}" pid="4" name="date">
    <vt:lpwstr>2022-05-23</vt:lpwstr>
  </property>
  <property fmtid="{D5CDD505-2E9C-101B-9397-08002B2CF9AE}" pid="5" name="header-includes">
    <vt:lpwstr>  </vt:lpwstr>
  </property>
  <property fmtid="{D5CDD505-2E9C-101B-9397-08002B2CF9AE}" pid="6" name="output">
    <vt:lpwstr/>
  </property>
  <property fmtid="{D5CDD505-2E9C-101B-9397-08002B2CF9AE}" pid="7" name="subtitle">
    <vt:lpwstr>Figures and Tables</vt:lpwstr>
  </property>
</Properties>
</file>