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FGFR1/3</w:t>
      </w:r>
      <w:r>
        <w:t xml:space="preserve"> </w:t>
      </w:r>
      <w:r>
        <w:t xml:space="preserve">Signaling</w:t>
      </w:r>
      <w:r>
        <w:t xml:space="preserve"> </w:t>
      </w:r>
      <w:r>
        <w:t xml:space="preserve">as</w:t>
      </w:r>
      <w:r>
        <w:t xml:space="preserve"> </w:t>
      </w:r>
      <w:r>
        <w:t xml:space="preserve">Achilles’</w:t>
      </w:r>
      <w:r>
        <w:t xml:space="preserve"> </w:t>
      </w:r>
      <w:r>
        <w:t xml:space="preserve">Heel</w:t>
      </w:r>
      <w:r>
        <w:t xml:space="preserve"> </w:t>
      </w:r>
      <w:r>
        <w:t xml:space="preserve">of</w:t>
      </w:r>
      <w:r>
        <w:t xml:space="preserve"> </w:t>
      </w:r>
      <w:r>
        <w:t xml:space="preserve">Phenotypic</w:t>
      </w:r>
      <w:r>
        <w:t xml:space="preserve"> </w:t>
      </w:r>
      <w:r>
        <w:t xml:space="preserve">Diversity</w:t>
      </w:r>
      <w:r>
        <w:t xml:space="preserve"> </w:t>
      </w:r>
      <w:r>
        <w:t xml:space="preserve">in</w:t>
      </w:r>
      <w:r>
        <w:t xml:space="preserve"> </w:t>
      </w:r>
      <w:r>
        <w:t xml:space="preserve">Urothelial</w:t>
      </w:r>
      <w:r>
        <w:t xml:space="preserve"> </w:t>
      </w:r>
      <w:r>
        <w:t xml:space="preserve">Carcinoma</w:t>
      </w:r>
    </w:p>
    <w:p>
      <w:pPr>
        <w:pStyle w:val="Subtitle"/>
      </w:pPr>
      <w:r>
        <w:t xml:space="preserve">Rebuttal</w:t>
      </w:r>
      <w:r>
        <w:t xml:space="preserve"> </w:t>
      </w:r>
      <w:r>
        <w:t xml:space="preserve">Letter,</w:t>
      </w:r>
      <w:r>
        <w:t xml:space="preserve"> </w:t>
      </w:r>
      <w:r>
        <w:t xml:space="preserve">second</w:t>
      </w:r>
      <w:r>
        <w:t xml:space="preserve"> </w:t>
      </w:r>
      <w:r>
        <w:t xml:space="preserve">revision</w:t>
      </w:r>
    </w:p>
    <w:p>
      <w:pPr>
        <w:pStyle w:val="Author"/>
      </w:pP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Urology,</w:t>
      </w:r>
      <w:r>
        <w:t xml:space="preserve"> </w:t>
      </w:r>
      <w:r>
        <w:t xml:space="preserve">Medical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Innsbruck</w:t>
      </w:r>
    </w:p>
    <w:p>
      <w:pPr>
        <w:pStyle w:val="Date"/>
      </w:pPr>
      <w:r>
        <w:t xml:space="preserve">2025-06-05</w:t>
      </w:r>
    </w:p>
    <w:p>
      <w:r>
        <w:br w:type="page"/>
      </w:r>
    </w:p>
    <w:bookmarkStart w:id="24" w:name="reviewer-4"/>
    <w:p>
      <w:pPr>
        <w:pStyle w:val="Heading1"/>
      </w:pPr>
      <w:r>
        <w:t xml:space="preserve">Reviewer 4</w:t>
      </w:r>
    </w:p>
    <w:bookmarkStart w:id="22" w:name="issue"/>
    <w:p>
      <w:pPr>
        <w:pStyle w:val="Heading2"/>
      </w:pPr>
      <w:r>
        <w:t xml:space="preserve">Issue</w:t>
      </w:r>
    </w:p>
    <w:p>
      <w:pPr>
        <w:pStyle w:val="FirstParagraph"/>
      </w:pPr>
      <w:r>
        <w:t xml:space="preserve">The reporting of tables and figures needs to be revised.</w:t>
      </w:r>
      <w:r>
        <w:t xml:space="preserve"> </w:t>
      </w:r>
      <w:r>
        <w:t xml:space="preserve">First off, see the European Urology guidelines for the presentation of statistics</w:t>
      </w:r>
      <w:r>
        <w:t xml:space="preserve"> </w:t>
      </w:r>
      <w:hyperlink r:id="rId20">
        <w:r>
          <w:rPr>
            <w:rStyle w:val="InternetLink"/>
          </w:rPr>
          <w:t xml:space="preserve">https://doi.org/10.1016/j.eururo.2018.12.014</w:t>
        </w:r>
      </w:hyperlink>
      <w:r>
        <w:t xml:space="preserve"> </w:t>
      </w:r>
      <w:r>
        <w:t xml:space="preserve">with respect to precision (4.1).</w:t>
      </w:r>
      <w:r>
        <w:t xml:space="preserve"> </w:t>
      </w:r>
      <w:r>
        <w:t xml:space="preserve">Also see the European Urology guidelines for reporting figures and tables</w:t>
      </w:r>
      <w:r>
        <w:t xml:space="preserve"> </w:t>
      </w:r>
      <w:hyperlink r:id="rId21">
        <w:r>
          <w:rPr>
            <w:rStyle w:val="InternetLink"/>
          </w:rPr>
          <w:t xml:space="preserve">https://www.sciencedirect.com/science/article/pii/S030228382030316X?via%3Dihub</w:t>
        </w:r>
      </w:hyperlink>
      <w:r>
        <w:t xml:space="preserve">.</w:t>
      </w:r>
    </w:p>
    <w:p>
      <w:pPr>
        <w:pStyle w:val="TextBody"/>
      </w:pPr>
      <w:r>
        <w:t xml:space="preserve">In particular, the supplementary tables should be presented in a word or PDF document, properly formatted.</w:t>
      </w:r>
      <w:r>
        <w:t xml:space="preserve"> </w:t>
      </w:r>
      <w:r>
        <w:t xml:space="preserve">Excel should be restricted to provision of raw data.</w:t>
      </w:r>
    </w:p>
    <w:p>
      <w:pPr>
        <w:pStyle w:val="TextBody"/>
      </w:pPr>
      <w:r>
        <w:t xml:space="preserve">Also, specific to the guidelines, the authors should not use subfigures just to get around figure counts.</w:t>
      </w:r>
      <w:r>
        <w:t xml:space="preserve"> </w:t>
      </w:r>
      <w:r>
        <w:t xml:space="preserve">Subfigures should show the same sort of graph (e.g. survival curves for recurrence, cancer specific and overall survival) or related graphs showing the same data in different ways (e.g. a calibration plot and a decision curve).</w:t>
      </w:r>
      <w:r>
        <w:t xml:space="preserve"> </w:t>
      </w:r>
      <w:r>
        <w:t xml:space="preserve">As it is, the word count for the legend for figure 1 is greater than the text of the entire paper.</w:t>
      </w:r>
      <w:r>
        <w:t xml:space="preserve"> </w:t>
      </w:r>
      <w:r>
        <w:t xml:space="preserve">I think the authors either need to write up their paper as an original research paper rather than a brief correspondence or move all but one or two of the figures to supplementary.</w:t>
      </w:r>
    </w:p>
    <w:bookmarkEnd w:id="22"/>
    <w:bookmarkStart w:id="23" w:name="response"/>
    <w:p>
      <w:pPr>
        <w:pStyle w:val="Heading2"/>
      </w:pPr>
      <w:r>
        <w:t xml:space="preserve">Response</w:t>
      </w:r>
    </w:p>
    <w:p>
      <w:pPr>
        <w:pStyle w:val="FirstParagraph"/>
      </w:pPr>
      <w:r>
        <w:t xml:space="preserve">We agree with the reviewer.</w:t>
      </w:r>
      <w:r>
        <w:t xml:space="preserve"> </w:t>
      </w:r>
      <w:r>
        <w:t xml:space="preserve">In the revised manuscript, we reduced the content of Figure 1 to six essential panels and moved the remaining information to Supplementary Material.</w:t>
      </w:r>
      <w:r>
        <w:t xml:space="preserve"> </w:t>
      </w:r>
      <w:r>
        <w:t xml:space="preserve">We also shortened the corresponding legends.</w:t>
      </w:r>
      <w:r>
        <w:t xml:space="preserve"> </w:t>
      </w:r>
      <w:r>
        <w:t xml:space="preserve">Concerning the Supplementary Tables, we cut down the information amount, e.g. by restricting to the largest effects, and inserted all of them into Supplementary Material.</w:t>
      </w:r>
    </w:p>
    <w:bookmarkEnd w:id="23"/>
    <w:bookmarkEnd w:id="24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https://doi.org/10.1016/j.eururo.2018.12.014" TargetMode="External" /><Relationship Type="http://schemas.openxmlformats.org/officeDocument/2006/relationships/hyperlink" Id="rId21" Target="https://www.sciencedirect.com/science/article/pii/S030228382030316X?via%3Di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eururo.2018.12.014" TargetMode="External" /><Relationship Type="http://schemas.openxmlformats.org/officeDocument/2006/relationships/hyperlink" Id="rId21" Target="https://www.sciencedirect.com/science/article/pii/S030228382030316X?via%3Di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3</Pages>
  <Words>369</Words>
  <Characters>2368</Characters>
  <CharactersWithSpaces>2718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FGFR1/3 Signaling as Achilles’ Heel of Phenotypic Diversity in Urothelial Carcinoma</dc:title>
  <dc:creator>Department of Urology, Medical University of Innsbruck</dc:creator>
  <cp:keywords/>
  <dcterms:created xsi:type="dcterms:W3CDTF">2025-06-05T08:16:23Z</dcterms:created>
  <dcterms:modified xsi:type="dcterms:W3CDTF">2025-06-05T08:16:23Z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blca.bib</vt:lpwstr>
  </property>
  <property fmtid="{D5CDD505-2E9C-101B-9397-08002B2CF9AE}" pid="3" name="csl">
    <vt:lpwstr>frontiers_medical.csl</vt:lpwstr>
  </property>
  <property fmtid="{D5CDD505-2E9C-101B-9397-08002B2CF9AE}" pid="4" name="date">
    <vt:lpwstr>2025-06-05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Rebuttal Letter, second revision</vt:lpwstr>
  </property>
</Properties>
</file>