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FGFR1/3 Signaling as Achilles’ Heel of Phenotypic Diversity in Urothelial Carcinoma</w:t>
      </w:r>
    </w:p>
    <w:p>
      <w:pPr>
        <w:pStyle w:val="Subtitle"/>
        <w:rPr/>
      </w:pPr>
      <w:r>
        <w:rPr/>
        <w:t>Figure 1 Legend</w:t>
      </w:r>
    </w:p>
    <w:p>
      <w:pPr>
        <w:pStyle w:val="Author"/>
        <w:rPr/>
      </w:pPr>
      <w:r>
        <w:rPr/>
        <w:t>Department of Urology, Medical University of Innsbruck</w:t>
      </w:r>
    </w:p>
    <w:p>
      <w:pPr>
        <w:pStyle w:val="Date"/>
        <w:rPr/>
      </w:pPr>
      <w:r>
        <w:rPr/>
        <w:t>2025-04-28</w:t>
      </w:r>
    </w:p>
    <w:p>
      <w:pPr>
        <w:pStyle w:val="Normal"/>
        <w:rPr/>
      </w:pPr>
      <w:r>
        <w:rPr/>
      </w:r>
      <w:r>
        <w:br w:type="page"/>
      </w:r>
    </w:p>
    <w:p>
      <w:pPr>
        <w:pStyle w:val="CaptionedFigure"/>
        <w:rPr/>
      </w:pPr>
      <w:r>
        <w:rPr/>
        <w:drawing>
          <wp:inline distT="0" distB="0" distL="114935" distR="114935">
            <wp:extent cx="5397500" cy="3949700"/>
            <wp:effectExtent l="0" t="0" r="0" b="0"/>
            <wp:docPr id="1" name="Picture" descr="Figure 1: Alterations of FGFR/FGF/FGFBP-coding genes in consensus molecular classes of M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lterations of FGFR/FGF/FGFBP-coding genes in consensus molecular classes of MIBC."/>
                    <pic:cNvPicPr>
                      <a:picLocks noChangeAspect="1" noChangeArrowheads="1"/>
                    </pic:cNvPicPr>
                  </pic:nvPicPr>
                  <pic:blipFill>
                    <a:blip r:embed="rId2"/>
                    <a:stretch>
                      <a:fillRect/>
                    </a:stretch>
                  </pic:blipFill>
                  <pic:spPr bwMode="auto">
                    <a:xfrm>
                      <a:off x="0" y="0"/>
                      <a:ext cx="5397500" cy="3949700"/>
                    </a:xfrm>
                    <a:prstGeom prst="rect">
                      <a:avLst/>
                    </a:prstGeom>
                  </pic:spPr>
                </pic:pic>
              </a:graphicData>
            </a:graphic>
          </wp:inline>
        </w:drawing>
      </w:r>
    </w:p>
    <w:p>
      <w:pPr>
        <w:pStyle w:val="TextBody"/>
        <w:rPr/>
      </w:pPr>
      <w:r>
        <w:rPr>
          <w:b/>
          <w:bCs/>
        </w:rPr>
        <w:t>Figure 1A. Alterations of FGFR/FGF/FGFBP-coding genes in consensus molecular classes of MIBC.</w:t>
      </w:r>
    </w:p>
    <w:p>
      <w:pPr>
        <w:pStyle w:val="TextBody"/>
        <w:rPr/>
      </w:pPr>
      <w:r>
        <w:rPr>
          <w:i/>
          <w:iCs/>
        </w:rPr>
        <w:t>Differences in frequency of somatic mutations and copy number variants of FGFR/FGF/FGFBP-coding genes between the LumP (luminal papillary), LumU (luminal unstable), stroma-rich, and basal/squamous-like (Ba/Sq) consensus molecular classes of MIBC in the TCGA, BCAN and IMvigor cohorts were assessed by false discovery rate (FDR) corrected weighted permutation test. Presence/absence of selected genetic alterations (mut: mutation, amp: amplification, del: deletion) in the TCGA BLCA cohort was visualized in a oncoplot. Significant effects are highlighted with bold font. Numbers of cancer samples are displayed in the plot caption.</w:t>
      </w:r>
    </w:p>
    <w:p>
      <w:pPr>
        <w:pStyle w:val="Normal"/>
        <w:rPr/>
      </w:pPr>
      <w:r>
        <w:rPr/>
      </w:r>
      <w:r>
        <w:br w:type="page"/>
      </w:r>
    </w:p>
    <w:p>
      <w:pPr>
        <w:pStyle w:val="CaptionedFigure"/>
        <w:rPr/>
      </w:pPr>
      <w:r>
        <w:rPr/>
        <w:drawing>
          <wp:inline distT="0" distB="0" distL="114935" distR="114935">
            <wp:extent cx="5397500" cy="3949700"/>
            <wp:effectExtent l="0" t="0" r="0" b="0"/>
            <wp:docPr id="2" name="Image1" descr="Figure 2: Co-expression networks of FGFR/FGF/FGFBP-coding 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Co-expression networks of FGFR/FGF/FGFBP-coding genes."/>
                    <pic:cNvPicPr>
                      <a:picLocks noChangeAspect="1" noChangeArrowheads="1"/>
                    </pic:cNvPicPr>
                  </pic:nvPicPr>
                  <pic:blipFill>
                    <a:blip r:embed="rId3"/>
                    <a:stretch>
                      <a:fillRect/>
                    </a:stretch>
                  </pic:blipFill>
                  <pic:spPr bwMode="auto">
                    <a:xfrm>
                      <a:off x="0" y="0"/>
                      <a:ext cx="5397500" cy="3949700"/>
                    </a:xfrm>
                    <a:prstGeom prst="rect">
                      <a:avLst/>
                    </a:prstGeom>
                  </pic:spPr>
                </pic:pic>
              </a:graphicData>
            </a:graphic>
          </wp:inline>
        </w:drawing>
      </w:r>
    </w:p>
    <w:p>
      <w:pPr>
        <w:pStyle w:val="TextBody"/>
        <w:rPr/>
      </w:pPr>
      <w:r>
        <w:rPr>
          <w:b/>
          <w:bCs/>
        </w:rPr>
        <w:t>Figure 1B. Co-expression networks of FGFR/FGF/FGFBP-coding genes.</w:t>
      </w:r>
    </w:p>
    <w:p>
      <w:pPr>
        <w:pStyle w:val="TextBody"/>
        <w:rPr/>
      </w:pPr>
      <w:r>
        <w:rPr>
          <w:i/>
          <w:iCs/>
        </w:rPr>
        <w:t xml:space="preserve">Co-expression networks were constructed for the FGFR/FGF/FGFBP-coding genes, whose expression levels correlated with Spearman’s </w:t>
      </w:r>
      <w:r>
        <w:rPr/>
      </w:r>
      <m:oMath xmlns:m="http://schemas.openxmlformats.org/officeDocument/2006/math">
        <m:r>
          <w:rPr>
            <w:rFonts w:ascii="Cambria Math" w:hAnsi="Cambria Math"/>
          </w:rPr>
          <m:t xml:space="preserve">ρ</m:t>
        </m:r>
        <m:r>
          <w:rPr>
            <w:rFonts w:ascii="Cambria Math" w:hAnsi="Cambria Math"/>
          </w:rPr>
          <m:t xml:space="preserve">≥</m:t>
        </m:r>
      </m:oMath>
      <w:r>
        <w:rPr>
          <w:i/>
          <w:iCs/>
        </w:rPr>
        <w:t xml:space="preserve"> 0.3 and visualized for the TCGA BLCA cohort with the Fruchterman-Reingold algorithm. Points represent genes, point shape codes for the protein product type. Point color represent hub scores. Lines represent edges, i.e correlations with </w:t>
      </w:r>
      <w:r>
        <w:rPr/>
      </w:r>
      <m:oMath xmlns:m="http://schemas.openxmlformats.org/officeDocument/2006/math">
        <m:r>
          <w:rPr>
            <w:rFonts w:ascii="Cambria Math" w:hAnsi="Cambria Math"/>
          </w:rPr>
          <m:t xml:space="preserve">ρ</m:t>
        </m:r>
        <m:r>
          <w:rPr>
            <w:rFonts w:ascii="Cambria Math" w:hAnsi="Cambria Math"/>
          </w:rPr>
          <m:t xml:space="preserve">≥</m:t>
        </m:r>
      </m:oMath>
      <w:r>
        <w:rPr>
          <w:i/>
          <w:iCs/>
        </w:rPr>
        <w:t xml:space="preserve"> 0.3. Line widths correspond to </w:t>
      </w:r>
      <w:r>
        <w:rPr/>
      </w:r>
      <m:oMath xmlns:m="http://schemas.openxmlformats.org/officeDocument/2006/math">
        <m:r>
          <w:rPr>
            <w:rFonts w:ascii="Cambria Math" w:hAnsi="Cambria Math"/>
          </w:rPr>
          <m:t xml:space="preserve">ρ</m:t>
        </m:r>
      </m:oMath>
      <w:r>
        <w:rPr>
          <w:i/>
          <w:iCs/>
        </w:rPr>
        <w:t xml:space="preserve"> values.</w:t>
      </w:r>
    </w:p>
    <w:p>
      <w:pPr>
        <w:pStyle w:val="Normal"/>
        <w:rPr/>
      </w:pPr>
      <w:r>
        <w:rPr/>
      </w:r>
      <w:r>
        <w:br w:type="page"/>
      </w:r>
    </w:p>
    <w:p>
      <w:pPr>
        <w:pStyle w:val="CaptionedFigure"/>
        <w:rPr/>
      </w:pPr>
      <w:r>
        <w:rPr/>
        <w:drawing>
          <wp:inline distT="0" distB="0" distL="114935" distR="114935">
            <wp:extent cx="5029200" cy="5397500"/>
            <wp:effectExtent l="0" t="0" r="0" b="0"/>
            <wp:docPr id="3" name="Image2" descr="Figure 3: Differential expression of FGFR/FGF/FGFR-coding genes in consensus molecular classes of M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ifferential expression of FGFR/FGF/FGFR-coding genes in consensus molecular classes of MIBC."/>
                    <pic:cNvPicPr>
                      <a:picLocks noChangeAspect="1" noChangeArrowheads="1"/>
                    </pic:cNvPicPr>
                  </pic:nvPicPr>
                  <pic:blipFill>
                    <a:blip r:embed="rId4"/>
                    <a:stretch>
                      <a:fillRect/>
                    </a:stretch>
                  </pic:blipFill>
                  <pic:spPr bwMode="auto">
                    <a:xfrm>
                      <a:off x="0" y="0"/>
                      <a:ext cx="5029200" cy="5397500"/>
                    </a:xfrm>
                    <a:prstGeom prst="rect">
                      <a:avLst/>
                    </a:prstGeom>
                  </pic:spPr>
                </pic:pic>
              </a:graphicData>
            </a:graphic>
          </wp:inline>
        </w:drawing>
      </w:r>
    </w:p>
    <w:p>
      <w:pPr>
        <w:pStyle w:val="TextBody"/>
        <w:rPr/>
      </w:pPr>
      <w:r>
        <w:rPr>
          <w:b/>
          <w:bCs/>
        </w:rPr>
        <w:t>Figure 1C. Differential expression of FGFR/FGF/FGFR-coding genes in consensus molecular classes of MIBC.</w:t>
      </w:r>
    </w:p>
    <w:p>
      <w:pPr>
        <w:pStyle w:val="TextBody"/>
        <w:rPr/>
      </w:pPr>
      <w:r>
        <w:rPr>
          <w:i/>
          <w:iCs/>
        </w:rPr>
        <w:t xml:space="preserve">Differences in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mRNA levels of FGFR/FGF/FGFBP-coding genes between the LumP, LumU, stroma-rich and Ba/Sq consensus molecular classes were assessed by FDR-corrected one-way ANOVA with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oMath>
      <w:r>
        <w:rPr>
          <w:i/>
          <w:iCs/>
        </w:rPr>
        <w:t xml:space="preserve"> effect size statistic and two-tailed post-hoc T test. Differentially regulated genes were defined by p(ANOVA) &lt; 0.05,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r>
          <w:rPr>
            <w:rFonts w:ascii="Cambria Math" w:hAnsi="Cambria Math"/>
          </w:rPr>
          <m:t xml:space="preserve">≥</m:t>
        </m:r>
      </m:oMath>
      <w:r>
        <w:rPr>
          <w:i/>
          <w:iCs/>
        </w:rPr>
        <w:t xml:space="preserve"> 0.14, pFDR(T test) &lt; 0.05, and at least 1.25-fold regulation in a class as compared with LumP cancers. Z-scores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expression levels of differentially regulated genes shared by at least two cohorts are displayed in a heat map for TCGA BLCA cancers. Significant effects are labeled with bold font. Numbers of samples are indicated in the plot caption.</w:t>
      </w:r>
    </w:p>
    <w:p>
      <w:pPr>
        <w:pStyle w:val="Normal"/>
        <w:rPr/>
      </w:pPr>
      <w:r>
        <w:rPr/>
      </w:r>
      <w:r>
        <w:br w:type="page"/>
      </w:r>
    </w:p>
    <w:p>
      <w:pPr>
        <w:pStyle w:val="CaptionedFigure"/>
        <w:rPr/>
      </w:pPr>
      <w:r>
        <w:rPr/>
        <w:drawing>
          <wp:inline distT="0" distB="0" distL="114935" distR="114935">
            <wp:extent cx="5753100" cy="5397500"/>
            <wp:effectExtent l="0" t="0" r="0" b="0"/>
            <wp:docPr id="4" name="Image3" descr="Figure 4: SHAP variable importance in the Elastic Net model of consensus molecular classes of MIBC with FGFR/FGF/FGFBP-coding genes as explanatory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SHAP variable importance in the Elastic Net model of consensus molecular classes of MIBC with FGFR/FGF/FGFBP-coding genes as explanatory factors."/>
                    <pic:cNvPicPr>
                      <a:picLocks noChangeAspect="1" noChangeArrowheads="1"/>
                    </pic:cNvPicPr>
                  </pic:nvPicPr>
                  <pic:blipFill>
                    <a:blip r:embed="rId5"/>
                    <a:stretch>
                      <a:fillRect/>
                    </a:stretch>
                  </pic:blipFill>
                  <pic:spPr bwMode="auto">
                    <a:xfrm>
                      <a:off x="0" y="0"/>
                      <a:ext cx="5753100" cy="5397500"/>
                    </a:xfrm>
                    <a:prstGeom prst="rect">
                      <a:avLst/>
                    </a:prstGeom>
                  </pic:spPr>
                </pic:pic>
              </a:graphicData>
            </a:graphic>
          </wp:inline>
        </w:drawing>
      </w:r>
    </w:p>
    <w:p>
      <w:pPr>
        <w:pStyle w:val="TextBody"/>
        <w:rPr/>
      </w:pPr>
      <w:r>
        <w:rPr>
          <w:b/>
          <w:bCs/>
        </w:rPr>
        <w:t>Figure 1D. SHAP variable importance in the Elastic Net model of consensus molecular classes of MIBC with FGFR/FGF/FGFBP-coding genes as explanatory factors.</w:t>
      </w:r>
    </w:p>
    <w:p>
      <w:pPr>
        <w:pStyle w:val="TextBody"/>
        <w:rPr/>
      </w:pPr>
      <w:r>
        <w:rPr>
          <w:i/>
          <w:iCs/>
        </w:rPr>
        <w:t xml:space="preserve">Contributions of the FGFR-, FGF-, and FGFBP-coding genes to prediction of LumP, LumU, stroma-rich, and Ba/Sq consensus molecular classes of MIBC by the Elastic Net model were estimated with the SHAP algorithm (Shapley additive explanations). SHAP values for highly influential genes and observations are visualized in violin/swarm plots. Each point represents a single observation, point color codes for the minimum/maximum-scaled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-transformed gene expression. Mean absolute SHAP values as metrics of overall gene importance are presented in bar plots. Bar colors code for association of SHAP values and gene expression (red: positive, blue: negative).</w:t>
      </w:r>
    </w:p>
    <w:p>
      <w:pPr>
        <w:pStyle w:val="Normal"/>
        <w:rPr/>
      </w:pPr>
      <w:r>
        <w:rPr/>
      </w:r>
      <w:r>
        <w:br w:type="page"/>
      </w:r>
    </w:p>
    <w:p>
      <w:pPr>
        <w:pStyle w:val="CaptionedFigure"/>
        <w:rPr/>
      </w:pPr>
      <w:r>
        <w:rPr/>
        <w:drawing>
          <wp:inline distT="0" distB="0" distL="114935" distR="114935">
            <wp:extent cx="4318000" cy="3238500"/>
            <wp:effectExtent l="0" t="0" r="0" b="0"/>
            <wp:docPr id="5" name="Image4" descr="Figure 5: Sensitivity to pan-FGFR inhibitors of DepMap cancer urothelial cell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ensitivity to pan-FGFR inhibitors of DepMap cancer urothelial cell lines."/>
                    <pic:cNvPicPr>
                      <a:picLocks noChangeAspect="1" noChangeArrowheads="1"/>
                    </pic:cNvPicPr>
                  </pic:nvPicPr>
                  <pic:blipFill>
                    <a:blip r:embed="rId6"/>
                    <a:stretch>
                      <a:fillRect/>
                    </a:stretch>
                  </pic:blipFill>
                  <pic:spPr bwMode="auto">
                    <a:xfrm>
                      <a:off x="0" y="0"/>
                      <a:ext cx="4318000" cy="3238500"/>
                    </a:xfrm>
                    <a:prstGeom prst="rect">
                      <a:avLst/>
                    </a:prstGeom>
                  </pic:spPr>
                </pic:pic>
              </a:graphicData>
            </a:graphic>
          </wp:inline>
        </w:drawing>
      </w:r>
    </w:p>
    <w:p>
      <w:pPr>
        <w:pStyle w:val="TextBody"/>
        <w:rPr/>
      </w:pPr>
      <w:r>
        <w:rPr>
          <w:b/>
          <w:bCs/>
        </w:rPr>
        <w:t>Figure 1E. Sensitivity to pan-FGFR inhibitors of DepMap urothelial cancer cell lines.</w:t>
      </w:r>
    </w:p>
    <w:p>
      <w:pPr>
        <w:pStyle w:val="TextBody"/>
        <w:rPr/>
      </w:pPr>
      <w:r>
        <w:rPr>
          <w:i/>
          <w:iCs/>
        </w:rPr>
        <w:t>Resistance values in the PRISM (n = 17 to 23) drug screening experiment were expressed as AUC (area under the dose-response curve). Significant sensitivity for was defined as AUC &lt; 1, which indicates stronger growth inhibition than the DMSO control. Doxorubicin is presented as a positive cytotoxicity control. Median AUC values with interquartile ranges are depicted as boxes with whiskers spanning over 150% of the interquartile ranges. Points represent single cell lines. Point symbols code for FGFR3 mutation, point color represents resistance/sensitivity. The sensitivity cutoff is represented by the dashed line.</w:t>
      </w:r>
    </w:p>
    <w:p>
      <w:pPr>
        <w:pStyle w:val="Normal"/>
        <w:rPr/>
      </w:pPr>
      <w:r>
        <w:rPr/>
      </w:r>
      <w:r>
        <w:br w:type="page"/>
      </w:r>
    </w:p>
    <w:p>
      <w:pPr>
        <w:pStyle w:val="CaptionedFigure"/>
        <w:rPr/>
      </w:pPr>
      <w:r>
        <w:rPr/>
        <w:drawing>
          <wp:inline distT="0" distB="0" distL="114935" distR="114935">
            <wp:extent cx="5943600" cy="2971800"/>
            <wp:effectExtent l="0" t="0" r="0" b="0"/>
            <wp:docPr id="6" name="Image5" descr="Figure 6: Confluence of cultured FGFR1-4 wild-type (UM-UC-3, 5637 and RT112) and FGFR3 mutated (UM-UC-14 and UM-UC-6) UC cell lines after treatment with different concentrations of erdafitin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Confluence of cultured FGFR1-4 wild-type (UM-UC-3, 5637 and RT112) and FGFR3 mutated (UM-UC-14 and UM-UC-6) UC cell lines after treatment with different concentrations of erdafitinib."/>
                    <pic:cNvPicPr>
                      <a:picLocks noChangeAspect="1" noChangeArrowheads="1"/>
                    </pic:cNvPicPr>
                  </pic:nvPicPr>
                  <pic:blipFill>
                    <a:blip r:embed="rId7"/>
                    <a:stretch>
                      <a:fillRect/>
                    </a:stretch>
                  </pic:blipFill>
                  <pic:spPr bwMode="auto">
                    <a:xfrm>
                      <a:off x="0" y="0"/>
                      <a:ext cx="5943600" cy="2971800"/>
                    </a:xfrm>
                    <a:prstGeom prst="rect">
                      <a:avLst/>
                    </a:prstGeom>
                  </pic:spPr>
                </pic:pic>
              </a:graphicData>
            </a:graphic>
          </wp:inline>
        </w:drawing>
      </w:r>
    </w:p>
    <w:p>
      <w:pPr>
        <w:pStyle w:val="TextBody"/>
        <w:rPr/>
      </w:pPr>
      <w:r>
        <w:rPr>
          <w:b/>
          <w:bCs/>
        </w:rPr>
        <w:t>Figure 6. Confluence of cultured FGFR1-4 wild-type (UM-UC-3, 5637 and RT112) and FGFR3 mutated (UM-UC-14 and UM-UC-6) UC cell lines after treatment with different concentrations of erdafitinib.</w:t>
      </w:r>
    </w:p>
    <w:p>
      <w:pPr>
        <w:pStyle w:val="TextBody"/>
        <w:spacing w:before="180" w:after="180"/>
        <w:rPr/>
      </w:pPr>
      <w:r>
        <w:rPr>
          <w:i/>
          <w:iCs/>
        </w:rPr>
        <w:t>Confluence was measured after 96 hours in cultures treated with erdafitinib at 0, 1, 4, 7 and 10 µM. Dots represent means of three biological replicates. Mean values with standard deviations are depicted as bars with whiskers.</w:t>
      </w:r>
    </w:p>
    <w:sectPr>
      <w:footerReference w:type="default" r:id="rId8"/>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9</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9</Pages>
  <Words>576</Words>
  <Characters>3479</Characters>
  <CharactersWithSpaces>4045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2025-04-28T08:21:08Z</dcterms:created>
  <dc:creator>Department of Urology, Medical University of Innsbruck</dc:creator>
  <dc:description/>
  <dc:language>en-US</dc:language>
  <cp:lastModifiedBy/>
  <dcterms:modified xsi:type="dcterms:W3CDTF">2025-04-28T10:46:43Z</dcterms:modified>
  <cp:revision>1</cp:revision>
  <dc:subject/>
  <dc:title>FGFR1/3 Signaling as Achilles’ Heel of Phenotypic Diversity in Urothelial Carcinoma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2025-04-28</vt:lpwstr>
  </property>
  <property fmtid="{D5CDD505-2E9C-101B-9397-08002B2CF9AE}" pid="5" name="header-includes">
    <vt:lpwstr>  </vt:lpwstr>
  </property>
  <property fmtid="{D5CDD505-2E9C-101B-9397-08002B2CF9AE}" pid="6" name="output">
    <vt:lpwstr/>
  </property>
  <property fmtid="{D5CDD505-2E9C-101B-9397-08002B2CF9AE}" pid="7" name="subtitle">
    <vt:lpwstr>Figure 1 Legend</vt:lpwstr>
  </property>
</Properties>
</file>