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FGFR1/3</w:t>
      </w:r>
      <w:r>
        <w:t xml:space="preserve"> </w:t>
      </w:r>
      <w:r>
        <w:t xml:space="preserve">Signaling</w:t>
      </w:r>
      <w:r>
        <w:t xml:space="preserve"> </w:t>
      </w:r>
      <w:r>
        <w:t xml:space="preserve">as</w:t>
      </w:r>
      <w:r>
        <w:t xml:space="preserve"> </w:t>
      </w:r>
      <w:r>
        <w:t xml:space="preserve">Achilles’</w:t>
      </w:r>
      <w:r>
        <w:t xml:space="preserve"> </w:t>
      </w:r>
      <w:r>
        <w:t xml:space="preserve">Heel</w:t>
      </w:r>
      <w:r>
        <w:t xml:space="preserve"> </w:t>
      </w:r>
      <w:r>
        <w:t xml:space="preserve">of</w:t>
      </w:r>
      <w:r>
        <w:t xml:space="preserve"> </w:t>
      </w:r>
      <w:r>
        <w:t xml:space="preserve">Phenotypic</w:t>
      </w:r>
      <w:r>
        <w:t xml:space="preserve"> </w:t>
      </w:r>
      <w:r>
        <w:t xml:space="preserve">Diversity</w:t>
      </w:r>
      <w:r>
        <w:t xml:space="preserve"> </w:t>
      </w:r>
      <w:r>
        <w:t xml:space="preserve">in</w:t>
      </w:r>
      <w:r>
        <w:t xml:space="preserve"> </w:t>
      </w:r>
      <w:r>
        <w:t xml:space="preserve">Urothelial</w:t>
      </w:r>
      <w:r>
        <w:t xml:space="preserve"> </w:t>
      </w:r>
      <w:r>
        <w:t xml:space="preserve">Carcinoma</w:t>
      </w:r>
    </w:p>
    <w:p>
      <w:pPr>
        <w:pStyle w:val="Subtitle"/>
      </w:pPr>
      <w:r>
        <w:t xml:space="preserve">Rebuttal</w:t>
      </w:r>
      <w:r>
        <w:t xml:space="preserve"> </w:t>
      </w:r>
      <w:r>
        <w:t xml:space="preserve">Letter,</w:t>
      </w:r>
      <w:r>
        <w:t xml:space="preserve"> </w:t>
      </w:r>
      <w:r>
        <w:t xml:space="preserve">third</w:t>
      </w:r>
      <w:r>
        <w:t xml:space="preserve"> </w:t>
      </w:r>
      <w:r>
        <w:t xml:space="preserve">revision</w:t>
      </w:r>
    </w:p>
    <w:p>
      <w:pPr>
        <w:pStyle w:val="Author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Urology,</w:t>
      </w:r>
      <w:r>
        <w:t xml:space="preserve"> </w:t>
      </w:r>
      <w:r>
        <w:t xml:space="preserve">Medical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Innsbruck</w:t>
      </w:r>
    </w:p>
    <w:p>
      <w:pPr>
        <w:pStyle w:val="Date"/>
      </w:pPr>
      <w:r>
        <w:t xml:space="preserve">2025-05-14</w:t>
      </w:r>
    </w:p>
    <w:p>
      <w:r>
        <w:br w:type="page"/>
      </w:r>
    </w:p>
    <w:bookmarkStart w:id="35" w:name="reviewer-4"/>
    <w:p>
      <w:pPr>
        <w:pStyle w:val="Heading1"/>
      </w:pPr>
      <w:r>
        <w:t xml:space="preserve">Reviewer 4</w:t>
      </w:r>
    </w:p>
    <w:bookmarkStart w:id="22" w:name="issue"/>
    <w:p>
      <w:pPr>
        <w:pStyle w:val="Heading2"/>
      </w:pPr>
      <w:r>
        <w:t xml:space="preserve">Issue</w:t>
      </w:r>
    </w:p>
    <w:p>
      <w:pPr>
        <w:pStyle w:val="FirstParagraph"/>
      </w:pPr>
      <w:r>
        <w:t xml:space="preserve">As previously requested, the authors need to follow the European Urology guidelines for reporting figures and tables</w:t>
      </w:r>
      <w:r>
        <w:t xml:space="preserve"> </w:t>
      </w:r>
      <w:hyperlink r:id="rId20">
        <w:r>
          <w:rPr>
            <w:rStyle w:val="InternetLink"/>
          </w:rPr>
          <w:t xml:space="preserve">https://www.sciencedirect.com/science/article/pii/S030228382030316X?via%3Dihub</w:t>
        </w:r>
      </w:hyperlink>
      <w:r>
        <w:t xml:space="preserve">. The use of box and whisker plots in 1e and bar charts in 1f goes against our guidelines and is easily addressed (e.g. for 1e a scatter plot is fine; for 1f, a line plot). This is also seen in the supplementary figures.</w:t>
      </w:r>
    </w:p>
    <w:p>
      <w:pPr>
        <w:pStyle w:val="TextBody"/>
      </w:pPr>
      <w:r>
        <w:t xml:space="preserve">The authors were also asked to follow the European Urology guidelines for the presentation of statistics</w:t>
      </w:r>
      <w:r>
        <w:t xml:space="preserve"> </w:t>
      </w:r>
      <w:hyperlink r:id="rId21">
        <w:r>
          <w:rPr>
            <w:rStyle w:val="InternetLink"/>
          </w:rPr>
          <w:t xml:space="preserve">https://doi.org/10.1016/j.eururo.2018.12.014</w:t>
        </w:r>
      </w:hyperlink>
      <w:r>
        <w:t xml:space="preserve">. Many of the supplementary tables are not in compliance with guideline 4.1, 4.2 and 4.3, for instance, precision of percentages and p values, reporting of proportions for both men and women, reporting of the range.</w:t>
      </w:r>
    </w:p>
    <w:bookmarkEnd w:id="22"/>
    <w:bookmarkStart w:id="28" w:name="response"/>
    <w:p>
      <w:pPr>
        <w:pStyle w:val="Heading2"/>
      </w:pPr>
      <w:r>
        <w:t xml:space="preserve">Response</w:t>
      </w:r>
    </w:p>
    <w:p>
      <w:pPr>
        <w:pStyle w:val="FirstParagraph"/>
      </w:pPr>
      <w:r>
        <w:t xml:space="preserve">We have studied carefully the EAU guidelines</w:t>
      </w:r>
      <w:r>
        <w:t xml:space="preserve"> </w:t>
      </w:r>
      <w:r>
        <w:t xml:space="preserve">(1,2)</w:t>
      </w:r>
      <w:r>
        <w:t xml:space="preserve"> </w:t>
      </w:r>
      <w:r>
        <w:t xml:space="preserve">and made efforts to make Figures, Supplementary Figures, and Supplementary Tables compliant with them.</w:t>
      </w:r>
    </w:p>
    <w:p>
      <w:pPr>
        <w:pStyle w:val="TextBody"/>
      </w:pPr>
      <w:r>
        <w:t xml:space="preserve">concerning Supplementary Tables, we present now median (first and third quartile) for numeric features, and counts (percentage of complete observations) for qualitative features.</w:t>
      </w:r>
      <w:r>
        <w:t xml:space="preserve"> </w:t>
      </w:r>
      <w:r>
        <w:t xml:space="preserve">Medians, quartiles, percentages, effect size values, machine learning models’ hyperparmeters and performance metrics are displayed with two significant digits (rule 4.1 in</w:t>
      </w:r>
      <w:r>
        <w:t xml:space="preserve"> </w:t>
      </w:r>
      <w:r>
        <w:t xml:space="preserve">(2)</w:t>
      </w:r>
      <w:r>
        <w:t xml:space="preserve">).</w:t>
      </w:r>
      <w:r>
        <w:t xml:space="preserve"> </w:t>
      </w:r>
      <w:r>
        <w:t xml:space="preserve">P values were formatted according to rule 4.1 in</w:t>
      </w:r>
      <w:r>
        <w:t xml:space="preserve"> </w:t>
      </w:r>
      <w:r>
        <w:t xml:space="preserve">(2)</w:t>
      </w:r>
      <w:r>
        <w:t xml:space="preserve">.</w:t>
      </w:r>
      <w:r>
        <w:t xml:space="preserve"> </w:t>
      </w:r>
      <w:r>
        <w:t xml:space="preserve">For p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0.1 and p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0.01, p values are reported to one significant digit, for p values within the (0.01, 0.1) range, we report them to two significant digits.</w:t>
      </w:r>
      <w:r>
        <w:t xml:space="preserve"> </w:t>
      </w:r>
      <w:r>
        <w:t xml:space="preserve">P values below 0.001 are displayed as</w:t>
      </w:r>
      <w:r>
        <w:t xml:space="preserve"> </w:t>
      </w:r>
      <w:r>
        <w:t xml:space="preserve">‘</w:t>
      </w:r>
      <w:r>
        <w:t xml:space="preserve">&lt; 0.001</w:t>
      </w:r>
      <w:r>
        <w:t xml:space="preserve">’</w:t>
      </w:r>
      <w:r>
        <w:t xml:space="preserve"> </w:t>
      </w:r>
      <w:r>
        <w:t xml:space="preserve">In Supplementary Tables, we removed leading</w:t>
      </w:r>
      <w:r>
        <w:t xml:space="preserve"> </w:t>
      </w:r>
      <w:r>
        <w:t xml:space="preserve">‘</w:t>
      </w:r>
      <w:r>
        <w:t xml:space="preserve">p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ns</w:t>
      </w:r>
      <w:r>
        <w:t xml:space="preserve">’</w:t>
      </w:r>
      <w:r>
        <w:t xml:space="preserve">, while we decided to keep them in Supplementary Figures, following your general policy that figures are intended for the reader to get an instant impression of the data</w:t>
      </w:r>
      <w:r>
        <w:t xml:space="preserve"> </w:t>
      </w:r>
      <w:r>
        <w:t xml:space="preserve">(1)</w:t>
      </w:r>
      <w:r>
        <w:t xml:space="preserve">.</w:t>
      </w:r>
    </w:p>
    <w:p>
      <w:pPr>
        <w:pStyle w:val="TextBody"/>
      </w:pPr>
      <w:r>
        <w:t xml:space="preserve">We agree that with your policy that while box plots have a long tradition and wide acceptance in the clinical community, they are inferior to histograms and violin plots when it comes to visualization of distribution.</w:t>
      </w:r>
      <w:r>
        <w:t xml:space="preserve"> </w:t>
      </w:r>
      <w:r>
        <w:t xml:space="preserve">For this reason we replaced box plots in Figure 1E, Supplementary Figure S12, Supplementary Figure S14, and Supplementary Figure S20 with violin plots.</w:t>
      </w:r>
      <w:r>
        <w:t xml:space="preserve"> </w:t>
      </w:r>
      <w:r>
        <w:t xml:space="preserve">The legends were adjusted accordingly.</w:t>
      </w:r>
      <w:r>
        <w:t xml:space="preserve"> </w:t>
      </w:r>
      <w:r>
        <w:t xml:space="preserve">In Figure 1F, we show confluence values in single biological replicates as points; data points obtained from the same biological replicate of the experiment are connected with lines.</w:t>
      </w:r>
    </w:p>
    <w:p>
      <w:pPr>
        <w:pStyle w:val="TextBody"/>
      </w:pPr>
      <w:r>
        <w:t xml:space="preserve">Still diversity of the presented data required flexibility of visualization and reporting and in some cases were decided to break the EAU guidelines.</w:t>
      </w:r>
      <w:r>
        <w:t xml:space="preserve"> </w:t>
      </w:r>
      <w:r>
        <w:t xml:space="preserve">In particular, while the statistical reporting guidelines discourage multiple testing correction of p values in most cases (rule 3.5 in</w:t>
      </w:r>
      <w:r>
        <w:t xml:space="preserve"> </w:t>
      </w:r>
      <w:r>
        <w:t xml:space="preserve">(2)</w:t>
      </w:r>
      <w:r>
        <w:t xml:space="preserve">), we decided to keep adjusting our p values with the FDR method which is a standard in similar multi-omics studies.</w:t>
      </w:r>
      <w:r>
        <w:t xml:space="preserve"> </w:t>
      </w:r>
      <w:r>
        <w:t xml:space="preserve">Furthermore, we are convinced, that reporting of p values (or test statistics such as 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) without interpretable measures of effect size</w:t>
      </w:r>
      <w:r>
        <w:t xml:space="preserve"> </w:t>
      </w:r>
      <w:r>
        <w:t xml:space="preserve">(3,4)</w:t>
      </w:r>
      <w:r>
        <w:t xml:space="preserve"> </w:t>
      </w:r>
      <w:r>
        <w:t xml:space="preserve">is misleading, in particular for large data sets such as GENIE BLCA and MSK, where statistical significance is reached for differences without apparent biological or clinical impact.</w:t>
      </w:r>
      <w:r>
        <w:t xml:space="preserve"> </w:t>
      </w:r>
      <w:r>
        <w:t xml:space="preserve">Although reporting of effect sizes metrics was not mentioned in the EAU guidelines, we strongly prefer to show them in the our report.</w:t>
      </w:r>
    </w:p>
    <w:p>
      <w:pPr>
        <w:pStyle w:val="TextBody"/>
      </w:pPr>
      <w:r>
        <w:t xml:space="preserve">Below we describe details of changes to Figures, Supplementary Figures, and Supplementary Tables and justify deviations from the EAU guidelines.</w:t>
      </w:r>
    </w:p>
    <w:bookmarkStart w:id="23" w:name="figure-1"/>
    <w:p>
      <w:pPr>
        <w:pStyle w:val="Heading3"/>
      </w:pPr>
      <w:r>
        <w:t xml:space="preserve">Figure 1</w:t>
      </w:r>
    </w:p>
    <w:p>
      <w:pPr>
        <w:pStyle w:val="FirstParagraph"/>
      </w:pPr>
      <w:r>
        <w:t xml:space="preserve">In Figure 1E, the box plots were replaced by violin plots.</w:t>
      </w:r>
      <w:r>
        <w:t xml:space="preserve"> </w:t>
      </w:r>
      <w:r>
        <w:t xml:space="preserve">In Figure 1F, a point and line plot instead of the bar plot.</w:t>
      </w:r>
    </w:p>
    <w:bookmarkEnd w:id="23"/>
    <w:bookmarkStart w:id="24" w:name="supplementary-table-s1"/>
    <w:p>
      <w:pPr>
        <w:pStyle w:val="Heading3"/>
      </w:pPr>
      <w:r>
        <w:t xml:space="preserve">Supplementary Table S1</w:t>
      </w:r>
    </w:p>
    <w:p>
      <w:pPr>
        <w:pStyle w:val="FirstParagraph"/>
      </w:pPr>
      <w:r>
        <w:t xml:space="preserve">The table was generally formatted according to the EAU guidelines.</w:t>
      </w:r>
      <w:r>
        <w:t xml:space="preserve"> </w:t>
      </w:r>
      <w:r>
        <w:t xml:space="preserve">Because we analyzed MIBC cohorts of various designs, difference, especially in tumor pathology were obvious.</w:t>
      </w:r>
      <w:r>
        <w:t xml:space="preserve"> </w:t>
      </w:r>
      <w:r>
        <w:t xml:space="preserve">For this reason and following the rule 5.3 (which we wholeheartedly support!) of the figure and table guidelines</w:t>
      </w:r>
      <w:r>
        <w:t xml:space="preserve"> </w:t>
      </w:r>
      <w:r>
        <w:t xml:space="preserve">(1)</w:t>
      </w:r>
      <w:r>
        <w:t xml:space="preserve"> </w:t>
      </w:r>
      <w:r>
        <w:t xml:space="preserve">we decided not to show p values and effect sizes for differences between the investigated cohorts.</w:t>
      </w:r>
      <w:r>
        <w:t xml:space="preserve"> </w:t>
      </w:r>
      <w:r>
        <w:t xml:space="preserve">Still we present numbers of complete observation, because the clinical information was in many cases far from being complete.</w:t>
      </w:r>
      <w:r>
        <w:t xml:space="preserve"> </w:t>
      </w:r>
      <w:r>
        <w:t xml:space="preserve">Types of the descriptive statistics are outlined in the table caption and in the footnotes.</w:t>
      </w:r>
    </w:p>
    <w:bookmarkEnd w:id="24"/>
    <w:bookmarkStart w:id="25" w:name="supplementary-table-s2"/>
    <w:p>
      <w:pPr>
        <w:pStyle w:val="Heading3"/>
      </w:pPr>
      <w:r>
        <w:t xml:space="preserve">Supplementary Table S2</w:t>
      </w:r>
    </w:p>
    <w:p>
      <w:pPr>
        <w:pStyle w:val="FirstParagraph"/>
      </w:pPr>
      <w:r>
        <w:t xml:space="preserve">The table was generally formatted according to the EAU guidelines.</w:t>
      </w:r>
      <w:r>
        <w:t xml:space="preserve"> </w:t>
      </w:r>
      <w:r>
        <w:t xml:space="preserve">Due to incompleteness of the clinical information, we present numbers of complete cases as well.</w:t>
      </w:r>
      <w:r>
        <w:t xml:space="preserve"> </w:t>
      </w:r>
      <w:r>
        <w:t xml:space="preserve">Types of descriptive statistics, tests, and effect sizes are outlined in the table caption and footnotes.</w:t>
      </w:r>
    </w:p>
    <w:bookmarkEnd w:id="25"/>
    <w:bookmarkStart w:id="26" w:name="supplementary-table-s3"/>
    <w:p>
      <w:pPr>
        <w:pStyle w:val="Heading3"/>
      </w:pPr>
      <w:r>
        <w:t xml:space="preserve">Supplementary Table S3</w:t>
      </w:r>
    </w:p>
    <w:p>
      <w:pPr>
        <w:pStyle w:val="FirstParagraph"/>
      </w:pPr>
      <w:r>
        <w:t xml:space="preserve">Because of space reasons and readability, we decided to present the analyzed genes in a general form</w:t>
      </w:r>
      <w:r>
        <w:t xml:space="preserve"> </w:t>
      </w:r>
      <w:r>
        <w:t xml:space="preserve">‘</w:t>
      </w:r>
      <w:r>
        <w:t xml:space="preserve">gene symbol (gene identifier</w:t>
      </w:r>
      <w:r>
        <w:t xml:space="preserve">’</w:t>
      </w:r>
      <w:r>
        <w:t xml:space="preserve">).</w:t>
      </w:r>
    </w:p>
    <w:bookmarkEnd w:id="26"/>
    <w:bookmarkStart w:id="27" w:name="supplementary-table-s4"/>
    <w:p>
      <w:pPr>
        <w:pStyle w:val="Heading3"/>
      </w:pPr>
      <w:r>
        <w:t xml:space="preserve">Supplementary Table S4</w:t>
      </w:r>
    </w:p>
    <w:p>
      <w:pPr>
        <w:pStyle w:val="FirstParagraph"/>
      </w:pPr>
      <w:r>
        <w:t xml:space="preserve">The table was formatted according to the EAU guidelines.</w:t>
      </w:r>
      <w:r>
        <w:t xml:space="preserve"> </w:t>
      </w:r>
      <w:r>
        <w:t xml:space="preserve">In particular, we removed redundant columns, which resulted in a more compact representation.</w:t>
      </w:r>
      <w:r>
        <w:t xml:space="preserve"> </w:t>
      </w:r>
      <w:r>
        <w:t xml:space="preserve">Additionally, because of obvious differences in cohort designs which percolate to differences in genetic alteration rates (e.g. low rates of</w:t>
      </w:r>
      <w:r>
        <w:t xml:space="preserve"> </w:t>
      </w:r>
      <w:r>
        <w:rPr>
          <w:iCs/>
          <w:i/>
        </w:rPr>
        <w:t xml:space="preserve">FGFR3</w:t>
      </w:r>
      <w:r>
        <w:t xml:space="preserve"> </w:t>
      </w:r>
      <w:r>
        <w:t xml:space="preserve">mutations in metastatic tumors in the BCAN cohort), we decided not to show results of statistical hypothesis testing.</w:t>
      </w:r>
      <w:r>
        <w:t xml:space="preserve"> </w:t>
      </w:r>
      <w:r>
        <w:t xml:space="preserve">Types of the descriptive statistics are outlined in the table caption.</w:t>
      </w:r>
    </w:p>
    <w:bookmarkEnd w:id="27"/>
    <w:bookmarkEnd w:id="28"/>
    <w:bookmarkStart w:id="34" w:name="supplementary-table-s5"/>
    <w:p>
      <w:pPr>
        <w:pStyle w:val="Heading2"/>
      </w:pPr>
      <w:r>
        <w:t xml:space="preserve">Supplementary Table S5</w:t>
      </w:r>
    </w:p>
    <w:p>
      <w:pPr>
        <w:pStyle w:val="FirstParagraph"/>
      </w:pPr>
      <w:r>
        <w:t xml:space="preserve">The table was formatted according to the EAU guidelines.</w:t>
      </w:r>
      <w:r>
        <w:t xml:space="preserve"> </w:t>
      </w:r>
      <w:r>
        <w:t xml:space="preserve">As in case of</w:t>
      </w:r>
      <w:r>
        <w:t xml:space="preserve"> </w:t>
      </w:r>
      <w:r>
        <w:rPr>
          <w:bCs/>
          <w:b/>
        </w:rPr>
        <w:t xml:space="preserve">Supplementary Table S5</w:t>
      </w:r>
      <w:r>
        <w:t xml:space="preserve"> </w:t>
      </w:r>
      <w:r>
        <w:t xml:space="preserve">we pruned redundant columns.</w:t>
      </w:r>
      <w:r>
        <w:t xml:space="preserve"> </w:t>
      </w:r>
      <w:r>
        <w:t xml:space="preserve">Types of the descriptive statistics, tests, and effect size metrics are outlined in the table caption and in the footnotes.</w:t>
      </w:r>
    </w:p>
    <w:bookmarkStart w:id="29" w:name="supplementary-table-s6"/>
    <w:p>
      <w:pPr>
        <w:pStyle w:val="Heading3"/>
      </w:pPr>
      <w:r>
        <w:t xml:space="preserve">Supplementary Table S6</w:t>
      </w:r>
    </w:p>
    <w:p>
      <w:pPr>
        <w:pStyle w:val="FirstParagraph"/>
      </w:pPr>
      <w:r>
        <w:t xml:space="preserve">The table was formatted according to the EAU guidelines with one exception: in the HPA cohort, we provide the number of evaluable IHC specimens for each gene.</w:t>
      </w:r>
      <w:r>
        <w:t xml:space="preserve"> </w:t>
      </w:r>
      <w:r>
        <w:t xml:space="preserve">Types of the descriptive statistics are outlined in the table caption.</w:t>
      </w:r>
    </w:p>
    <w:bookmarkEnd w:id="29"/>
    <w:bookmarkStart w:id="30" w:name="supplementary-table-s7---s9"/>
    <w:p>
      <w:pPr>
        <w:pStyle w:val="Heading3"/>
      </w:pPr>
      <w:r>
        <w:t xml:space="preserve">Supplementary Table S7 - S9</w:t>
      </w:r>
    </w:p>
    <w:p>
      <w:pPr>
        <w:pStyle w:val="FirstParagraph"/>
      </w:pPr>
      <w:r>
        <w:t xml:space="preserve">The tables were formatted according to the EAU guidelines.</w:t>
      </w:r>
      <w:r>
        <w:t xml:space="preserve"> </w:t>
      </w:r>
      <w:r>
        <w:t xml:space="preserve">Types of descriptive statistics, tests, and effect sizes are outlined in the table caption and footnotes.</w:t>
      </w:r>
    </w:p>
    <w:bookmarkEnd w:id="30"/>
    <w:bookmarkStart w:id="31" w:name="supplementary-tables-s10-and-s11"/>
    <w:p>
      <w:pPr>
        <w:pStyle w:val="Heading3"/>
      </w:pPr>
      <w:r>
        <w:t xml:space="preserve">Supplementary Tables S10 and S11</w:t>
      </w:r>
    </w:p>
    <w:p>
      <w:pPr>
        <w:pStyle w:val="FirstParagraph"/>
      </w:pPr>
      <w:r>
        <w:t xml:space="preserve">The tables were formatted according to the EAU guidelines.</w:t>
      </w:r>
      <w:r>
        <w:t xml:space="preserve"> </w:t>
      </w:r>
      <w:r>
        <w:t xml:space="preserve">Model hyper-parameters and performance metrics are shown with two significant digits.</w:t>
      </w:r>
      <w:r>
        <w:t xml:space="preserve"> </w:t>
      </w:r>
      <w:r>
        <w:t xml:space="preserve">Description of the hyper-parameters and performance metrics is provided in the footnotes.</w:t>
      </w:r>
    </w:p>
    <w:bookmarkEnd w:id="31"/>
    <w:bookmarkStart w:id="32" w:name="supplementary-tables-s11-and-s12"/>
    <w:p>
      <w:pPr>
        <w:pStyle w:val="Heading3"/>
      </w:pPr>
      <w:r>
        <w:t xml:space="preserve">Supplementary Tables S11 and S12</w:t>
      </w:r>
    </w:p>
    <w:p>
      <w:pPr>
        <w:pStyle w:val="FirstParagraph"/>
      </w:pPr>
      <w:r>
        <w:t xml:space="preserve">The tables stayed as before.</w:t>
      </w:r>
    </w:p>
    <w:bookmarkEnd w:id="32"/>
    <w:bookmarkStart w:id="33" w:name="supplementary-figures"/>
    <w:p>
      <w:pPr>
        <w:pStyle w:val="Heading3"/>
      </w:pPr>
      <w:r>
        <w:t xml:space="preserve">Supplementary Figures</w:t>
      </w:r>
    </w:p>
    <w:p>
      <w:pPr>
        <w:pStyle w:val="FirstParagraph"/>
      </w:pPr>
      <w:r>
        <w:t xml:space="preserve">In Supplementary Figures S4B, S12B, S14B, and S20, we replaced the box plots with violin plots.</w:t>
      </w:r>
    </w:p>
    <w:bookmarkEnd w:id="33"/>
    <w:bookmarkEnd w:id="34"/>
    <w:bookmarkEnd w:id="35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7" w:name="ref-Vickers202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Vickers AJ, Assel MJ, Sjoberg DD, Qin R, Zhao Z, Koyama T, Botchway A, Wang X, Huo D, Kattan M, et al.</w:t>
      </w:r>
      <w:r>
        <w:t xml:space="preserve"> </w:t>
      </w:r>
      <w:r>
        <w:t xml:space="preserve">Guidelines for Reporting of Figures and Tables for Clinical Research in Urology</w:t>
      </w:r>
      <w:r>
        <w:t xml:space="preserve">.</w:t>
      </w:r>
      <w:r>
        <w:t xml:space="preserve"> </w:t>
      </w:r>
      <w:r>
        <w:rPr>
          <w:iCs/>
          <w:i/>
        </w:rPr>
        <w:t xml:space="preserve">European Urology</w:t>
      </w:r>
      <w:r>
        <w:t xml:space="preserve"> (2020) 78:97–109. doi:</w:t>
      </w:r>
      <w:r>
        <w:t xml:space="preserve"> </w:t>
      </w:r>
      <w:hyperlink r:id="rId36">
        <w:r>
          <w:rPr>
            <w:rStyle w:val="InternetLink"/>
          </w:rPr>
          <w:t xml:space="preserve">10.1016/J.EURURO.2020.04.048</w:t>
        </w:r>
      </w:hyperlink>
    </w:p>
    <w:bookmarkEnd w:id="37"/>
    <w:bookmarkStart w:id="39" w:name="ref-Assel201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Assel M, Sjoberg D, Elders A, Wang X, Huo D, Botchway A, Delfino K, Fan Y, Zhao Z, Koyama T, et al.</w:t>
      </w:r>
      <w:r>
        <w:t xml:space="preserve"> </w:t>
      </w:r>
      <w:r>
        <w:t xml:space="preserve">Guidelines for Reporting of Statistics for Clinical Research in Urology</w:t>
      </w:r>
      <w:r>
        <w:t xml:space="preserve">.</w:t>
      </w:r>
      <w:r>
        <w:t xml:space="preserve"> </w:t>
      </w:r>
      <w:r>
        <w:rPr>
          <w:iCs/>
          <w:i/>
        </w:rPr>
        <w:t xml:space="preserve">European Urology</w:t>
      </w:r>
      <w:r>
        <w:t xml:space="preserve"> (2019) 75:358–367. doi:</w:t>
      </w:r>
      <w:r>
        <w:t xml:space="preserve"> </w:t>
      </w:r>
      <w:hyperlink r:id="rId38">
        <w:r>
          <w:rPr>
            <w:rStyle w:val="InternetLink"/>
          </w:rPr>
          <w:t xml:space="preserve">10.1016/J.EURURO.2018.12.014</w:t>
        </w:r>
      </w:hyperlink>
    </w:p>
    <w:bookmarkEnd w:id="39"/>
    <w:bookmarkStart w:id="41" w:name="ref-Funder201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Funder DC, Ozer DJ.</w:t>
      </w:r>
      <w:r>
        <w:t xml:space="preserve"> </w:t>
      </w:r>
      <w:r>
        <w:t xml:space="preserve">Evaluating Effect Size in Psychological Research: Sense and Nonsense</w:t>
      </w:r>
      <w:r>
        <w:t xml:space="preserve">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 (2019) 2:156–168. doi:</w:t>
      </w:r>
      <w:r>
        <w:t xml:space="preserve"> </w:t>
      </w:r>
      <w:hyperlink r:id="rId40">
        <w:r>
          <w:rPr>
            <w:rStyle w:val="InternetLink"/>
          </w:rPr>
          <w:t xml:space="preserve">10.1177/2515245919847202</w:t>
        </w:r>
      </w:hyperlink>
    </w:p>
    <w:bookmarkEnd w:id="41"/>
    <w:bookmarkStart w:id="43" w:name="ref-Cohen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Cohen J.</w:t>
      </w:r>
      <w:r>
        <w:t xml:space="preserve"> </w:t>
      </w:r>
      <w:r>
        <w:t xml:space="preserve">Statistical Power Analysis for the Behavioral Sciences</w:t>
      </w:r>
      <w:r>
        <w:t xml:space="preserve">.</w:t>
      </w:r>
      <w:r>
        <w:t xml:space="preserve"> </w:t>
      </w:r>
      <w:r>
        <w:rPr>
          <w:iCs/>
          <w:i/>
        </w:rPr>
        <w:t xml:space="preserve">Statistical Power Analysis for the Behavioral Sciences</w:t>
      </w:r>
      <w:r>
        <w:t xml:space="preserve"> (2013) doi:</w:t>
      </w:r>
      <w:r>
        <w:t xml:space="preserve"> </w:t>
      </w:r>
      <w:hyperlink r:id="rId42">
        <w:r>
          <w:rPr>
            <w:rStyle w:val="InternetLink"/>
          </w:rPr>
          <w:t xml:space="preserve">10.4324/9780203771587</w:t>
        </w:r>
      </w:hyperlink>
    </w:p>
    <w:bookmarkEnd w:id="43"/>
    <w:bookmarkEnd w:id="44"/>
    <w:bookmarkEnd w:id="45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38" Target="https://doi.org/10.1016/J.EURURO.2018.12.014" TargetMode="External" /><Relationship Type="http://schemas.openxmlformats.org/officeDocument/2006/relationships/hyperlink" Id="rId36" Target="https://doi.org/10.1016/J.EURURO.2020.04.048" TargetMode="External" /><Relationship Type="http://schemas.openxmlformats.org/officeDocument/2006/relationships/hyperlink" Id="rId21" Target="https://doi.org/10.1016/j.eururo.2018.12.014" TargetMode="External" /><Relationship Type="http://schemas.openxmlformats.org/officeDocument/2006/relationships/hyperlink" Id="rId40" Target="https://doi.org/10.1177/2515245919847202" TargetMode="External" /><Relationship Type="http://schemas.openxmlformats.org/officeDocument/2006/relationships/hyperlink" Id="rId42" Target="https://doi.org/10.4324/9780203771587" TargetMode="External" /><Relationship Type="http://schemas.openxmlformats.org/officeDocument/2006/relationships/hyperlink" Id="rId20" Target="https://www.sciencedirect.com/science/article/pii/S030228382030316X?via%3Di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16/J.EURURO.2018.12.014" TargetMode="External" /><Relationship Type="http://schemas.openxmlformats.org/officeDocument/2006/relationships/hyperlink" Id="rId36" Target="https://doi.org/10.1016/J.EURURO.2020.04.048" TargetMode="External" /><Relationship Type="http://schemas.openxmlformats.org/officeDocument/2006/relationships/hyperlink" Id="rId21" Target="https://doi.org/10.1016/j.eururo.2018.12.014" TargetMode="External" /><Relationship Type="http://schemas.openxmlformats.org/officeDocument/2006/relationships/hyperlink" Id="rId40" Target="https://doi.org/10.1177/2515245919847202" TargetMode="External" /><Relationship Type="http://schemas.openxmlformats.org/officeDocument/2006/relationships/hyperlink" Id="rId42" Target="https://doi.org/10.4324/9780203771587" TargetMode="External" /><Relationship Type="http://schemas.openxmlformats.org/officeDocument/2006/relationships/hyperlink" Id="rId20" Target="https://www.sciencedirect.com/science/article/pii/S030228382030316X?via%3Di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3</Pages>
  <Words>369</Words>
  <Characters>2368</Characters>
  <CharactersWithSpaces>2718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FGFR1/3 Signaling as Achilles’ Heel of Phenotypic Diversity in Urothelial Carcinoma</dc:title>
  <dc:creator>Department of Urology, Medical University of Innsbruck</dc:creator>
  <cp:keywords/>
  <dcterms:created xsi:type="dcterms:W3CDTF">2025-05-14T20:43:30Z</dcterms:created>
  <dcterms:modified xsi:type="dcterms:W3CDTF">2025-05-14T20:43:30Z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blca.bib</vt:lpwstr>
  </property>
  <property fmtid="{D5CDD505-2E9C-101B-9397-08002B2CF9AE}" pid="3" name="csl">
    <vt:lpwstr>frontiers_medical.csl</vt:lpwstr>
  </property>
  <property fmtid="{D5CDD505-2E9C-101B-9397-08002B2CF9AE}" pid="4" name="date">
    <vt:lpwstr>2025-05-14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Rebuttal Letter, third revision</vt:lpwstr>
  </property>
</Properties>
</file>