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Risk stratification and phenotyping in pulmonary arterial hypertension with machine learning algorithms and cluster analysis – a long-term retrospective multicenter trial</w:t>
      </w:r>
    </w:p>
    <w:p>
      <w:pPr>
        <w:pStyle w:val="Subtitle"/>
        <w:rPr/>
      </w:pPr>
      <w:r>
        <w:rPr/>
        <w:t>Supplementary Material</w:t>
      </w:r>
    </w:p>
    <w:p>
      <w:pPr>
        <w:pStyle w:val="Author"/>
        <w:rPr/>
      </w:pPr>
      <w:r>
        <w:rPr/>
        <w:t>Innsbruck PAH registry</w:t>
      </w:r>
    </w:p>
    <w:p>
      <w:pPr>
        <w:pStyle w:val="Date"/>
        <w:rPr/>
      </w:pPr>
      <w:r>
        <w:rPr/>
        <w:t>2023-03-08</w:t>
      </w:r>
    </w:p>
    <w:p>
      <w:pPr>
        <w:pStyle w:val="Normal"/>
        <w:rPr/>
      </w:pPr>
      <w:r>
        <w:rPr/>
      </w:r>
      <w:r>
        <w:br w:type="page"/>
      </w:r>
    </w:p>
    <w:p>
      <w:pPr>
        <w:pStyle w:val="Heading1"/>
        <w:rPr/>
      </w:pPr>
      <w:r>
        <w:rPr/>
        <w:t>Supplementary Methods</w:t>
      </w:r>
    </w:p>
    <w:p>
      <w:pPr>
        <w:pStyle w:val="Heading2"/>
        <w:rPr/>
      </w:pPr>
      <w:r>
        <w:rPr/>
        <w:t>Data transformation, visualization, descriptive statistic</w:t>
      </w:r>
    </w:p>
    <w:p>
      <w:pPr>
        <w:pStyle w:val="FirstParagraph"/>
        <w:rPr/>
      </w:pPr>
      <w:r>
        <w:rPr/>
        <w:t xml:space="preserve">Data transformation, analysis and result visualization was accomplished by R version 4.0.5 with </w:t>
      </w:r>
      <w:r>
        <w:rPr>
          <w:i/>
          <w:iCs/>
        </w:rPr>
        <w:t>tidyverse</w:t>
      </w:r>
      <w:r>
        <w:rPr/>
        <w:t xml:space="preserve"> environment</w:t>
      </w:r>
      <w:r>
        <w:rPr>
          <w:vertAlign w:val="superscript"/>
        </w:rPr>
        <w:t>1,2</w:t>
      </w:r>
      <w:r>
        <w:rPr/>
        <w:t xml:space="preserve">. Figures were generated with </w:t>
      </w:r>
      <w:r>
        <w:rPr>
          <w:i/>
          <w:iCs/>
        </w:rPr>
        <w:t>cowplot</w:t>
      </w:r>
      <w:r>
        <w:rPr/>
        <w:t xml:space="preserve"> package</w:t>
      </w:r>
      <w:r>
        <w:rPr>
          <w:vertAlign w:val="superscript"/>
        </w:rPr>
        <w:t>3</w:t>
      </w:r>
      <w:r>
        <w:rPr/>
        <w:t xml:space="preserve">, Supplementary Material file was built with </w:t>
      </w:r>
      <w:r>
        <w:rPr>
          <w:i/>
          <w:iCs/>
        </w:rPr>
        <w:t>rmarkdown</w:t>
      </w:r>
      <w:r>
        <w:rPr/>
        <w:t xml:space="preserve"> environment (packages </w:t>
      </w:r>
      <w:r>
        <w:rPr>
          <w:i/>
          <w:iCs/>
        </w:rPr>
        <w:t>knitr</w:t>
      </w:r>
      <w:r>
        <w:rPr/>
        <w:t xml:space="preserve">, </w:t>
      </w:r>
      <w:r>
        <w:rPr>
          <w:i/>
          <w:iCs/>
        </w:rPr>
        <w:t>rmarkdown</w:t>
      </w:r>
      <w:r>
        <w:rPr/>
        <w:t xml:space="preserve">, </w:t>
      </w:r>
      <w:r>
        <w:rPr>
          <w:i/>
          <w:iCs/>
        </w:rPr>
        <w:t>flextable</w:t>
      </w:r>
      <w:r>
        <w:rPr/>
        <w:t xml:space="preserve"> and </w:t>
      </w:r>
      <w:r>
        <w:rPr>
          <w:i/>
          <w:iCs/>
        </w:rPr>
        <w:t>bookdown</w:t>
      </w:r>
      <w:r>
        <w:rPr/>
        <w:t>)</w:t>
      </w:r>
      <w:r>
        <w:rPr>
          <w:vertAlign w:val="superscript"/>
        </w:rPr>
        <w:t>4</w:t>
      </w:r>
      <w:r>
        <w:rPr/>
        <w:t>.</w:t>
      </w:r>
    </w:p>
    <w:p>
      <w:pPr>
        <w:pStyle w:val="TextBody"/>
        <w:rPr/>
      </w:pPr>
      <w:r>
        <w:rPr/>
        <w:t xml:space="preserve">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 For the list of modeling variables and their stratification scheme, see: </w:t>
      </w:r>
      <w:r>
        <w:rPr>
          <w:b/>
          <w:bCs/>
        </w:rPr>
        <w:t>Supplementary Table 1</w:t>
      </w:r>
      <w:r>
        <w:rPr/>
        <w:t>.</w:t>
      </w:r>
      <w:bookmarkStart w:id="0" w:name="X2ee3dc3b12032b0e9527c6fda3eb2327e631a82"/>
      <w:bookmarkEnd w:id="0"/>
    </w:p>
    <w:p>
      <w:pPr>
        <w:pStyle w:val="Heading2"/>
        <w:rPr/>
      </w:pPr>
      <w:r>
        <w:rPr/>
        <w:t>Hypothesis testing, multiple comparisons</w:t>
      </w:r>
    </w:p>
    <w:p>
      <w:pPr>
        <w:pStyle w:val="FirstParagraph"/>
        <w:rPr/>
      </w:pPr>
      <w:r>
        <w:rPr/>
        <w:t xml:space="preserve">As the some of the analyzed numeric variables were non-normally distributed as checked by Shapiro-Wilk test, differences in median values of numeric variables between the study cohorts or participant clusters were investigated by Mann-Whitney test and r effect size statistic. Differences in frequency distribution of categorical variables between the study cohorts or participant clusters were assessed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and Cramer’s V effect size statistic. Explorative data analysis and hypothesis testing was accomplished with </w:t>
      </w:r>
      <w:r>
        <w:rPr>
          <w:i/>
          <w:iCs/>
        </w:rPr>
        <w:t>rstatix</w:t>
      </w:r>
      <w:r>
        <w:rPr/>
        <w:t xml:space="preserve"> package and in-house-developed tools (</w:t>
      </w:r>
      <w:hyperlink r:id="rId2">
        <w:r>
          <w:rPr>
            <w:rStyle w:val="InternetLink"/>
          </w:rPr>
          <w:t>https://github.com/PiotrTymoszuk/ExDA</w:t>
        </w:r>
      </w:hyperlink>
      <w:r>
        <w:rPr/>
        <w:t>). Differences in survival between the participant clusters or participants stratified by risk score tertiles were compared by Kaplan-Meier (KM) analysis, Mentel-Haenszel or log-rank test</w:t>
      </w:r>
      <w:r>
        <w:rPr>
          <w:vertAlign w:val="superscript"/>
        </w:rPr>
        <w:t>5,6</w:t>
      </w:r>
      <w:r>
        <w:rPr/>
        <w:t xml:space="preserve">. KM analysis and visualization of its results were done with tools provided by </w:t>
      </w:r>
      <w:r>
        <w:rPr>
          <w:i/>
          <w:iCs/>
        </w:rPr>
        <w:t>survival</w:t>
      </w:r>
      <w:r>
        <w:rPr/>
        <w:t xml:space="preserve"> and </w:t>
      </w:r>
      <w:r>
        <w:rPr>
          <w:i/>
          <w:iCs/>
        </w:rPr>
        <w:t>survminer</w:t>
      </w:r>
      <w:r>
        <w:rPr/>
        <w:t xml:space="preserve"> packages</w:t>
      </w:r>
      <w:r>
        <w:rPr>
          <w:vertAlign w:val="superscript"/>
        </w:rPr>
        <w:t>7</w:t>
      </w:r>
      <w:r>
        <w:rPr/>
        <w:t>. For each analysis and cohort, p values were corrected for multiple comparisons with Benjamini-Hochberg method</w:t>
      </w:r>
      <w:r>
        <w:rPr>
          <w:vertAlign w:val="superscript"/>
        </w:rPr>
        <w:t>8</w:t>
      </w:r>
      <w:r>
        <w:rPr/>
        <w:t>.</w:t>
      </w:r>
      <w:bookmarkStart w:id="1" w:name="hypothesis-testing-multiple-comparisons"/>
      <w:bookmarkEnd w:id="1"/>
    </w:p>
    <w:p>
      <w:pPr>
        <w:pStyle w:val="Heading2"/>
        <w:rPr/>
      </w:pPr>
      <w:r>
        <w:rPr/>
        <w:t>Univariable Cox survival modeling</w:t>
      </w:r>
    </w:p>
    <w:p>
      <w:pPr>
        <w:pStyle w:val="FirstParagraph"/>
        <w:rPr/>
      </w:pPr>
      <w:r>
        <w:rPr/>
        <w:t>Association of independent categorical and numeric variables (</w:t>
      </w:r>
      <w:r>
        <w:rPr>
          <w:b/>
          <w:bCs/>
        </w:rPr>
        <w:t>Supplementary Table 1</w:t>
      </w:r>
      <w:r>
        <w:rPr/>
        <w:t xml:space="preserve">) with overall survival time was assessed by series of univariable Cox proportional hazard models constructed for the Innsbruck and Linz/Vienna cohort using </w:t>
      </w:r>
      <w:r>
        <w:rPr>
          <w:i/>
          <w:iCs/>
        </w:rPr>
        <w:t>survival</w:t>
      </w:r>
      <w:r>
        <w:rPr/>
        <w:t xml:space="preserve"> package</w:t>
      </w:r>
      <w:r>
        <w:rPr>
          <w:vertAlign w:val="superscript"/>
        </w:rPr>
        <w:t>6</w:t>
      </w:r>
      <w:r>
        <w:rPr/>
        <w:t xml:space="preserve">. Numeric variables were median-centered (function </w:t>
      </w:r>
      <w:r>
        <w:rPr>
          <w:i/>
          <w:iCs/>
        </w:rPr>
        <w:t>scale(x, center = median(x))</w:t>
      </w:r>
      <w:r>
        <w:rPr/>
        <w:t>).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Cox models. Significance of the hazard ratio estimates was determined by Wald Z test. P values were corrected for multiple comparisons with Benjamini-Hochberg method</w:t>
      </w:r>
      <w:r>
        <w:rPr>
          <w:vertAlign w:val="superscript"/>
        </w:rPr>
        <w:t>8</w:t>
      </w:r>
      <w:r>
        <w:rPr/>
        <w:t xml:space="preserve">. Proportional hazard assumption was checked with </w:t>
      </w:r>
      <w:r>
        <w:rPr>
          <w:i/>
          <w:iCs/>
        </w:rPr>
        <w:t>cox.zph()</w:t>
      </w:r>
      <w:r>
        <w:rPr/>
        <w:t xml:space="preserve"> function (package </w:t>
      </w:r>
      <w:r>
        <w:rPr>
          <w:i/>
          <w:iCs/>
        </w:rPr>
        <w:t>survival</w:t>
      </w:r>
      <w:r>
        <w:rPr/>
        <w:t>)</w:t>
      </w:r>
      <w:r>
        <w:rPr>
          <w:vertAlign w:val="superscript"/>
        </w:rPr>
        <w:t>6</w:t>
      </w:r>
      <w:r>
        <w:rPr/>
        <w:t xml:space="preserve">. For the full modeling results, see: </w:t>
      </w:r>
      <w:r>
        <w:rPr>
          <w:b/>
          <w:bCs/>
        </w:rPr>
        <w:t>Supplementary Table 3</w:t>
      </w:r>
      <w:r>
        <w:rPr/>
        <w:t>.</w:t>
      </w:r>
      <w:bookmarkStart w:id="2" w:name="univariable-cox-survival-modeling"/>
      <w:bookmarkEnd w:id="2"/>
    </w:p>
    <w:p>
      <w:pPr>
        <w:pStyle w:val="Heading2"/>
        <w:rPr/>
      </w:pPr>
      <w:r>
        <w:rPr/>
        <w:t>Multivariable Cox survival modeling with elastic net technique</w:t>
      </w:r>
    </w:p>
    <w:p>
      <w:pPr>
        <w:pStyle w:val="FirstParagraph"/>
        <w:rPr/>
      </w:pPr>
      <w:r>
        <w:rPr/>
        <w:t>Multi-parameter Cox modeling with the set of independent categorical and numeric variables (</w:t>
      </w:r>
      <w:r>
        <w:rPr>
          <w:b/>
          <w:bCs/>
        </w:rPr>
        <w:t>Supplementary Table 1</w:t>
      </w:r>
      <w:r>
        <w:rPr/>
        <w:t xml:space="preserve">) was accomplished by elastic net machine learning technique and </w:t>
      </w:r>
      <w:r>
        <w:rPr>
          <w:i/>
          <w:iCs/>
        </w:rPr>
        <w:t>glmnet</w:t>
      </w:r>
      <w:r>
        <w:rPr/>
        <w:t xml:space="preserve"> package</w:t>
      </w:r>
      <w:r>
        <w:rPr>
          <w:vertAlign w:val="superscript"/>
        </w:rPr>
        <w:t>9</w:t>
      </w:r>
      <w:r>
        <w:rPr/>
        <w:t xml:space="preserve">. Data pre-processing included median centering of numeric independent variables (function </w:t>
      </w:r>
      <w:r>
        <w:rPr>
          <w:i/>
          <w:iCs/>
        </w:rPr>
        <w:t>scale(x, center = median(x))</w:t>
      </w:r>
      <w:r>
        <w:rPr/>
        <w:t xml:space="preserve">) and conversion of categorical features to dummy numeric variables (function </w:t>
      </w:r>
      <w:r>
        <w:rPr>
          <w:i/>
          <w:iCs/>
        </w:rPr>
        <w:t>model.matrix()</w:t>
      </w:r>
      <w:r>
        <w:rPr/>
        <w:t>, base R).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elastic net model development. The elastic net Cox proportional hazard model was trained in the Innsbruck cohort (function </w:t>
      </w:r>
      <w:r>
        <w:rPr>
          <w:i/>
          <w:iCs/>
        </w:rPr>
        <w:t>glmnet()</w:t>
      </w:r>
      <w:r>
        <w:rPr/>
        <w:t>, alpha = 0.5).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i/>
          <w:iCs/>
        </w:rPr>
        <w:t>cv.glmnet()</w:t>
      </w:r>
      <w:r>
        <w:rPr/>
        <w:t xml:space="preserve">) and corresponded to the minimum of cross-validation error. The values of non-zero elastic net model coefficients are presented in </w:t>
      </w:r>
      <w:r>
        <w:rPr>
          <w:b/>
          <w:bCs/>
        </w:rPr>
        <w:t>Figure 2A</w:t>
      </w:r>
      <w:r>
        <w:rPr/>
        <w:t xml:space="preserve">. Subsequently, the elastic net model linear predictor (LP) scores were calculated for the training IBK and test Linz/Vienna cohort and their association with overall survival was assessed by univariable Cox modeling. Concordance index (C-index)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(measure of explained variation) were calculated with </w:t>
      </w:r>
      <w:r>
        <w:rPr>
          <w:i/>
          <w:iCs/>
        </w:rPr>
        <w:t>concordance()</w:t>
      </w:r>
      <w:r>
        <w:rPr/>
        <w:t xml:space="preserve"> (package </w:t>
      </w:r>
      <w:r>
        <w:rPr>
          <w:i/>
          <w:iCs/>
        </w:rPr>
        <w:t>survival</w:t>
      </w:r>
      <w:r>
        <w:rPr/>
        <w:t xml:space="preserve">) and </w:t>
      </w:r>
      <w:r>
        <w:rPr>
          <w:i/>
          <w:iCs/>
        </w:rPr>
        <w:t>rsq()</w:t>
      </w:r>
      <w:r>
        <w:rPr/>
        <w:t xml:space="preserve"> (package </w:t>
      </w:r>
      <w:r>
        <w:rPr>
          <w:i/>
          <w:iCs/>
        </w:rPr>
        <w:t>survMisc</w:t>
      </w:r>
      <w:r>
        <w:rPr/>
        <w:t>) functions, respectively. Modeled survival in the training and the test cohort was compared with the actual overall survival by KM method. Differences in survival between study participants stratified by the LP score tertiles were assessed by log-rank test as described above.</w:t>
      </w:r>
      <w:bookmarkStart w:id="3" w:name="X8360c3b111cf845b2ce4705282cd99d589ed82e"/>
      <w:bookmarkEnd w:id="3"/>
    </w:p>
    <w:p>
      <w:pPr>
        <w:pStyle w:val="Heading2"/>
        <w:rPr/>
      </w:pPr>
      <w:r>
        <w:rPr/>
        <w:t>Clustering of the study participants</w:t>
      </w:r>
    </w:p>
    <w:p>
      <w:pPr>
        <w:pStyle w:val="FirstParagraph"/>
        <w:rPr/>
      </w:pPr>
      <w:r>
        <w:rPr/>
        <w:t>Clustering of the study participants in the Innsbruck training cohort in respect to the variables found associated with overall survival by the elastic net Cox modeling (</w:t>
      </w:r>
      <w:r>
        <w:rPr>
          <w:b/>
          <w:bCs/>
        </w:rPr>
        <w:t>Figure 2A</w:t>
      </w:r>
      <w:r>
        <w:rPr/>
        <w:t xml:space="preserve">; Age, SMWD, log RDW, CI, PVR, log NT-pro-BNP, RAA) was done with the PAM algorithm (partitioning around medoids, function </w:t>
      </w:r>
      <w:r>
        <w:rPr>
          <w:i/>
          <w:iCs/>
        </w:rPr>
        <w:t>pam()</w:t>
      </w:r>
      <w:r>
        <w:rPr/>
        <w:t xml:space="preserve">, package </w:t>
      </w:r>
      <w:r>
        <w:rPr>
          <w:i/>
          <w:iCs/>
        </w:rPr>
        <w:t>cluster</w:t>
      </w:r>
      <w:r>
        <w:rPr/>
        <w:t>)</w:t>
      </w:r>
      <w:r>
        <w:rPr>
          <w:vertAlign w:val="superscript"/>
        </w:rPr>
        <w:t>10</w:t>
      </w:r>
      <w:r>
        <w:rPr/>
        <w:t xml:space="preserve"> with the cosine distance between the study participants (function </w:t>
      </w:r>
      <w:r>
        <w:rPr>
          <w:i/>
          <w:iCs/>
        </w:rPr>
        <w:t>distance()</w:t>
      </w:r>
      <w:r>
        <w:rPr/>
        <w:t xml:space="preserve">, package </w:t>
      </w:r>
      <w:r>
        <w:rPr>
          <w:i/>
          <w:iCs/>
        </w:rPr>
        <w:t>philentropy</w:t>
      </w:r>
      <w:r>
        <w:rPr/>
        <w:t>)</w:t>
      </w:r>
      <w:r>
        <w:rPr>
          <w:vertAlign w:val="superscript"/>
        </w:rPr>
        <w:t>11</w:t>
      </w:r>
      <w:r>
        <w:rPr/>
        <w:t xml:space="preserve">. Prior to clustering, the numeric variables were median centered (function </w:t>
      </w:r>
      <w:r>
        <w:rPr>
          <w:i/>
          <w:iCs/>
        </w:rPr>
        <w:t>scale(x, center = median(x))</w:t>
      </w:r>
      <w:r>
        <w:rPr/>
        <w:t>). The PAM/cosine distance clustering procedure demonstrated the superior fraction of ‘explained’ clustering variance (ratio of total between-cluster to total sum-of-squares) and the optimal performance in 10-fold cross-validation measured by the fraction of correct cluster assignments</w:t>
      </w:r>
      <w:r>
        <w:rPr>
          <w:vertAlign w:val="superscript"/>
        </w:rPr>
        <w:t>12</w:t>
      </w:r>
      <w:r>
        <w:rPr/>
        <w:t xml:space="preserve"> as compared with hierarchical clustering, k-means and self-organizing map algorithms (</w:t>
      </w:r>
      <w:r>
        <w:rPr>
          <w:b/>
          <w:bCs/>
        </w:rPr>
        <w:t>Supplementary Figure S2A</w:t>
      </w:r>
      <w:r>
        <w:rPr/>
        <w:t>). The choice of cluster number was based on the bend of the within-cluster sum-of-squares curve (</w:t>
      </w:r>
      <w:r>
        <w:rPr>
          <w:b/>
          <w:bCs/>
        </w:rPr>
        <w:t>Supplementary Figure 2B</w:t>
      </w:r>
      <w:r>
        <w:rPr/>
        <w:t>). The importance of specific clustering features was determined by comparing the ‘explained’ clustering variances of the original clustering structure with the clustering objects with randomly re-shuffled clustering features</w:t>
      </w:r>
      <w:r>
        <w:rPr>
          <w:vertAlign w:val="superscript"/>
        </w:rPr>
        <w:t>13</w:t>
      </w:r>
      <w:r>
        <w:rPr/>
        <w:t>. Assignment of the test Linz/Vienna cohort participants to the clusters was done with a k-nearest neighbor label propagation procedure (k = 5)</w:t>
      </w:r>
      <w:r>
        <w:rPr>
          <w:vertAlign w:val="superscript"/>
        </w:rPr>
        <w:t>13–15</w:t>
      </w:r>
      <w:r>
        <w:rPr/>
        <w:t>. In-house-developed wrappers for cluster object construction, cross-validation, importance testing and semi-supervised clustering are available as development packages (</w:t>
      </w:r>
      <w:r>
        <w:rPr>
          <w:i/>
          <w:iCs/>
        </w:rPr>
        <w:t>clustTools</w:t>
      </w:r>
      <w:r>
        <w:rPr/>
        <w:t xml:space="preserve">: </w:t>
      </w:r>
      <w:hyperlink r:id="rId3">
        <w:r>
          <w:rPr>
            <w:rStyle w:val="InternetLink"/>
          </w:rPr>
          <w:t>https://github.com/PiotrTymoszuk/clustTools</w:t>
        </w:r>
      </w:hyperlink>
      <w:r>
        <w:rPr/>
        <w:t xml:space="preserve"> and </w:t>
      </w:r>
      <w:r>
        <w:rPr>
          <w:i/>
          <w:iCs/>
        </w:rPr>
        <w:t>somKernels</w:t>
      </w:r>
      <w:r>
        <w:rPr/>
        <w:t xml:space="preserve">: </w:t>
      </w:r>
      <w:hyperlink r:id="rId4">
        <w:r>
          <w:rPr>
            <w:rStyle w:val="InternetLink"/>
          </w:rPr>
          <w:t>https://github.com/PiotrTymoszuk/somKernels</w:t>
        </w:r>
      </w:hyperlink>
      <w:r>
        <w:rPr/>
        <w:t>).</w:t>
      </w:r>
    </w:p>
    <w:p>
      <w:pPr>
        <w:pStyle w:val="TextBody"/>
        <w:rPr/>
      </w:pPr>
      <w:r>
        <w:rPr/>
        <w:t>Differences in study variables (</w:t>
      </w:r>
      <w:r>
        <w:rPr>
          <w:b/>
          <w:bCs/>
        </w:rPr>
        <w:t>Supplementary Table 1</w:t>
      </w:r>
      <w:r>
        <w:rPr/>
        <w:t xml:space="preserve">) between the participant clusters were determined by Mann-Whitney or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as described above (</w:t>
      </w:r>
      <w:r>
        <w:rPr>
          <w:b/>
          <w:bCs/>
        </w:rPr>
        <w:t>Supplementary Tables S4 - S4</w:t>
      </w:r>
      <w:r>
        <w:rPr/>
        <w:t>). Differences in overall survival between the clusters were compared with KM method and Mentel-Haenszel test as described above.</w:t>
      </w:r>
      <w:bookmarkStart w:id="4" w:name="supplementary-methods"/>
      <w:bookmarkStart w:id="5" w:name="clustering-of-the-study-participants"/>
      <w:bookmarkEnd w:id="4"/>
      <w:bookmarkEnd w:id="5"/>
    </w:p>
    <w:p>
      <w:pPr>
        <w:pStyle w:val="Heading1"/>
        <w:rPr/>
      </w:pPr>
      <w:r>
        <w:rPr/>
        <w:t>Data and code availability</w:t>
      </w:r>
    </w:p>
    <w:p>
      <w:pPr>
        <w:pStyle w:val="FirstParagraph"/>
        <w:rPr/>
      </w:pPr>
      <w:r>
        <w:rPr/>
        <w:t>The study data set is available at serious request to the corresponding author. The analysis R code was deposited on GitHub (</w:t>
      </w:r>
      <w:hyperlink r:id="rId5">
        <w:r>
          <w:rPr>
            <w:rStyle w:val="InternetLink"/>
          </w:rPr>
          <w:t>https://github.com/PiotrTymoszuk/PAH-biomarker</w:t>
        </w:r>
      </w:hyperlink>
      <w:r>
        <w:rPr/>
        <w:t>).</w:t>
      </w:r>
    </w:p>
    <w:p>
      <w:pPr>
        <w:pStyle w:val="Normal"/>
        <w:rPr/>
      </w:pPr>
      <w:r>
        <w:rPr/>
      </w:r>
      <w:bookmarkStart w:id="6" w:name="data-and-code-availability"/>
      <w:bookmarkStart w:id="7" w:name="data-and-code-availability"/>
      <w:bookmarkEnd w:id="7"/>
      <w:r>
        <w:br w:type="page"/>
      </w:r>
    </w:p>
    <w:p>
      <w:pPr>
        <w:pStyle w:val="Heading1"/>
        <w:rPr/>
      </w:pPr>
      <w:r>
        <w:rPr/>
        <w:t>Supplementary Tables</w:t>
      </w:r>
    </w:p>
    <w:p>
      <w:pPr>
        <w:pStyle w:val="FirstParagraph"/>
        <w:rPr>
          <w:b/>
          <w:b/>
          <w:bCs/>
        </w:rPr>
      </w:pPr>
      <w:r>
        <w:rPr>
          <w:b/>
          <w:bCs/>
        </w:rPr>
        <w:t xml:space="preserve">Supplementary </w:t>
      </w:r>
      <w:r>
        <w:rPr>
          <w:b/>
          <w:bCs/>
        </w:rPr>
        <w:t xml:space="preserve">Table </w:t>
      </w:r>
      <w:r>
        <w:rPr>
          <w:b/>
          <w:bCs/>
        </w:rPr>
        <w:t>S</w:t>
      </w:r>
      <w:r>
        <w:rPr>
          <w:b/>
          <w:bCs/>
        </w:rPr>
        <w:t>1: Study variables.</w:t>
      </w:r>
    </w:p>
    <w:tbl>
      <w:tblPr>
        <w:tblW w:w="9638" w:type="dxa"/>
        <w:jc w:val="center"/>
        <w:tblInd w:w="0" w:type="dxa"/>
        <w:tblLayout w:type="fixed"/>
        <w:tblCellMar>
          <w:top w:w="0" w:type="dxa"/>
          <w:left w:w="0" w:type="dxa"/>
          <w:bottom w:w="0" w:type="dxa"/>
          <w:right w:w="0" w:type="dxa"/>
        </w:tblCellMar>
        <w:tblLook w:firstRow="1" w:noVBand="1" w:lastRow="0" w:firstColumn="0" w:lastColumn="0" w:noHBand="0"/>
      </w:tblPr>
      <w:tblGrid>
        <w:gridCol w:w="1531"/>
        <w:gridCol w:w="2665"/>
        <w:gridCol w:w="1700"/>
        <w:gridCol w:w="1021"/>
        <w:gridCol w:w="1473"/>
        <w:gridCol w:w="1247"/>
      </w:tblGrid>
      <w:tr>
        <w:trPr>
          <w:tblHeader w:val="true"/>
          <w:trHeight w:val="360" w:hRule="atLeast"/>
          <w:cantSplit w:val="true"/>
        </w:trPr>
        <w:tc>
          <w:tcPr>
            <w:tcW w:w="1531"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Variable</w:t>
            </w:r>
            <w:r>
              <w:rPr>
                <w:b/>
                <w:i w:val="false"/>
                <w:color w:val="000000"/>
                <w:sz w:val="20"/>
                <w:szCs w:val="20"/>
                <w:u w:val="none"/>
                <w:vertAlign w:val="superscript"/>
              </w:rPr>
              <w:t>a</w:t>
            </w:r>
          </w:p>
        </w:tc>
        <w:tc>
          <w:tcPr>
            <w:tcW w:w="2665"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Description</w:t>
            </w:r>
          </w:p>
        </w:tc>
        <w:tc>
          <w:tcPr>
            <w:tcW w:w="170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Label</w:t>
            </w:r>
            <w:r>
              <w:rPr>
                <w:b/>
                <w:i w:val="false"/>
                <w:color w:val="000000"/>
                <w:sz w:val="20"/>
                <w:szCs w:val="20"/>
                <w:u w:val="none"/>
                <w:vertAlign w:val="superscript"/>
              </w:rPr>
              <w:t>b</w:t>
            </w:r>
          </w:p>
        </w:tc>
        <w:tc>
          <w:tcPr>
            <w:tcW w:w="1021"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Unit</w:t>
            </w:r>
          </w:p>
        </w:tc>
        <w:tc>
          <w:tcPr>
            <w:tcW w:w="1473"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Stratification</w:t>
            </w:r>
          </w:p>
        </w:tc>
        <w:tc>
          <w:tcPr>
            <w:tcW w:w="124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Used in risk modeling</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center</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 Innsbruck, 2: Linz/Vienna</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Cohort</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ID</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patient ID</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ID</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age_fc</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 at the diagnosis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Six Minute Walk Distance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Mean pulmonary arterial pressure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mmHg</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Firstdiagnosisdate</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date of first diagnosis, dd/mm/yyyy</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Diagnosis date</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event1</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1-year mortality</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1-year mortality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event3</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3-year mortality</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3-year mortality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event5</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5-year mortality</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5-year mortality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death_study</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Overall mortality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death_study_fct</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Overall mortality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Survival_time_from_FD_months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OS</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months</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surv_months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OS</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months</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Date_of_death</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death date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Death date</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observation_time_yrs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observation time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Obs. Time</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years</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female; male</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Pulmonary vascular resistance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Wood</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PCWP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Pulmonary capillary wedge pressure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PCWP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mmHg</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RDW_log</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RDW</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renal_ins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 GFR &lt; 60%</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FT_log</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Ferritin</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ng/ml</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TSAT_log</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Transferrin saturation</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fl</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NTproBNP_log</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NT-pro-BNP</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pg/ml</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percardial_effusion</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 yes</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RA_area</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Right Atrial Area</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cm2</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cardiac_index</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Cardiac index</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Mean right atrial pressure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mmHg</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WHOFc_class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Functional Classification</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class</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 III/IV</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SO2_RL_class</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O2 saturation</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&lt;95</w:t>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 risk score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 score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SPAHR</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SAPHR score</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SPAHR</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FRENCH3p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FRENCH score, 3 parameters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3p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FRENCH4p</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FRENCH score, 4 parameters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4p</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Reveal_lite2_3_cat</w:t>
            </w:r>
          </w:p>
        </w:tc>
        <w:tc>
          <w:tcPr>
            <w:tcW w:w="2665"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 Lite, Risk Classes</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 Lite</w:t>
            </w:r>
          </w:p>
        </w:tc>
        <w:tc>
          <w:tcPr>
            <w:tcW w:w="102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1531"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Reveal2_risk_3_cat</w:t>
            </w:r>
          </w:p>
        </w:tc>
        <w:tc>
          <w:tcPr>
            <w:tcW w:w="2665"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 2.0 Risk classes</w:t>
            </w:r>
          </w:p>
        </w:tc>
        <w:tc>
          <w:tcPr>
            <w:tcW w:w="1700"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Reveal 2.0</w:t>
            </w:r>
          </w:p>
        </w:tc>
        <w:tc>
          <w:tcPr>
            <w:tcW w:w="1021"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473"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24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no</w:t>
            </w:r>
          </w:p>
        </w:tc>
      </w:tr>
      <w:tr>
        <w:trPr>
          <w:trHeight w:val="360" w:hRule="atLeast"/>
          <w:cantSplit w:val="true"/>
        </w:trPr>
        <w:tc>
          <w:tcPr>
            <w:tcW w:w="9637" w:type="dxa"/>
            <w:gridSpan w:val="6"/>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a</w:t>
            </w:r>
            <w:r>
              <w:rPr>
                <w:b w:val="false"/>
                <w:i w:val="false"/>
                <w:color w:val="000000"/>
                <w:sz w:val="20"/>
                <w:szCs w:val="20"/>
                <w:u w:val="none"/>
              </w:rPr>
              <w:t>Variable name in the R analysis pipeline.</w:t>
            </w:r>
          </w:p>
        </w:tc>
      </w:tr>
      <w:tr>
        <w:trPr>
          <w:trHeight w:val="360" w:hRule="atLeast"/>
          <w:cantSplit w:val="true"/>
        </w:trPr>
        <w:tc>
          <w:tcPr>
            <w:tcW w:w="9637" w:type="dxa"/>
            <w:gridSpan w:val="6"/>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b</w:t>
            </w:r>
            <w:r>
              <w:rPr>
                <w:b w:val="false"/>
                <w:i w:val="false"/>
                <w:color w:val="000000"/>
                <w:sz w:val="20"/>
                <w:szCs w:val="20"/>
                <w:u w:val="none"/>
              </w:rPr>
              <w:t>Variable name in the figures and tables.</w:t>
            </w:r>
          </w:p>
        </w:tc>
      </w:tr>
    </w:tbl>
    <w:p>
      <w:pPr>
        <w:pStyle w:val="Normal"/>
        <w:rPr/>
      </w:pPr>
      <w:r>
        <w:rPr/>
      </w:r>
      <w:r>
        <w:br w:type="page"/>
      </w:r>
    </w:p>
    <w:p>
      <w:pPr>
        <w:pStyle w:val="TextBody"/>
        <w:rPr>
          <w:b/>
          <w:b/>
          <w:bCs/>
        </w:rPr>
      </w:pPr>
      <w:r>
        <w:rPr>
          <w:b/>
          <w:bCs/>
        </w:rPr>
        <w:t xml:space="preserve">Supplementary </w:t>
      </w:r>
      <w:r>
        <w:rPr>
          <w:b/>
          <w:bCs/>
        </w:rPr>
        <w:t xml:space="preserve">Table </w:t>
      </w:r>
      <w:r>
        <w:rPr>
          <w:b/>
          <w:bCs/>
        </w:rPr>
        <w:t>S</w:t>
      </w:r>
      <w:r>
        <w:rPr>
          <w:b/>
          <w:bCs/>
        </w:rPr>
        <w:t>2: Supplementary characteristic of the study cohorts.</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Variable</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IBK</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LZ/W</w:t>
            </w:r>
          </w:p>
        </w:tc>
        <w:tc>
          <w:tcPr>
            <w:tcW w:w="141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Significance</w:t>
            </w:r>
          </w:p>
        </w:tc>
        <w:tc>
          <w:tcPr>
            <w:tcW w:w="113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Effect size</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 participants</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100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83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 mmHg</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10 [IQR: 6 - 13]</w:t>
              <w:br/>
              <w:t>range: 2 - 26</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 [IQR: 3 - 9]</w:t>
              <w:br/>
              <w:t>range: 0 - 20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0.43</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47% (n = 47)</w:t>
              <w:br/>
              <w:t>&lt;95: 53% (n = 53)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48% (n = 40)</w:t>
              <w:br/>
              <w:t>&lt;95: 52% (n = 43)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0.99)</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0.012</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 pg/ml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6.6 [IQR: 5.1 - 7.7]</w:t>
              <w:br/>
              <w:t>range: 3.4 - 11</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6.6 [IQR: 5.3 - 7.4]</w:t>
              <w:br/>
              <w:t>range: 3.2 - 10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0.0079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2.4 [IQR: 1.9 - 2.8]</w:t>
              <w:br/>
              <w:t>range: 1.6 - 4.2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2.6 [IQR: 2.2 - 3]</w:t>
              <w:br/>
              <w:t>range: 1.4 - 3.8</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0.033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 cm2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22 [IQR: 17 - 24]</w:t>
              <w:br/>
              <w:t>range: 13 - 34</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18 [IQR: 17 - 23]</w:t>
              <w:br/>
              <w:t>range: 13 - 30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0.012</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0.22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 fl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88 [IQR: 85 - 91]</w:t>
              <w:br/>
              <w:t>range: 58 - 100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89 [IQR: 86 - 93]</w:t>
              <w:br/>
              <w:t>range: 76 - 110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2.7 [IQR: 2.6 - 2.8]</w:t>
              <w:br/>
              <w:t>range: 2.5 - 3.1</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2.7 [IQR: 2.7 - 2.8]</w:t>
              <w:br/>
              <w:t>range: 2.5 - 3.1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0.012</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0.22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 ng/ml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4.1 [IQR: 3.5 - 4.7]</w:t>
              <w:br/>
              <w:t>range: 1.1 - 6.5</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4.4 [IQR: 3.4 - 4.9]</w:t>
              <w:br/>
              <w:t>range: 1.9 - 7.1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0.58)</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0.056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2.6 - 3.3]</w:t>
              <w:br/>
              <w:t>range: 0.69 - 4.3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2.5 - 3.4]</w:t>
              <w:br/>
              <w:t>range: 0.69 - 4.5</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0.066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0 - 1]</w:t>
              <w:br/>
              <w:t>range: 0 - 2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0 - 1]</w:t>
              <w:br/>
              <w:t>range: 0 - 2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w:t>
              <w:br/>
              <w:t>range: 1 - 3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1 - 2]</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0.0091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0.23</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SPAHR</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w:t>
              <w:br/>
              <w:t>range: 1 - 3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1 - 2]</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0.065)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0.17</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3p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1 - 3]</w:t>
              <w:br/>
              <w:t>range: 0 - 3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1 - 3]</w:t>
              <w:br/>
              <w:t>range: 0 - 3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0.099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4p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2 - 4]</w:t>
              <w:br/>
              <w:t>range: 0 - 4</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1 - 3]</w:t>
              <w:br/>
              <w:t>range: 0 - 4</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0.33</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3-year mortality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13% (n = 13)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11% (n = 9)</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0.94)</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0.033</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Overall mortality</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33% (n = 33)</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24% (n = 20)</w:t>
            </w:r>
          </w:p>
        </w:tc>
        <w:tc>
          <w:tcPr>
            <w:tcW w:w="141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0.35)</w:t>
            </w:r>
            <w:r>
              <w:rPr>
                <w:b w:val="false"/>
                <w:i w:val="false"/>
                <w:color w:val="000000"/>
                <w:sz w:val="20"/>
                <w:szCs w:val="20"/>
                <w:u w:val="none"/>
                <w:vertAlign w:val="superscript"/>
              </w:rPr>
              <w:t>c</w:t>
            </w:r>
          </w:p>
        </w:tc>
        <w:tc>
          <w:tcPr>
            <w:tcW w:w="1134"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0.098</w:t>
            </w:r>
            <w:r>
              <w:rPr>
                <w:b w:val="false"/>
                <w:i w:val="false"/>
                <w:color w:val="000000"/>
                <w:sz w:val="20"/>
                <w:szCs w:val="20"/>
                <w:u w:val="none"/>
                <w:vertAlign w:val="superscript"/>
              </w:rPr>
              <w:t>d</w:t>
            </w:r>
          </w:p>
        </w:tc>
      </w:tr>
      <w:tr>
        <w:trPr>
          <w:trHeight w:val="360" w:hRule="atLeast"/>
          <w:cantSplit w:val="true"/>
        </w:trPr>
        <w:tc>
          <w:tcPr>
            <w:tcW w:w="9354" w:type="dxa"/>
            <w:gridSpan w:val="5"/>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a</w:t>
            </w:r>
            <w:r>
              <w:rPr>
                <w:b w:val="false"/>
                <w:i w:val="false"/>
                <w:color w:val="000000"/>
                <w:sz w:val="20"/>
                <w:szCs w:val="20"/>
                <w:u w:val="none"/>
              </w:rPr>
              <w:t>Mann-Whitney U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b</w:t>
            </w:r>
            <w:r>
              <w:rPr>
                <w:b w:val="false"/>
                <w:i w:val="false"/>
                <w:color w:val="000000"/>
                <w:sz w:val="20"/>
                <w:szCs w:val="20"/>
                <w:u w:val="none"/>
              </w:rPr>
              <w:t>Wilcoxon r effect size statistic.</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c</w:t>
            </w:r>
            <w:r>
              <w:rPr>
                <w:b w:val="false"/>
                <w:i w:val="false"/>
                <w:color w:val="000000"/>
                <w:sz w:val="20"/>
                <w:szCs w:val="20"/>
                <w:u w:val="none"/>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d</w:t>
            </w:r>
            <w:r>
              <w:rPr>
                <w:b w:val="false"/>
                <w:i w:val="false"/>
                <w:color w:val="000000"/>
                <w:sz w:val="20"/>
                <w:szCs w:val="20"/>
                <w:u w:val="none"/>
              </w:rPr>
              <w:t>Cramer V effect size statistic.</w:t>
            </w:r>
          </w:p>
        </w:tc>
      </w:tr>
    </w:tbl>
    <w:p>
      <w:pPr>
        <w:pStyle w:val="Normal"/>
        <w:rPr/>
      </w:pPr>
      <w:r>
        <w:rPr/>
      </w:r>
      <w:r>
        <w:br w:type="page"/>
      </w:r>
    </w:p>
    <w:p>
      <w:pPr>
        <w:pStyle w:val="TextBody"/>
        <w:rPr>
          <w:b/>
          <w:b/>
          <w:bCs/>
        </w:rPr>
      </w:pPr>
      <w:r>
        <w:rPr>
          <w:b/>
          <w:bCs/>
        </w:rPr>
        <w:t xml:space="preserve">Supplementary </w:t>
      </w:r>
      <w:r>
        <w:rPr>
          <w:b/>
          <w:bCs/>
        </w:rPr>
        <w:t xml:space="preserve">Table </w:t>
      </w:r>
      <w:r>
        <w:rPr>
          <w:b/>
          <w:bCs/>
        </w:rPr>
        <w:t>S</w:t>
      </w:r>
      <w:r>
        <w:rPr>
          <w:b/>
          <w:bCs/>
        </w:rPr>
        <w:t>3: Results of univariable Cox modeling.</w:t>
      </w:r>
    </w:p>
    <w:tbl>
      <w:tblPr>
        <w:tblW w:w="9468" w:type="dxa"/>
        <w:jc w:val="center"/>
        <w:tblInd w:w="0" w:type="dxa"/>
        <w:tblLayout w:type="fixed"/>
        <w:tblCellMar>
          <w:top w:w="0" w:type="dxa"/>
          <w:left w:w="0" w:type="dxa"/>
          <w:bottom w:w="0" w:type="dxa"/>
          <w:right w:w="0" w:type="dxa"/>
        </w:tblCellMar>
        <w:tblLook w:firstRow="1" w:noVBand="1" w:lastRow="0" w:firstColumn="0" w:lastColumn="0" w:noHBand="0"/>
      </w:tblPr>
      <w:tblGrid>
        <w:gridCol w:w="794"/>
        <w:gridCol w:w="1531"/>
        <w:gridCol w:w="736"/>
        <w:gridCol w:w="737"/>
        <w:gridCol w:w="1701"/>
        <w:gridCol w:w="1418"/>
        <w:gridCol w:w="1700"/>
        <w:gridCol w:w="849"/>
      </w:tblGrid>
      <w:tr>
        <w:trPr>
          <w:tblHeader w:val="true"/>
          <w:trHeight w:val="360" w:hRule="atLeast"/>
          <w:cantSplit w:val="true"/>
        </w:trPr>
        <w:tc>
          <w:tcPr>
            <w:tcW w:w="79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Cohort</w:t>
            </w:r>
          </w:p>
        </w:tc>
        <w:tc>
          <w:tcPr>
            <w:tcW w:w="1531"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Variable</w:t>
            </w:r>
          </w:p>
        </w:tc>
        <w:tc>
          <w:tcPr>
            <w:tcW w:w="736"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Level</w:t>
            </w:r>
          </w:p>
        </w:tc>
        <w:tc>
          <w:tcPr>
            <w:tcW w:w="73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i w:val="false"/>
                <w:color w:val="000000"/>
                <w:sz w:val="20"/>
                <w:szCs w:val="20"/>
                <w:u w:val="none"/>
              </w:rPr>
              <w:t>Model order</w:t>
            </w:r>
          </w:p>
        </w:tc>
        <w:tc>
          <w:tcPr>
            <w:tcW w:w="1701"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HR</w:t>
            </w:r>
            <w:r>
              <w:rPr>
                <w:b/>
                <w:i w:val="false"/>
                <w:color w:val="000000"/>
                <w:sz w:val="20"/>
                <w:szCs w:val="20"/>
                <w:u w:val="none"/>
                <w:vertAlign w:val="superscript"/>
              </w:rPr>
              <w:t>a</w:t>
            </w:r>
          </w:p>
        </w:tc>
        <w:tc>
          <w:tcPr>
            <w:tcW w:w="141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Significance</w:t>
            </w:r>
          </w:p>
        </w:tc>
        <w:tc>
          <w:tcPr>
            <w:tcW w:w="170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 index</w:t>
            </w:r>
            <w:r>
              <w:rPr>
                <w:b/>
                <w:i w:val="false"/>
                <w:color w:val="000000"/>
                <w:sz w:val="20"/>
                <w:szCs w:val="20"/>
                <w:u w:val="none"/>
                <w:vertAlign w:val="superscript"/>
              </w:rPr>
              <w:t>b</w:t>
            </w:r>
          </w:p>
        </w:tc>
        <w:tc>
          <w:tcPr>
            <w:tcW w:w="849"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R²</w:t>
            </w:r>
          </w:p>
        </w:tc>
      </w:tr>
      <w:tr>
        <w:trPr>
          <w:trHeight w:val="360" w:hRule="atLeast"/>
          <w:cantSplit w:val="true"/>
        </w:trPr>
        <w:tc>
          <w:tcPr>
            <w:tcW w:w="794"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IBK</w:t>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2.7 [1.3 - 5.3]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[0.59 - 0.78]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0.71 [0.32 - 1.5]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0.47)</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[0.59 - 0.78]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0.41 [0.24 - 0.7]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0.0068</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 [0.59 - 0.8]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0.82 [0.56 - 1.2]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 [0.59 - 0.8]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4.6 [2.2 - 9.4]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0.74 [0.65 - 0.83]</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0.63 [0.45 - 0.88]</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0.74 [0.65 - 0.83]</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male</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 [1 - 4]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[0.52 - 0.7]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0.069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3.5 [1.6 - 7.8]</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0.0095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[0.59 - 0.78]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0.73 [0.52 - 1]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[0.59 - 0.78]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PCWP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1.3 [0.76 - 2.2]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0.51 [0.41 - 0.61]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0.92 [0.71 - 1.2]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0.51 [0.41 - 0.61]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1.4 [0.59 - 3.2]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0.54 [0.46 - 0.62]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0.0093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1.8 [0.96 - 3.3]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0.66 [0.55 - 0.77]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0.99 [0.75 - 1.3]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0.66 [0.55 - 0.77]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2.5 [1.3 - 5]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0.021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 [0.51 - 0.69]</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1.3 [0.88 - 1.9]</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 [0.49 - 0.71]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0.039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0.93 [0.72 - 1.2]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 [0.49 - 0.71]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0.039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 [0.7 - 1.5]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[0.48 - 0.68]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0.056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1.2 [0.97 - 1.4]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[0.48 - 0.68]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0.056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1.4 [1 - 2.1]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0.54 [0.41 - 0.66]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1.2 [1.1 - 1.3]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0.0087</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0.54 [0.41 - 0.66]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3.9 [2 - 7.7]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0.76 [0.67 - 0.85]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[0.4 - 0.84]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0.013</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0.76 [0.67 - 0.85]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2.1 [0.91 - 4.9]</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0.56 [0.48 - 0.63]</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0.048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3.6 [1.8 - 7.2]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0.0034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0.73 [0.65 - 0.81]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0.46 [0.29 - 0.74]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0.0068</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0.73 [0.65 - 0.81]</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0.31 [0.19 - 0.52]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0.77 [0.68 - 0.85]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1.3 [0.84 - 2]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0.77 [0.68 - 0.85]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[0.93 - 2.5]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0.56 [0.46 - 0.66]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0.074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0.92 [0.72 - 1.2]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0.56 [0.46 - 0.66]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0.074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class</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III/IV</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1.9 [0.86 - 4]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0.18)</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0.55 [0.46 - 0.64]</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&lt;95</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[0.76 - 3.1]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[0.49 - 0.67]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0.027</w:t>
            </w:r>
          </w:p>
        </w:tc>
      </w:tr>
      <w:tr>
        <w:trPr>
          <w:trHeight w:val="360" w:hRule="atLeast"/>
          <w:cantSplit w:val="true"/>
        </w:trPr>
        <w:tc>
          <w:tcPr>
            <w:tcW w:w="794" w:type="dxa"/>
            <w:vMerge w:val="restart"/>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LZ/W</w:t>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3.8 [1.2 - 12]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0.076)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0.69 [0.56 - 0.82]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0.26</w:t>
            </w:r>
          </w:p>
        </w:tc>
      </w:tr>
      <w:tr>
        <w:trPr>
          <w:trHeight w:val="360" w:hRule="atLeast"/>
          <w:cantSplit w:val="true"/>
        </w:trPr>
        <w:tc>
          <w:tcPr>
            <w:tcW w:w="794" w:type="dxa"/>
            <w:vMerge w:val="continue"/>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1.4 [0.78 - 2.5]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0.43)</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0.69 [0.56 - 0.82]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0.26</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0.44 [0.24 - 0.8]</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0.048</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[0.56 - 0.8]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0.93 [0.62 - 1.4]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0.79)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[0.56 - 0.8]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1.9 [1.1 - 3.4]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0.086)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0.63 [0.5 - 0.76]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0.81 [0.53 - 1.2]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0.63 [0.5 - 0.76]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male</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5.7 [2.2 - 15]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0.73 [0.64 - 0.83]</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0.33</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5.8 [2 - 16]</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0.74 [0.61 - 0.87]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0.54 [0.33 - 0.87]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0.064)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0.74 [0.61 - 0.87]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0.38</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PCWP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0.73 [0.31 - 1.7]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[0.46 - 0.76]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0.48 [0.2 - 1.1]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[0.46 - 0.76]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1.9 [0.69 - 5.4]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0.52 [0.43 - 0.6]</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0.042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1.7 [0.91 - 3]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[0.47 - 0.74]</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0.93 [0.69 - 1.2]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0.68)</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[0.47 - 0.74]</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[0.49 - 4.5]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0.49 [0.41 - 0.57]</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0.014</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1.4 [0.93 - 2.1]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0.26)</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[0.43 - 0.72]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0.075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1.1 [0.88 - 1.4]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0.58 [0.43 - 0.72]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0.075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[0.34 - 1.1]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[0.47 - 0.75]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0.097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0.86 [0.59 - 1.3]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0.61 [0.47 - 0.75]</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0.097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1.4 [0.82 - 2.5]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0.62 [0.46 - 0.78]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0.059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0.84 [0.54 - 1.3]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0.62 [0.46 - 0.78]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0.059</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2.2 [1.3 - 3.6]</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0.67 [0.52 - 0.82]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0.96 [0.69 - 1.3]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0.83)</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0.67 [0.52 - 0.82]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yes</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4 [0.89 - 18]</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0.53 [0.47 - 0.59]</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0.071</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[0.66 - 3.5]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0.49)</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0.65 [0.53 - 0.78]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 [0.62 - 1.7]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0.95)</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0.65 [0.53 - 0.78]</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0.12</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0.63 [0.35 - 1.1]</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0.27)</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[0.55 - 0.82]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0.087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0.84 [0.56 - 1.3]</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0.54)</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0.68 [0.55 - 0.82]</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0.087</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restart"/>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1</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2.4 [1.2 - 4.8]</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0.072)</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0.72 [0.59 - 0.84]</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b w:val="false"/>
                <w:i w:val="false"/>
                <w:color w:val="000000"/>
                <w:sz w:val="20"/>
                <w:szCs w:val="20"/>
                <w:u w:val="none"/>
              </w:rPr>
              <w:t>2</w:t>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0.79 [0.52 - 1.2]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0.43)</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0.72 [0.59 - 0.84]</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0.25</w:t>
            </w:r>
          </w:p>
        </w:tc>
      </w:tr>
      <w:tr>
        <w:trPr>
          <w:trHeight w:val="360" w:hRule="atLeast"/>
          <w:cantSplit w:val="true"/>
        </w:trPr>
        <w:tc>
          <w:tcPr>
            <w:tcW w:w="794" w:type="dxa"/>
            <w:vMerge w:val="continue"/>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class</w:t>
            </w:r>
          </w:p>
        </w:tc>
        <w:tc>
          <w:tcPr>
            <w:tcW w:w="7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III/IV</w:t>
            </w:r>
          </w:p>
        </w:tc>
        <w:tc>
          <w:tcPr>
            <w:tcW w:w="73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5.5 [2 - 15]</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0.011</w:t>
            </w:r>
          </w:p>
        </w:tc>
        <w:tc>
          <w:tcPr>
            <w:tcW w:w="1700"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0.69 [0.58 - 0.79]</w:t>
            </w:r>
          </w:p>
        </w:tc>
        <w:tc>
          <w:tcPr>
            <w:tcW w:w="849"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0.36</w:t>
            </w:r>
          </w:p>
        </w:tc>
      </w:tr>
      <w:tr>
        <w:trPr>
          <w:trHeight w:val="360" w:hRule="atLeast"/>
          <w:cantSplit w:val="true"/>
        </w:trPr>
        <w:tc>
          <w:tcPr>
            <w:tcW w:w="794" w:type="dxa"/>
            <w:vMerge w:val="continue"/>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531"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w:t>
            </w:r>
          </w:p>
        </w:tc>
        <w:tc>
          <w:tcPr>
            <w:tcW w:w="736"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&lt;95</w:t>
            </w:r>
          </w:p>
        </w:tc>
        <w:tc>
          <w:tcPr>
            <w:tcW w:w="73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right"/>
              <w:rPr/>
            </w:pPr>
            <w:r>
              <w:rPr/>
            </w:r>
          </w:p>
        </w:tc>
        <w:tc>
          <w:tcPr>
            <w:tcW w:w="1701"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1.7 [0.71 - 4.3]</w:t>
            </w:r>
          </w:p>
        </w:tc>
        <w:tc>
          <w:tcPr>
            <w:tcW w:w="141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0.4)</w:t>
            </w:r>
          </w:p>
        </w:tc>
        <w:tc>
          <w:tcPr>
            <w:tcW w:w="1700"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0.56 [0.43 - 0.68]</w:t>
            </w:r>
          </w:p>
        </w:tc>
        <w:tc>
          <w:tcPr>
            <w:tcW w:w="849"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0.045</w:t>
            </w:r>
          </w:p>
        </w:tc>
      </w:tr>
      <w:tr>
        <w:trPr>
          <w:trHeight w:val="360" w:hRule="atLeast"/>
          <w:cantSplit w:val="true"/>
        </w:trPr>
        <w:tc>
          <w:tcPr>
            <w:tcW w:w="9466" w:type="dxa"/>
            <w:gridSpan w:val="8"/>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a</w:t>
            </w:r>
            <w:r>
              <w:rPr>
                <w:b w:val="false"/>
                <w:i w:val="false"/>
                <w:color w:val="000000"/>
                <w:sz w:val="20"/>
                <w:szCs w:val="20"/>
                <w:u w:val="none"/>
              </w:rPr>
              <w:t>Hazard ratio with 95% confidence interval.</w:t>
            </w:r>
          </w:p>
        </w:tc>
      </w:tr>
      <w:tr>
        <w:trPr>
          <w:trHeight w:val="360" w:hRule="atLeast"/>
          <w:cantSplit w:val="true"/>
        </w:trPr>
        <w:tc>
          <w:tcPr>
            <w:tcW w:w="9466" w:type="dxa"/>
            <w:gridSpan w:val="8"/>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b</w:t>
            </w:r>
            <w:r>
              <w:rPr>
                <w:b w:val="false"/>
                <w:i w:val="false"/>
                <w:color w:val="000000"/>
                <w:sz w:val="20"/>
                <w:szCs w:val="20"/>
                <w:u w:val="none"/>
              </w:rPr>
              <w:t>Concordance index with 95% confidence interval.</w:t>
            </w:r>
          </w:p>
        </w:tc>
      </w:tr>
    </w:tbl>
    <w:p>
      <w:pPr>
        <w:pStyle w:val="Normal"/>
        <w:rPr/>
      </w:pPr>
      <w:r>
        <w:rPr/>
      </w:r>
      <w:r>
        <w:br w:type="page"/>
      </w:r>
    </w:p>
    <w:p>
      <w:pPr>
        <w:pStyle w:val="TextBody"/>
        <w:rPr>
          <w:b/>
          <w:b/>
          <w:bCs/>
        </w:rPr>
      </w:pPr>
      <w:r>
        <w:rPr>
          <w:b/>
          <w:bCs/>
        </w:rPr>
        <w:t xml:space="preserve">Supplementary </w:t>
      </w:r>
      <w:r>
        <w:rPr>
          <w:b/>
          <w:bCs/>
        </w:rPr>
        <w:t xml:space="preserve">Table </w:t>
      </w:r>
      <w:r>
        <w:rPr>
          <w:b/>
          <w:bCs/>
        </w:rPr>
        <w:t>S</w:t>
      </w:r>
      <w:r>
        <w:rPr>
          <w:b/>
          <w:bCs/>
        </w:rPr>
        <w:t>4: Characteristic of the participant clusters in the Innsbruck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Variable</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Cluster #1</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Cluster #2</w:t>
            </w:r>
          </w:p>
        </w:tc>
        <w:tc>
          <w:tcPr>
            <w:tcW w:w="141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Significance</w:t>
            </w:r>
          </w:p>
        </w:tc>
        <w:tc>
          <w:tcPr>
            <w:tcW w:w="113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Effect size</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 participants</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46</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54</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 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58 [IQR: 48 - 68]</w:t>
              <w:br/>
              <w:t>range: 4 - 80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69 [IQR: 65 - 74]</w:t>
              <w:br/>
              <w:t>range: 26 - 84</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0.0015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0.34</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 m</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370 [IQR: 310 - 450]</w:t>
              <w:br/>
              <w:t>range: 120 - 580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240 [IQR: 160 - 330]</w:t>
              <w:br/>
              <w:t>range: 50 - 610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0.47</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 mmHg</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30 [IQR: 27 - 37]</w:t>
              <w:br/>
              <w:t>range: 26 - 87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47 [IQR: 40 - 55]</w:t>
              <w:br/>
              <w:t>range: 26 - 120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0.56</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female: 78% (n = 36)</w:t>
              <w:br/>
              <w:t>male: 22% (n = 10)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female: 52% (n = 28)</w:t>
              <w:br/>
              <w:t>male: 48% (n = 26)</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0.018</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0.27</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 Wood</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6.8 [IQR: 5.9 - 9.6]</w:t>
              <w:br/>
              <w:t>range: 3.3 - 38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14 [IQR: 11 - 22]</w:t>
              <w:br/>
              <w:t>range: 4.3 - 43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(n = 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22% (n = 12)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0.53)</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0.089</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2.6 [IQR: 2.6 - 2.7]</w:t>
              <w:br/>
              <w:t>range: 2.5 - 2.9</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2.7 [IQR: 2.6 - 2.8]</w:t>
              <w:br/>
              <w:t>range: 2.6 - 3.1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17% (n = 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50% (n = 27)</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0.0026</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0.34</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 ng/ml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 [IQR: 3.3 - 4.7]</w:t>
              <w:br/>
              <w:t>range: 1.1 - 6.5</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4.2 [IQR: 3.8 - 4.9]</w:t>
              <w:br/>
              <w:t>range: 1.8 - 6.5</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0.23)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2.7 - 3.4]</w:t>
              <w:br/>
              <w:t>range: 1.8 - 4.3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2.8 [IQR: 2.4 - 3.2]</w:t>
              <w:br/>
              <w:t>range: 0.69 - 4</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0.15</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 fl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88 [IQR: 85 - 90]</w:t>
              <w:br/>
              <w:t>range: 76 - 96</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88 [IQR: 86 - 92]</w:t>
              <w:br/>
              <w:t>range: 58 - 100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0.33)</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 pg/ml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5.1 [IQR: 4.4 - 5.8]</w:t>
              <w:br/>
              <w:t>range: 3.4 - 7.5</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7.6 [IQR: 6.9 - 8.1]</w:t>
              <w:br/>
              <w:t>range: 4.9 - 11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0.78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6.5% (n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24% (n = 13)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0.047</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0.24</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 cm²</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17 [IQR: 16 - 21]</w:t>
              <w:br/>
              <w:t>range: 13 - 27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24 [IQR: 23 - 27]</w:t>
              <w:br/>
              <w:t>range: 15 - 34</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0.67</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2.7 [IQR: 2.4 - 3]</w:t>
              <w:br/>
              <w:t>range: 1.8 - 4.2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1.9 - 2.3]</w:t>
              <w:br/>
              <w:t>range: 1.6 - 3.5</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 mmHg</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 [IQR: 6 - 12]</w:t>
              <w:br/>
              <w:t>range: 2 - 18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11 [IQR: 8 - 14]</w:t>
              <w:br/>
              <w:t>range: 2 - 26</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0.024</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0.24</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class</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 48% (n = 22)</w:t>
              <w:br/>
              <w:t>III/IV: 52% (n = 24)</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 31% (n = 17)</w:t>
              <w:br/>
              <w:t>III/IV: 69% (n = 37)</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0.17</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57% (n = 26)</w:t>
              <w:br/>
              <w:t>&lt;95: 43% (n = 20)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39% (n = 21)</w:t>
              <w:br/>
              <w:t>&lt;95: 61% (n = 33)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3-year mortality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6.5% (n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19% (n = 10)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0.18</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5-year mortality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6.5% (n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33% (n = 18)</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0.0042</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0.33</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0 [IQR: 0 - 1]</w:t>
              <w:br/>
              <w:t>range: 0 - 1</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1 - 2]</w:t>
              <w:br/>
              <w:t>range: 0 - 2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1 - 2]</w:t>
              <w:br/>
              <w:t>range: 1 - 2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2 - 2.8]</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0.58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SPAHR</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1.5 [IQR: 1 - 2]</w:t>
              <w:br/>
              <w:t>range: 1 - 2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0.59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3p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1 - 2]</w:t>
              <w:br/>
              <w:t>range: 0 - 3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2 - 3]</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0.55</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4p</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2 - 3]</w:t>
              <w:br/>
              <w:t>range: 0 - 4</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3 - 4]</w:t>
              <w:br/>
              <w:t>range: 1 - 4</w:t>
            </w:r>
          </w:p>
        </w:tc>
        <w:tc>
          <w:tcPr>
            <w:tcW w:w="141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0.49</w:t>
            </w:r>
            <w:r>
              <w:rPr>
                <w:b w:val="false"/>
                <w:i w:val="false"/>
                <w:color w:val="000000"/>
                <w:sz w:val="20"/>
                <w:szCs w:val="20"/>
                <w:u w:val="none"/>
                <w:vertAlign w:val="superscript"/>
              </w:rPr>
              <w:t>b</w:t>
            </w:r>
          </w:p>
        </w:tc>
      </w:tr>
      <w:tr>
        <w:trPr>
          <w:trHeight w:val="360" w:hRule="atLeast"/>
          <w:cantSplit w:val="true"/>
        </w:trPr>
        <w:tc>
          <w:tcPr>
            <w:tcW w:w="9354" w:type="dxa"/>
            <w:gridSpan w:val="5"/>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a</w:t>
            </w:r>
            <w:r>
              <w:rPr>
                <w:b w:val="false"/>
                <w:i w:val="false"/>
                <w:color w:val="000000"/>
                <w:sz w:val="20"/>
                <w:szCs w:val="20"/>
                <w:u w:val="none"/>
              </w:rPr>
              <w:t>Mann-Whitney U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b</w:t>
            </w:r>
            <w:r>
              <w:rPr>
                <w:b w:val="false"/>
                <w:i w:val="false"/>
                <w:color w:val="000000"/>
                <w:sz w:val="20"/>
                <w:szCs w:val="20"/>
                <w:u w:val="none"/>
              </w:rPr>
              <w:t>r effect size statistic.</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c</w:t>
            </w:r>
            <w:r>
              <w:rPr>
                <w:b w:val="false"/>
                <w:i w:val="false"/>
                <w:color w:val="000000"/>
                <w:sz w:val="20"/>
                <w:szCs w:val="20"/>
                <w:u w:val="none"/>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d</w:t>
            </w:r>
            <w:r>
              <w:rPr>
                <w:b w:val="false"/>
                <w:i w:val="false"/>
                <w:color w:val="000000"/>
                <w:sz w:val="20"/>
                <w:szCs w:val="20"/>
                <w:u w:val="none"/>
              </w:rPr>
              <w:t>Cramer V effect size statistic.</w:t>
            </w:r>
          </w:p>
        </w:tc>
      </w:tr>
    </w:tbl>
    <w:p>
      <w:pPr>
        <w:pStyle w:val="Normal"/>
        <w:rPr/>
      </w:pPr>
      <w:r>
        <w:rPr/>
      </w:r>
      <w:r>
        <w:br w:type="page"/>
      </w:r>
    </w:p>
    <w:p>
      <w:pPr>
        <w:pStyle w:val="TextBody"/>
        <w:rPr>
          <w:b/>
          <w:b/>
          <w:bCs/>
        </w:rPr>
      </w:pPr>
      <w:r>
        <w:rPr>
          <w:b/>
          <w:bCs/>
        </w:rPr>
        <w:t xml:space="preserve">Supplementary </w:t>
      </w:r>
      <w:r>
        <w:rPr>
          <w:b/>
          <w:bCs/>
        </w:rPr>
        <w:t xml:space="preserve">Table </w:t>
      </w:r>
      <w:r>
        <w:rPr>
          <w:b/>
          <w:bCs/>
        </w:rPr>
        <w:t>S</w:t>
      </w:r>
      <w:r>
        <w:rPr>
          <w:b/>
          <w:bCs/>
        </w:rPr>
        <w:t>5: Characteristic of the participant clusters in the Linz/Vienna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Variable</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Cluster #1</w:t>
            </w:r>
          </w:p>
        </w:tc>
        <w:tc>
          <w:tcPr>
            <w:tcW w:w="260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Cluster #2</w:t>
            </w:r>
          </w:p>
        </w:tc>
        <w:tc>
          <w:tcPr>
            <w:tcW w:w="1417"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Significance</w:t>
            </w:r>
          </w:p>
        </w:tc>
        <w:tc>
          <w:tcPr>
            <w:tcW w:w="113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20"/>
                <w:szCs w:val="20"/>
                <w:u w:val="none"/>
              </w:rPr>
              <w:t>Effect size</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 participants</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35</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48</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Age, 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63 [IQR: 46 - 71]</w:t>
              <w:br/>
              <w:t>range: 23 - 81</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71 [IQR: 64 - 74]</w:t>
              <w:br/>
              <w:t>range: 26 - 82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0.0097</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0.31</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SMWD, m</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430 [IQR: 350 - 510]</w:t>
              <w:br/>
              <w:t>range: 190 - 620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320 [IQR: 180 - 380]</w:t>
              <w:br/>
              <w:t>range: 50 - 580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mPAP, mmHg</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34 [IQR: 28 - 39]</w:t>
              <w:br/>
              <w:t>range: 18 - 57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44 [IQR: 35 - 50]</w:t>
              <w:br/>
              <w:t>range: 28 - 67</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0.47</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Sex</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female: 77% (n = 27)</w:t>
              <w:br/>
              <w:t>male: 23% (n = 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female: 58% (n = 28)</w:t>
              <w:br/>
              <w:t>male: 42% (n = 20)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PVR, Wood</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3.7 [IQR: 3 - 5]</w:t>
              <w:br/>
              <w:t>range: 1.4 - 10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6.4 [IQR: 4.9 - 9]</w:t>
              <w:br/>
              <w:t>range: 2.3 - 20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0.46</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Anemia</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5.7% (n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25% (n = 12)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0.07)</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0.25</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RDW,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2.7 [IQR: 2.6 - 2.8]</w:t>
              <w:br/>
              <w:t>range: 2.5 - 2.8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2.8 [IQR: 2.7 - 2.8]</w:t>
              <w:br/>
              <w:t>range: 2.5 - 3.1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0.011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Renal insufficiency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11% (n = 4)</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23% (n = 11)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0.33)</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0.15</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FT, ng/ml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4.2 [IQR: 3 - 4.8]</w:t>
              <w:br/>
              <w:t>range: 1.9 - 5.7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4.4 [IQR: 3.6 - 5]</w:t>
              <w:br/>
              <w:t>range: 2.5 - 7.1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0.12)</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TF-Sat,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3.1 [IQR: 2.8 - 3.4]</w:t>
              <w:br/>
              <w:t>range: 1.6 - 4.5</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2.8 [IQR: 2.4 - 3.4]</w:t>
              <w:br/>
              <w:t>range: 0.69 - 4.1</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0.16)</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0.17</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MCV, fl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89 [IQR: 84 - 94]</w:t>
              <w:br/>
              <w:t>range: 78 - 110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90 [IQR: 87 - 93]</w:t>
              <w:br/>
              <w:t>range: 76 - 100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0.68)</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0.045</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log NT-pro-BNP, pg/ml</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5.3 [IQR: 4.9 - 6]</w:t>
              <w:br/>
              <w:t>range: 3.2 - 7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7.3 [IQR: 6.7 - 7.9]</w:t>
              <w:br/>
              <w:t>range: 4.8 - 10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Percardial effusion</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0% (n = 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6.2% (n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0.38)</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0.17</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RAA, cm²</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17 [IQR: 15 - 17]</w:t>
              <w:br/>
              <w:t>range: 13 - 20</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22 [IQR: 19 - 25]</w:t>
              <w:br/>
              <w:t>range: 15 - 30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0.69</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CI</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2.8 [IQR: 2.5 - 3.1]</w:t>
              <w:br/>
              <w:t>range: 1.8 - 3.8</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2.4 [IQR: 2.1 - 2.8]</w:t>
              <w:br/>
              <w:t>range: 1.4 - 3.6</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 0.0097</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0.31</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mRAP, mmHg</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1 - 5.5]</w:t>
              <w:br/>
              <w:t>range: 0 - 16</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8 [IQR: 5 - 9.2]</w:t>
              <w:br/>
              <w:t>range: 1 - 20</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0.55</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WHO class</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 80% (n = 28)</w:t>
              <w:br/>
              <w:t>III/IV: 20% (n = 7)</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I/II: 33% (n = 16)</w:t>
              <w:br/>
              <w:t>III/IV: 67% (n = 32)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0.46</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SO2, %</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60% (n = 21)</w:t>
              <w:br/>
              <w:t>&lt;95: 40% (n = 14)</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w:t>
            </w:r>
            <w:r>
              <w:rPr>
                <w:b w:val="false"/>
                <w:i w:val="false"/>
                <w:color w:val="000000"/>
                <w:sz w:val="20"/>
                <w:szCs w:val="20"/>
                <w:u w:val="none"/>
              </w:rPr>
              <w:t>95: 40% (n = 19)</w:t>
              <w:br/>
              <w:t>&lt;95: 60% (n = 29)</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0.15)</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3-year mortality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5.7% (n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15% (n = 7)</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0.38)</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0.14</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5-year mortality</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5.7% (n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19% (n = 9)</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ns (p = 0.19)</w:t>
            </w:r>
            <w:r>
              <w:rPr>
                <w:b w:val="false"/>
                <w:i w:val="false"/>
                <w:color w:val="000000"/>
                <w:sz w:val="20"/>
                <w:szCs w:val="20"/>
                <w:u w:val="none"/>
                <w:vertAlign w:val="superscript"/>
              </w:rPr>
              <w:t>c</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V = 0.19</w:t>
            </w:r>
            <w:r>
              <w:rPr>
                <w:b w:val="false"/>
                <w:i w:val="false"/>
                <w:color w:val="000000"/>
                <w:sz w:val="20"/>
                <w:szCs w:val="20"/>
                <w:u w:val="none"/>
                <w:vertAlign w:val="superscript"/>
              </w:rPr>
              <w:t>d</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mRASP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0 [IQR: 0 - 0]</w:t>
              <w:br/>
              <w:t>range: 0 - 1</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1 - 1]</w:t>
              <w:br/>
              <w:t>range: 0 - 2</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COMPERA</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1 - 1]</w:t>
              <w:br/>
              <w:t>range: 1 - 2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0.72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SPAHR</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1 - 1]</w:t>
              <w:br/>
              <w:t>range: 1 - 2</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0.78</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3p</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0 - 2]</w:t>
              <w:br/>
              <w:t>range: 0 - 3</w:t>
            </w:r>
          </w:p>
        </w:tc>
        <w:tc>
          <w:tcPr>
            <w:tcW w:w="260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2 - 3]</w:t>
              <w:br/>
              <w:t>range: 1 - 3</w:t>
            </w:r>
          </w:p>
        </w:tc>
        <w:tc>
          <w:tcPr>
            <w:tcW w:w="1417"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0.62</w:t>
            </w:r>
            <w:r>
              <w:rPr>
                <w:b w:val="false"/>
                <w:i w:val="false"/>
                <w:color w:val="000000"/>
                <w:sz w:val="20"/>
                <w:szCs w:val="20"/>
                <w:u w:val="none"/>
                <w:vertAlign w:val="superscript"/>
              </w:rPr>
              <w:t>b</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FPHR 4p</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1 [IQR: 0 - 2]</w:t>
              <w:br/>
              <w:t>range: 0 - 3</w:t>
            </w:r>
          </w:p>
        </w:tc>
        <w:tc>
          <w:tcPr>
            <w:tcW w:w="260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median: 3 [IQR: 2 - 3]</w:t>
              <w:br/>
              <w:t>range: 1 - 4</w:t>
            </w:r>
          </w:p>
        </w:tc>
        <w:tc>
          <w:tcPr>
            <w:tcW w:w="1417"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p &lt; 0.001</w:t>
            </w:r>
            <w:r>
              <w:rPr>
                <w:b w:val="false"/>
                <w:i w:val="false"/>
                <w:color w:val="000000"/>
                <w:sz w:val="20"/>
                <w:szCs w:val="20"/>
                <w:u w:val="none"/>
                <w:vertAlign w:val="superscript"/>
              </w:rPr>
              <w:t>a</w:t>
            </w:r>
          </w:p>
        </w:tc>
        <w:tc>
          <w:tcPr>
            <w:tcW w:w="1134"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rPr>
              <w:t>r = 0.6</w:t>
            </w:r>
            <w:r>
              <w:rPr>
                <w:b w:val="false"/>
                <w:i w:val="false"/>
                <w:color w:val="000000"/>
                <w:sz w:val="20"/>
                <w:szCs w:val="20"/>
                <w:u w:val="none"/>
                <w:vertAlign w:val="superscript"/>
              </w:rPr>
              <w:t>b</w:t>
            </w:r>
          </w:p>
        </w:tc>
      </w:tr>
      <w:tr>
        <w:trPr>
          <w:trHeight w:val="360" w:hRule="atLeast"/>
          <w:cantSplit w:val="true"/>
        </w:trPr>
        <w:tc>
          <w:tcPr>
            <w:tcW w:w="9354" w:type="dxa"/>
            <w:gridSpan w:val="5"/>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a</w:t>
            </w:r>
            <w:r>
              <w:rPr>
                <w:b w:val="false"/>
                <w:i w:val="false"/>
                <w:color w:val="000000"/>
                <w:sz w:val="20"/>
                <w:szCs w:val="20"/>
                <w:u w:val="none"/>
              </w:rPr>
              <w:t>Mann-Whitney U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b</w:t>
            </w:r>
            <w:r>
              <w:rPr>
                <w:b w:val="false"/>
                <w:i w:val="false"/>
                <w:color w:val="000000"/>
                <w:sz w:val="20"/>
                <w:szCs w:val="20"/>
                <w:u w:val="none"/>
              </w:rPr>
              <w:t>r effect size statistic.</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c</w:t>
            </w:r>
            <w:r>
              <w:rPr>
                <w:b w:val="false"/>
                <w:i w:val="false"/>
                <w:color w:val="000000"/>
                <w:sz w:val="20"/>
                <w:szCs w:val="20"/>
                <w:u w:val="none"/>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20"/>
                <w:szCs w:val="20"/>
                <w:u w:val="none"/>
                <w:vertAlign w:val="superscript"/>
              </w:rPr>
              <w:t>d</w:t>
            </w:r>
            <w:r>
              <w:rPr>
                <w:b w:val="false"/>
                <w:i w:val="false"/>
                <w:color w:val="000000"/>
                <w:sz w:val="20"/>
                <w:szCs w:val="20"/>
                <w:u w:val="none"/>
              </w:rPr>
              <w:t>Cramer V effect size statistic.</w:t>
            </w:r>
          </w:p>
        </w:tc>
      </w:tr>
    </w:tbl>
    <w:p>
      <w:pPr>
        <w:pStyle w:val="Normal"/>
        <w:rPr/>
      </w:pPr>
      <w:r>
        <w:rPr/>
      </w:r>
      <w:bookmarkStart w:id="8" w:name="sec%3Atables"/>
      <w:bookmarkStart w:id="9" w:name="sec%3Atables"/>
      <w:bookmarkEnd w:id="9"/>
      <w:r>
        <w:br w:type="page"/>
      </w:r>
    </w:p>
    <w:p>
      <w:pPr>
        <w:pStyle w:val="Heading1"/>
        <w:rPr/>
      </w:pPr>
      <w:r>
        <w:rPr/>
        <w:t>Supplementary Figures</w:t>
      </w:r>
    </w:p>
    <w:p>
      <w:pPr>
        <w:pStyle w:val="CaptionedFigure"/>
        <w:rPr/>
      </w:pPr>
      <w:r>
        <w:rPr/>
        <w:drawing>
          <wp:inline distT="0" distB="0" distL="114935" distR="114935">
            <wp:extent cx="5943600" cy="6934835"/>
            <wp:effectExtent l="0" t="0" r="0" b="0"/>
            <wp:docPr id="1" name="Picture" descr="Figure 1: Univariable Cox proportional hazard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Univariable Cox proportional hazard modeling."/>
                    <pic:cNvPicPr>
                      <a:picLocks noChangeAspect="1" noChangeArrowheads="1"/>
                    </pic:cNvPicPr>
                  </pic:nvPicPr>
                  <pic:blipFill>
                    <a:blip r:embed="rId6"/>
                    <a:stretch>
                      <a:fillRect/>
                    </a:stretch>
                  </pic:blipFill>
                  <pic:spPr bwMode="auto">
                    <a:xfrm>
                      <a:off x="0" y="0"/>
                      <a:ext cx="5943600" cy="6934835"/>
                    </a:xfrm>
                    <a:prstGeom prst="rect">
                      <a:avLst/>
                    </a:prstGeom>
                  </pic:spPr>
                </pic:pic>
              </a:graphicData>
            </a:graphic>
          </wp:inline>
        </w:drawing>
      </w:r>
    </w:p>
    <w:p>
      <w:pPr>
        <w:pStyle w:val="TextBody"/>
        <w:rPr/>
      </w:pPr>
      <w:r>
        <w:rPr>
          <w:b/>
          <w:bCs/>
        </w:rPr>
        <w:t>Supplementary Figure S1. Univariable Cox proportional hazard modeling.</w:t>
      </w:r>
    </w:p>
    <w:p>
      <w:pPr>
        <w:pStyle w:val="TextBody"/>
        <w:rPr/>
      </w:pPr>
      <w:r>
        <w:rPr/>
        <w:t>Association of candidate risk factors (</w:t>
      </w:r>
      <w:r>
        <w:rPr>
          <w:b/>
          <w:bCs/>
        </w:rPr>
        <w:t>Supplementary Table S1</w:t>
      </w:r>
      <w:r>
        <w:rPr/>
        <w:t>) with overall survival was investigated with a series of univariable Cox proportional hazard models. Numeric independent variables were median-centered and their first and second order terms included in the models. Hazard ratio (HR) estimate significance was determined by Wald Z test and adjusted for multiple testing with Benjamini-Hochberg method. HR values with 95</w:t>
      </w:r>
      <w:r>
        <w:rPr/>
      </w:r>
      <m:oMath xmlns:m="http://schemas.openxmlformats.org/officeDocument/2006/math">
        <m:r>
          <m:rPr>
            <m:lit/>
            <m:nor/>
          </m:rPr>
          <w:rPr>
            <w:rFonts w:ascii="Cambria Math" w:hAnsi="Cambria Math"/>
          </w:rPr>
          <m:t xml:space="preserve">%</m:t>
        </m:r>
      </m:oMath>
      <w:r>
        <w:rPr/>
        <w:t xml:space="preserve"> confidence intervals for variables significantly associated with the survival in at least one Innsbruck (IBK) or Linz/Vienna cohort (LZ/W) were presented in a Forest plot. Numbers of complete observations and mortality are indicated under the plot. CI: cardiac index; MCV: mean corpuscular volume; mPAP: mean pulmonary artherial pressure; NT-pro-BNP: N terminal pro brain natriuretic peptide; PVR: pulmonary vascular resistance; RAA: right atrial area; SMWD: six minute walking distance.</w:t>
      </w:r>
    </w:p>
    <w:p>
      <w:pPr>
        <w:pStyle w:val="Normal"/>
        <w:rPr/>
      </w:pPr>
      <w:r>
        <w:rPr/>
      </w:r>
      <w:r>
        <w:br w:type="page"/>
      </w:r>
    </w:p>
    <w:p>
      <w:pPr>
        <w:pStyle w:val="CaptionedFigure"/>
        <w:rPr/>
      </w:pPr>
      <w:r>
        <w:rPr/>
        <w:drawing>
          <wp:inline distT="0" distB="0" distL="114935" distR="114935">
            <wp:extent cx="5943600" cy="6275070"/>
            <wp:effectExtent l="0" t="0" r="0" b="0"/>
            <wp:docPr id="2" name="Image1" descr="Figure 2: Development of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Development of participant clusters."/>
                    <pic:cNvPicPr>
                      <a:picLocks noChangeAspect="1" noChangeArrowheads="1"/>
                    </pic:cNvPicPr>
                  </pic:nvPicPr>
                  <pic:blipFill>
                    <a:blip r:embed="rId7"/>
                    <a:stretch>
                      <a:fillRect/>
                    </a:stretch>
                  </pic:blipFill>
                  <pic:spPr bwMode="auto">
                    <a:xfrm>
                      <a:off x="0" y="0"/>
                      <a:ext cx="5943600" cy="6275070"/>
                    </a:xfrm>
                    <a:prstGeom prst="rect">
                      <a:avLst/>
                    </a:prstGeom>
                  </pic:spPr>
                </pic:pic>
              </a:graphicData>
            </a:graphic>
          </wp:inline>
        </w:drawing>
      </w:r>
    </w:p>
    <w:p>
      <w:pPr>
        <w:pStyle w:val="TextBody"/>
        <w:rPr/>
      </w:pPr>
      <w:r>
        <w:rPr>
          <w:b/>
          <w:bCs/>
        </w:rPr>
        <w:t>Supplementary Figure S2. Development of participant clusters.</w:t>
      </w:r>
    </w:p>
    <w:p>
      <w:pPr>
        <w:pStyle w:val="TextBody"/>
        <w:rPr/>
      </w:pPr>
      <w:r>
        <w:rPr/>
        <w:t>Clustering of the training Innsbruck (IBK) cohort participants in respect to the survival-associated factors identified by elastic-net modeling (</w:t>
      </w:r>
      <w:r>
        <w:rPr>
          <w:b/>
          <w:bCs/>
        </w:rPr>
        <w:t>Figure 2A</w:t>
      </w:r>
      <w:r>
        <w:rPr/>
        <w:t>) was investigated by PAM (partitioning around medoids) algorithm and cosine distance measure.</w:t>
      </w:r>
    </w:p>
    <w:p>
      <w:pPr>
        <w:pStyle w:val="TextBody"/>
        <w:rPr/>
      </w:pPr>
      <w:r>
        <w:rPr>
          <w:b/>
          <w:bCs/>
        </w:rPr>
        <w:t>(A)</w:t>
      </w:r>
      <w:r>
        <w:rPr/>
        <w:t xml:space="preserve"> Comparison of the ‘explained’ clustering variance (between-cluster to total sum-of-squares) and 10-fold cross-validation (CV) correct prediction rate for clustering of the IBK cohort with various algorithms (PAM, HCl: hierarchical clustering, k-means and SOM/HCl: combined self-organizing map/hierarchical clustering) and distance statistics (Euclidean, Manhattan and cosine distance). Note the superior ‘explained’ variance fraction and CV performance of the PAM algorithm/cosine distance procedure.</w:t>
      </w:r>
    </w:p>
    <w:p>
      <w:pPr>
        <w:pStyle w:val="TextBody"/>
        <w:rPr/>
      </w:pPr>
      <w:r>
        <w:rPr>
          <w:b/>
          <w:bCs/>
        </w:rPr>
        <w:t>(B)</w:t>
      </w:r>
      <w:r>
        <w:rPr/>
        <w:t xml:space="preserve"> Determination of the optimal cluster number by the bend of the total within-cluster sum-of-squares curve. The dashed vertical line indicates the chosen number of PAM clusters.</w:t>
      </w:r>
    </w:p>
    <w:p>
      <w:pPr>
        <w:pStyle w:val="TextBody"/>
        <w:rPr/>
      </w:pPr>
      <w:r>
        <w:rPr>
          <w:b/>
          <w:bCs/>
        </w:rPr>
        <w:t>(C)</w:t>
      </w:r>
      <w:r>
        <w:rPr/>
        <w:t xml:space="preserve"> Importance of particular clustering features was determined by comparing the ‘explained’ clustering variances of the original clustering structure with the clustering objects with randomly re-shuffled clustering features.</w:t>
      </w:r>
    </w:p>
    <w:p>
      <w:pPr>
        <w:pStyle w:val="Normal"/>
        <w:rPr/>
      </w:pPr>
      <w:r>
        <w:rPr/>
      </w:r>
      <w:r>
        <w:br w:type="page"/>
      </w:r>
    </w:p>
    <w:p>
      <w:pPr>
        <w:pStyle w:val="CaptionedFigure"/>
        <w:rPr/>
      </w:pPr>
      <w:r>
        <w:rPr/>
        <w:drawing>
          <wp:inline distT="0" distB="0" distL="114935" distR="114935">
            <wp:extent cx="5943600" cy="3962400"/>
            <wp:effectExtent l="0" t="0" r="0" b="0"/>
            <wp:docPr id="3" name="Image2" descr="Figure 3: Differences in study variables between the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fferences in study variables between the participant clusters."/>
                    <pic:cNvPicPr>
                      <a:picLocks noChangeAspect="1" noChangeArrowheads="1"/>
                    </pic:cNvPicPr>
                  </pic:nvPicPr>
                  <pic:blipFill>
                    <a:blip r:embed="rId8"/>
                    <a:stretch>
                      <a:fillRect/>
                    </a:stretch>
                  </pic:blipFill>
                  <pic:spPr bwMode="auto">
                    <a:xfrm>
                      <a:off x="0" y="0"/>
                      <a:ext cx="5943600" cy="3962400"/>
                    </a:xfrm>
                    <a:prstGeom prst="rect">
                      <a:avLst/>
                    </a:prstGeom>
                  </pic:spPr>
                </pic:pic>
              </a:graphicData>
            </a:graphic>
          </wp:inline>
        </w:drawing>
      </w:r>
    </w:p>
    <w:p>
      <w:pPr>
        <w:pStyle w:val="TextBody"/>
        <w:rPr/>
      </w:pPr>
      <w:r>
        <w:rPr>
          <w:b/>
          <w:bCs/>
        </w:rPr>
        <w:t>Supplementary Figure S3. Differences in study variables between the participant clusters.</w:t>
      </w:r>
    </w:p>
    <w:p>
      <w:pPr>
        <w:pStyle w:val="TextBody"/>
        <w:rPr/>
      </w:pPr>
      <w:r>
        <w:rPr/>
        <w:t xml:space="preserve">Training Innsbruck (IBK) cohort participants were clustered as presented in </w:t>
      </w:r>
      <w:r>
        <w:rPr>
          <w:b/>
          <w:bCs/>
        </w:rPr>
        <w:t>Figure 4</w:t>
      </w:r>
      <w:r>
        <w:rPr/>
        <w:t xml:space="preserve"> and </w:t>
      </w:r>
      <w:r>
        <w:rPr>
          <w:b/>
          <w:bCs/>
        </w:rPr>
        <w:t>Supplementary Figure S2</w:t>
      </w:r>
      <w:r>
        <w:rPr/>
        <w:t>. Cluster assignment of the test Linz/Vienna (LZ/W) cohort participants was accomplished by k-nearest neighbor label propagation procedure. Differences in the study variables (</w:t>
      </w:r>
      <w:r>
        <w:rPr>
          <w:b/>
          <w:bCs/>
        </w:rPr>
        <w:t>Supplementary Table S1</w:t>
      </w:r>
      <w:r>
        <w:rPr/>
        <w:t xml:space="preserve">) between the clusters were determined by Mann-Whitney test with r effect size statistic or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with Cramer V effect size statistic for numeric and categorical features, respectively. P values were adjusted for multiple testing with Benjamini-Hochberg method (pFDR). 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 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p>
    <w:p>
      <w:pPr>
        <w:pStyle w:val="Normal"/>
        <w:rPr/>
      </w:pPr>
      <w:r>
        <w:rPr/>
      </w:r>
      <w:bookmarkStart w:id="10" w:name="sec%3Afigures"/>
      <w:bookmarkStart w:id="11" w:name="sec%3Afigures"/>
      <w:bookmarkEnd w:id="11"/>
      <w:r>
        <w:br w:type="page"/>
      </w:r>
    </w:p>
    <w:p>
      <w:pPr>
        <w:pStyle w:val="Heading1"/>
        <w:rPr/>
      </w:pPr>
      <w:r>
        <w:rPr/>
        <w:t>References</w:t>
      </w:r>
    </w:p>
    <w:p>
      <w:pPr>
        <w:pStyle w:val="Bibliography"/>
        <w:rPr/>
      </w:pPr>
      <w:r>
        <w:rPr/>
        <w:t xml:space="preserve">1. </w:t>
        <w:tab/>
        <w:t xml:space="preserve">Wickham H, Averick M, Bryan J, et al. Welcome to the Tidyverse. </w:t>
      </w:r>
      <w:r>
        <w:rPr>
          <w:i/>
          <w:iCs/>
        </w:rPr>
        <w:t>Journal of Open Source Software</w:t>
      </w:r>
      <w:r>
        <w:rPr/>
        <w:t>. 2019;4(43):1686. doi:</w:t>
      </w:r>
      <w:hyperlink r:id="rId9">
        <w:r>
          <w:rPr>
            <w:rStyle w:val="InternetLink"/>
          </w:rPr>
          <w:t>10.21105/joss.01686</w:t>
        </w:r>
      </w:hyperlink>
      <w:bookmarkStart w:id="12" w:name="ref-Wickham2019"/>
      <w:bookmarkEnd w:id="12"/>
    </w:p>
    <w:p>
      <w:pPr>
        <w:pStyle w:val="Bibliography"/>
        <w:rPr/>
      </w:pPr>
      <w:r>
        <w:rPr/>
        <w:t xml:space="preserve">2. </w:t>
        <w:tab/>
        <w:t xml:space="preserve">Wickham Hadley. </w:t>
      </w:r>
      <w:r>
        <w:rPr>
          <w:i/>
          <w:iCs/>
        </w:rPr>
        <w:t>ggplot2: Elegant Graphics for Data Analysis</w:t>
      </w:r>
      <w:r>
        <w:rPr/>
        <w:t xml:space="preserve">. 1st ed. Springer-Verlag; 2016. </w:t>
      </w:r>
      <w:hyperlink r:id="rId10">
        <w:r>
          <w:rPr>
            <w:rStyle w:val="InternetLink"/>
          </w:rPr>
          <w:t>https://ggplot2.tidyverse.org</w:t>
        </w:r>
      </w:hyperlink>
      <w:bookmarkStart w:id="13" w:name="ref-Wickham2016"/>
      <w:bookmarkEnd w:id="13"/>
    </w:p>
    <w:p>
      <w:pPr>
        <w:pStyle w:val="Bibliography"/>
        <w:rPr/>
      </w:pPr>
      <w:r>
        <w:rPr/>
        <w:t xml:space="preserve">3. </w:t>
        <w:tab/>
        <w:t xml:space="preserve">Wilke CO. </w:t>
      </w:r>
      <w:r>
        <w:rPr>
          <w:i/>
          <w:iCs/>
        </w:rPr>
        <w:t>Fundamentals of Data Visualization: A Primer on Making Informative and Compelling Figures</w:t>
      </w:r>
      <w:r>
        <w:rPr/>
        <w:t>. 1st ed. O’Reilly Media; 2019:389.</w:t>
      </w:r>
      <w:bookmarkStart w:id="14" w:name="ref-Wilke2019"/>
      <w:bookmarkEnd w:id="14"/>
    </w:p>
    <w:p>
      <w:pPr>
        <w:pStyle w:val="Bibliography"/>
        <w:rPr/>
      </w:pPr>
      <w:r>
        <w:rPr/>
        <w:t xml:space="preserve">4. </w:t>
        <w:tab/>
        <w:t xml:space="preserve">Xie Y. </w:t>
      </w:r>
      <w:r>
        <w:rPr>
          <w:i/>
          <w:iCs/>
        </w:rPr>
        <w:t>Bookdown : authoring books and technical documents with R Markdown</w:t>
      </w:r>
      <w:r>
        <w:rPr/>
        <w:t>.; 2016:113.</w:t>
      </w:r>
      <w:bookmarkStart w:id="15" w:name="ref-Xie2016"/>
      <w:bookmarkEnd w:id="15"/>
    </w:p>
    <w:p>
      <w:pPr>
        <w:pStyle w:val="Bibliography"/>
        <w:rPr/>
      </w:pPr>
      <w:r>
        <w:rPr/>
        <w:t xml:space="preserve">5. </w:t>
        <w:tab/>
        <w:t xml:space="preserve">Harrington DP, Fleming TR. A Class of Rank Test Procedures for Censored Survival Data. </w:t>
      </w:r>
      <w:r>
        <w:rPr>
          <w:i/>
          <w:iCs/>
        </w:rPr>
        <w:t>Biometrika</w:t>
      </w:r>
      <w:r>
        <w:rPr/>
        <w:t>. 1982;69(3):553. doi:</w:t>
      </w:r>
      <w:hyperlink r:id="rId11">
        <w:r>
          <w:rPr>
            <w:rStyle w:val="InternetLink"/>
          </w:rPr>
          <w:t>10.2307/2335991</w:t>
        </w:r>
      </w:hyperlink>
      <w:bookmarkStart w:id="16" w:name="ref-Harrington1982"/>
      <w:bookmarkEnd w:id="16"/>
    </w:p>
    <w:p>
      <w:pPr>
        <w:pStyle w:val="Bibliography"/>
        <w:rPr/>
      </w:pPr>
      <w:r>
        <w:rPr/>
        <w:t xml:space="preserve">6. </w:t>
        <w:tab/>
        <w:t xml:space="preserve">Therneau TM, Grambsch PM. </w:t>
      </w:r>
      <w:r>
        <w:rPr>
          <w:i/>
          <w:iCs/>
        </w:rPr>
        <w:t>Modeling Survival Data: Extending the Cox Model</w:t>
      </w:r>
      <w:r>
        <w:rPr/>
        <w:t>. 1st ed. Springer Verlag; 2000.</w:t>
      </w:r>
      <w:bookmarkStart w:id="17" w:name="ref-Therneau2000"/>
      <w:bookmarkEnd w:id="17"/>
    </w:p>
    <w:p>
      <w:pPr>
        <w:pStyle w:val="Bibliography"/>
        <w:rPr/>
      </w:pPr>
      <w:r>
        <w:rPr/>
        <w:t xml:space="preserve">7. </w:t>
        <w:tab/>
        <w:t xml:space="preserve">Kassambara A, Kosinski M, Biecek P. survminer: Drawing Survival Curves using ’ggplot2’. Published online 2016. </w:t>
      </w:r>
      <w:hyperlink r:id="rId12">
        <w:r>
          <w:rPr>
            <w:rStyle w:val="InternetLink"/>
          </w:rPr>
          <w:t>https://cran.r-project.org/package=survminer</w:t>
        </w:r>
      </w:hyperlink>
      <w:bookmarkStart w:id="18" w:name="ref-Kassambara2016"/>
      <w:bookmarkEnd w:id="18"/>
    </w:p>
    <w:p>
      <w:pPr>
        <w:pStyle w:val="Bibliography"/>
        <w:rPr/>
      </w:pPr>
      <w:r>
        <w:rPr/>
        <w:t xml:space="preserve">8. </w:t>
        <w:tab/>
        <w:t xml:space="preserve">Benjamini Y, Hochberg Y. Controlling the False Discovery Rate: A Practical and Powerful Approach to Multiple Testing. </w:t>
      </w:r>
      <w:r>
        <w:rPr>
          <w:i/>
          <w:iCs/>
        </w:rPr>
        <w:t>Journal of the Royal Statistical Society: Series B (Methodological)</w:t>
      </w:r>
      <w:r>
        <w:rPr/>
        <w:t>. 1995;57(1):289-300. doi:</w:t>
      </w:r>
      <w:hyperlink r:id="rId13">
        <w:r>
          <w:rPr>
            <w:rStyle w:val="InternetLink"/>
          </w:rPr>
          <w:t>10.1111/j.2517-6161.1995.tb02031.x</w:t>
        </w:r>
      </w:hyperlink>
      <w:bookmarkStart w:id="19" w:name="ref-Benjamini1995"/>
      <w:bookmarkEnd w:id="19"/>
    </w:p>
    <w:p>
      <w:pPr>
        <w:pStyle w:val="Bibliography"/>
        <w:rPr/>
      </w:pPr>
      <w:r>
        <w:rPr/>
        <w:t xml:space="preserve">9. </w:t>
        <w:tab/>
        <w:t xml:space="preserve">Friedman J, Hastie T, Tibshirani R. Regularization paths for generalized linear models via coordinate descent. </w:t>
      </w:r>
      <w:r>
        <w:rPr>
          <w:i/>
          <w:iCs/>
        </w:rPr>
        <w:t>Journal of Statistical Software</w:t>
      </w:r>
      <w:r>
        <w:rPr/>
        <w:t>. 2010;33(1):1-22. doi:</w:t>
      </w:r>
      <w:hyperlink r:id="rId14">
        <w:r>
          <w:rPr>
            <w:rStyle w:val="InternetLink"/>
          </w:rPr>
          <w:t>10.18637/jss.v033.i01</w:t>
        </w:r>
      </w:hyperlink>
      <w:bookmarkStart w:id="20" w:name="ref-Friedman2010"/>
      <w:bookmarkEnd w:id="20"/>
    </w:p>
    <w:p>
      <w:pPr>
        <w:pStyle w:val="Bibliography"/>
        <w:rPr/>
      </w:pPr>
      <w:r>
        <w:rPr/>
        <w:t xml:space="preserve">10. </w:t>
        <w:tab/>
        <w:t xml:space="preserve">Schubert E, Rousseeuw PJ. Faster k-Medoids Clustering: Improving the PAM, CLARA, and CLARANS Algorithms. In: </w:t>
      </w:r>
      <w:r>
        <w:rPr>
          <w:i/>
          <w:iCs/>
        </w:rPr>
        <w:t>Lecture Notes in Computer Science (Including Subseries Lecture Notes in Artificial Intelligence and Lecture Notes in Bioinformatics)</w:t>
      </w:r>
      <w:r>
        <w:rPr/>
        <w:t>. Vol 11807 LNCS. Springer; 2019:171-187. doi:</w:t>
      </w:r>
      <w:hyperlink r:id="rId15">
        <w:r>
          <w:rPr>
            <w:rStyle w:val="InternetLink"/>
          </w:rPr>
          <w:t>10.1007/978-3-030-32047-8_16</w:t>
        </w:r>
      </w:hyperlink>
      <w:bookmarkStart w:id="21" w:name="ref-Schubert2019"/>
      <w:bookmarkEnd w:id="21"/>
    </w:p>
    <w:p>
      <w:pPr>
        <w:pStyle w:val="Bibliography"/>
        <w:rPr/>
      </w:pPr>
      <w:r>
        <w:rPr/>
        <w:t xml:space="preserve">11. </w:t>
        <w:tab/>
        <w:t xml:space="preserve">Drost HG. Philentropy: Information Theory and Distance Quantification with R. </w:t>
      </w:r>
      <w:r>
        <w:rPr>
          <w:i/>
          <w:iCs/>
        </w:rPr>
        <w:t>Journal of Open Source Software</w:t>
      </w:r>
      <w:r>
        <w:rPr/>
        <w:t>. 2018;3(26):765. doi:</w:t>
      </w:r>
      <w:hyperlink r:id="rId16">
        <w:r>
          <w:rPr>
            <w:rStyle w:val="InternetLink"/>
          </w:rPr>
          <w:t>10.21105/joss.00765</w:t>
        </w:r>
      </w:hyperlink>
      <w:bookmarkStart w:id="22" w:name="ref-Drost2018"/>
      <w:bookmarkEnd w:id="22"/>
    </w:p>
    <w:p>
      <w:pPr>
        <w:pStyle w:val="Bibliography"/>
        <w:rPr/>
      </w:pPr>
      <w:r>
        <w:rPr/>
        <w:t xml:space="preserve">12. </w:t>
        <w:tab/>
        <w:t xml:space="preserve">Lange T, Roth V, Braun ML, Buhmann JM. Stability-Based Validation of Clustering Solutions. </w:t>
      </w:r>
      <w:r>
        <w:rPr>
          <w:i/>
          <w:iCs/>
        </w:rPr>
        <w:t>Neural Computation</w:t>
      </w:r>
      <w:r>
        <w:rPr/>
        <w:t>. 2004;16(6):1299-1323. doi:</w:t>
      </w:r>
      <w:hyperlink r:id="rId17">
        <w:r>
          <w:rPr>
            <w:rStyle w:val="InternetLink"/>
          </w:rPr>
          <w:t>10.1162/089976604773717621</w:t>
        </w:r>
      </w:hyperlink>
      <w:bookmarkStart w:id="23" w:name="ref-Lange2004"/>
      <w:bookmarkEnd w:id="23"/>
    </w:p>
    <w:p>
      <w:pPr>
        <w:pStyle w:val="Bibliography"/>
        <w:rPr/>
      </w:pPr>
      <w:r>
        <w:rPr/>
        <w:t xml:space="preserve">13. </w:t>
        <w:tab/>
        <w:t xml:space="preserve">Sonnweber T, Tymoszuk P, Sahanic S, et al. Investigating phenotypes of pulmonary COVID-19 recovery - a longitudinal observational prospective multicenter trial. </w:t>
      </w:r>
      <w:r>
        <w:rPr>
          <w:i/>
          <w:iCs/>
        </w:rPr>
        <w:t>eLife</w:t>
      </w:r>
      <w:r>
        <w:rPr/>
        <w:t>. 2022;11. doi:</w:t>
      </w:r>
      <w:hyperlink r:id="rId18">
        <w:r>
          <w:rPr>
            <w:rStyle w:val="InternetLink"/>
          </w:rPr>
          <w:t>10.7554/ELIFE.72500</w:t>
        </w:r>
      </w:hyperlink>
      <w:bookmarkStart w:id="24" w:name="ref-Sonnweber2022"/>
      <w:bookmarkEnd w:id="24"/>
    </w:p>
    <w:p>
      <w:pPr>
        <w:pStyle w:val="Bibliography"/>
        <w:rPr/>
      </w:pPr>
      <w:r>
        <w:rPr/>
        <w:t xml:space="preserve">14. </w:t>
        <w:tab/>
        <w:t xml:space="preserve">Leng M, Wang J, Cheng J, Zhou H, Chen X. Adaptive semi-supervised clustering algorithm with label propagation. </w:t>
      </w:r>
      <w:r>
        <w:rPr>
          <w:i/>
          <w:iCs/>
        </w:rPr>
        <w:t>Journal of Software Engineering</w:t>
      </w:r>
      <w:r>
        <w:rPr/>
        <w:t>. 2014;8(1):14-22. doi:</w:t>
      </w:r>
      <w:hyperlink r:id="rId19">
        <w:r>
          <w:rPr>
            <w:rStyle w:val="InternetLink"/>
          </w:rPr>
          <w:t>10.3923/JSE.2014.14.22</w:t>
        </w:r>
      </w:hyperlink>
      <w:bookmarkStart w:id="25" w:name="ref-Leng2014"/>
      <w:bookmarkEnd w:id="25"/>
    </w:p>
    <w:p>
      <w:pPr>
        <w:pStyle w:val="Bibliography"/>
        <w:spacing w:before="0" w:after="200"/>
        <w:rPr/>
      </w:pPr>
      <w:r>
        <w:rPr/>
        <w:t xml:space="preserve">15. </w:t>
        <w:tab/>
        <w:t xml:space="preserve">Sahanic S, Tymoszuk P, Ausserhofer D, et al. Phenotyping of acute and persistent COVID-19 features in the outpatient setting: exploratory analysis of an international cross-sectional online survey. </w:t>
      </w:r>
      <w:r>
        <w:rPr>
          <w:i/>
          <w:iCs/>
        </w:rPr>
        <w:t>Clinical Infectious Diseases</w:t>
      </w:r>
      <w:r>
        <w:rPr/>
        <w:t>. Published online November 2021. doi:</w:t>
      </w:r>
      <w:hyperlink r:id="rId20">
        <w:r>
          <w:rPr>
            <w:rStyle w:val="InternetLink"/>
          </w:rPr>
          <w:t>10.1093/CID/CIAB978</w:t>
        </w:r>
      </w:hyperlink>
    </w:p>
    <w:sectPr>
      <w:footerReference w:type="default" r:id="rId21"/>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28</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ExDA" TargetMode="External"/><Relationship Id="rId3" Type="http://schemas.openxmlformats.org/officeDocument/2006/relationships/hyperlink" Target="https://github.com/PiotrTymoszuk/clustTools" TargetMode="External"/><Relationship Id="rId4" Type="http://schemas.openxmlformats.org/officeDocument/2006/relationships/hyperlink" Target="https://github.com/PiotrTymoszuk/somKernels" TargetMode="External"/><Relationship Id="rId5" Type="http://schemas.openxmlformats.org/officeDocument/2006/relationships/hyperlink" Target="https://github.com/PiotrTymoszuk/PAH-biomark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doi.org/10.21105/joss.01686" TargetMode="External"/><Relationship Id="rId10" Type="http://schemas.openxmlformats.org/officeDocument/2006/relationships/hyperlink" Target="https://ggplot2.tidyverse.org/" TargetMode="External"/><Relationship Id="rId11" Type="http://schemas.openxmlformats.org/officeDocument/2006/relationships/hyperlink" Target="https://doi.org/10.2307/2335991" TargetMode="External"/><Relationship Id="rId12" Type="http://schemas.openxmlformats.org/officeDocument/2006/relationships/hyperlink" Target="https://cran.r-project.org/package=survminer" TargetMode="External"/><Relationship Id="rId13" Type="http://schemas.openxmlformats.org/officeDocument/2006/relationships/hyperlink" Target="https://doi.org/10.1111/j.2517-6161.1995.tb02031.x" TargetMode="External"/><Relationship Id="rId14" Type="http://schemas.openxmlformats.org/officeDocument/2006/relationships/hyperlink" Target="https://doi.org/10.18637/jss.v033.i01" TargetMode="External"/><Relationship Id="rId15" Type="http://schemas.openxmlformats.org/officeDocument/2006/relationships/hyperlink" Target="https://doi.org/10.1007/978-3-030-32047-8_16" TargetMode="External"/><Relationship Id="rId16" Type="http://schemas.openxmlformats.org/officeDocument/2006/relationships/hyperlink" Target="https://doi.org/10.21105/joss.00765" TargetMode="External"/><Relationship Id="rId17" Type="http://schemas.openxmlformats.org/officeDocument/2006/relationships/hyperlink" Target="https://doi.org/10.1162/089976604773717621" TargetMode="External"/><Relationship Id="rId18" Type="http://schemas.openxmlformats.org/officeDocument/2006/relationships/hyperlink" Target="https://doi.org/10.7554/ELIFE.72500" TargetMode="External"/><Relationship Id="rId19" Type="http://schemas.openxmlformats.org/officeDocument/2006/relationships/hyperlink" Target="https://doi.org/10.3923/JSE.2014.14.22" TargetMode="External"/><Relationship Id="rId20" Type="http://schemas.openxmlformats.org/officeDocument/2006/relationships/hyperlink" Target="https://doi.org/10.1093/CID/CIAB978"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LibreOffice/7.0.5.2$Windows_X86_64 LibreOffice_project/64390860c6cd0aca4beafafcfd84613dd9dfb63a</Application>
  <AppVersion>15.0000</AppVersion>
  <Pages>28</Pages>
  <Words>4871</Words>
  <Characters>22399</Characters>
  <CharactersWithSpaces>26309</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2023-03-08T20:02:42Z</dcterms:created>
  <dc:creator>Innsbruck PAH registry</dc:creator>
  <dc:description/>
  <dc:language>en-US</dc:language>
  <cp:lastModifiedBy/>
  <dcterms:modified xsi:type="dcterms:W3CDTF">2023-03-08T21:05:06Z</dcterms:modified>
  <cp:revision>1</cp:revision>
  <dc:subject/>
  <dc:title>Risk stratification and phenotyping in pulmonary arterial hypertension with machine learning algorithms and cluster analysis – a long-term retrospective multicenter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JGIM.csl</vt:lpwstr>
  </property>
  <property fmtid="{D5CDD505-2E9C-101B-9397-08002B2CF9AE}" pid="4" name="date">
    <vt:lpwstr>2023-03-08</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