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 relevance of collagen biosynthesis pathway in prostate cancer</w:t>
      </w:r>
    </w:p>
    <w:p>
      <w:pPr>
        <w:pStyle w:val="Subtitle"/>
        <w:rPr/>
      </w:pPr>
      <w:r>
        <w:rPr/>
        <w:t>Methods, figures and tables for the transcriptome part</w:t>
      </w:r>
    </w:p>
    <w:p>
      <w:pPr>
        <w:pStyle w:val="Date"/>
        <w:rPr/>
      </w:pPr>
      <w:r>
        <w:rPr/>
        <w:t>2023-08-07</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p>
    <w:p>
      <w:pPr>
        <w:pStyle w:val="Heading3"/>
        <w:rPr/>
      </w:pPr>
      <w:r>
        <w:rPr/>
        <w:t>Datasets</w:t>
      </w:r>
    </w:p>
    <w:p>
      <w:pPr>
        <w:pStyle w:val="FirstParagraph"/>
        <w:rPr/>
      </w:pPr>
      <w:r>
        <w:rPr/>
        <w:t xml:space="preserve">Five publicly available transcriptome datasets of primary prostate cancer samples, the TCGA prostate cancer cohort (1) (n = 495), GSE16560 (n = 281) (2), GSE70768 (n = 125) (3), GSE70769 (n = 94) (3), and GSE116918 (n = 248) (4), were re-analyzed. Normalized gene expression data were fetched from the GDC data portal for the TCGA or from the Gene Expression Omnibus for the remaining cohorts. Donor-matched benign and malignant tissue samples were available for the TCGA (n = 52 specimen pairs) and GSE70768 cohort (n = 74).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MCP-counter</w:t>
      </w:r>
      <w:r>
        <w:rPr/>
        <w:t xml:space="preserve"> and </w:t>
      </w:r>
      <w:r>
        <w:rPr>
          <w:i/>
          <w:iCs/>
        </w:rPr>
        <w:t>xCell</w:t>
      </w:r>
      <w:r>
        <w:rPr/>
        <w:t xml:space="preserve"> algorithms (5,6). single sample gene set enrichment scores (ssGSEA) for the Reactome pathway gene signatures retrieved from the MSig database version 7.5.1 were computed with the </w:t>
      </w:r>
      <w:r>
        <w:rPr>
          <w:i/>
          <w:iCs/>
        </w:rPr>
        <w:t>GSVA</w:t>
      </w:r>
      <w:r>
        <w:rPr/>
        <w:t xml:space="preserve"> algorithm (7).</w:t>
      </w:r>
    </w:p>
    <w:p>
      <w:pPr>
        <w:pStyle w:val="TextBody"/>
        <w:rPr/>
      </w:pPr>
      <w:r>
        <w:rPr/>
        <w:t>The collagen pathway genes were retrieved from the published Collagen Signature (8) and the Reactome collagen formation pathway (R-HSA-1474290) and restricted to the gene set present in all investigated datasets (</w:t>
      </w:r>
      <w:r>
        <w:rPr>
          <w:b/>
          <w:bCs/>
        </w:rPr>
        <w:t>Supplementary Table S2</w:t>
      </w:r>
      <w:r>
        <w:rPr/>
        <w:t>).</w:t>
      </w:r>
      <w:bookmarkStart w:id="1" w:name="datasets"/>
      <w:bookmarkEnd w:id="1"/>
    </w:p>
    <w:p>
      <w:pPr>
        <w:pStyle w:val="Heading3"/>
        <w:rPr/>
      </w:pPr>
      <w:r>
        <w:rPr/>
        <w:t>Differential expression in benign and malignant prostate tissue</w:t>
      </w:r>
    </w:p>
    <w:p>
      <w:pPr>
        <w:pStyle w:val="FirstParagraph"/>
        <w:rPr/>
      </w:pPr>
      <w:r>
        <w:rPr/>
        <w:t>Expression of the collagen pathway gene between patient-matched benign and malignant specimens was compared by the false discovery rate method (FDR) (9) corrected paired two-tailed T test with Cohen’s d effect size statistic (10).</w:t>
      </w:r>
      <w:bookmarkStart w:id="2" w:name="X874dd44cc36ccb9da2ad294ab22c2ced7090719"/>
      <w:bookmarkEnd w:id="2"/>
    </w:p>
    <w:p>
      <w:pPr>
        <w:pStyle w:val="Heading3"/>
        <w:rPr/>
      </w:pPr>
      <w:r>
        <w:rPr/>
        <w:t>Collagen clusters</w:t>
      </w:r>
    </w:p>
    <w:p>
      <w:pPr>
        <w:pStyle w:val="FirstParagraph"/>
        <w:rPr/>
      </w:pPr>
      <w:r>
        <w:rPr/>
        <w:t xml:space="preserve">Cancer samples in the training TCGA cohort were clustered in respect to COMBAT-batch adjusted,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gene expression levels of the collagen pathway genes with the PAM algorithm with cosine distance between the samples (11,12). The algorithm choice was motivated by its high explained clustering variance and stability in 10-fold cross-validation as compared with several other procedures (13,14). Two sample clusters were defined (15): collagen</w:t>
      </w:r>
      <w:r>
        <w:rPr>
          <w:vertAlign w:val="superscript"/>
        </w:rPr>
        <w:t>high</w:t>
      </w:r>
      <w:r>
        <w:rPr/>
        <w:t xml:space="preserve"> and collagen</w:t>
      </w:r>
      <w:r>
        <w:rPr>
          <w:vertAlign w:val="superscript"/>
        </w:rPr>
        <w:t>low</w:t>
      </w:r>
      <w:r>
        <w:rPr/>
        <w:t xml:space="preserve"> named after differences in expression of collagen subunit genes. Cancers samples in the GSE16560, GSE70768, GSE70769 and GSE116918 collectives were assigned to the collagen clusters by an inverse distance weighted k-nearest neighbor classifier (14).</w:t>
      </w:r>
    </w:p>
    <w:p>
      <w:pPr>
        <w:pStyle w:val="TextBody"/>
        <w:rPr/>
      </w:pPr>
      <w:r>
        <w:rPr/>
        <w:t xml:space="preserve">Expression of the collagen pathway genes in the collagen clusters was compared by FDR-adjusted two-tailed T test with Cohen’s d effect size statistic. Differences in clinical variables between the collagen clusters were assessed by FDR-corrected Mann-Whitney test with r effect size statistic or FDR-corrected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w:t>
      </w:r>
      <w:bookmarkStart w:id="3" w:name="collagen-clusters"/>
      <w:bookmarkEnd w:id="3"/>
    </w:p>
    <w:p>
      <w:pPr>
        <w:pStyle w:val="Heading3"/>
        <w:rPr/>
      </w:pPr>
      <w:r>
        <w:rPr/>
        <w:t>Gene set variation analysis and differential gene expression in the collagen clusters</w:t>
      </w:r>
    </w:p>
    <w:p>
      <w:pPr>
        <w:pStyle w:val="FirstParagraph"/>
        <w:rPr/>
      </w:pPr>
      <w:r>
        <w:rPr/>
        <w:t xml:space="preserve">ssGSEA scores of the Reactome signatures and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gene expression levels were compared between the collagen clusters by FDR-corrected two-tailed T tests with Cohen’s d effect size statistic. Signatures and genes significantly regulated between the clusters were defined by the significance cutoff (pFDR &lt; 0.05) and at least weak effect size of the differences between the clusters (d </w:t>
      </w:r>
      <w:r>
        <w:rPr/>
      </w:r>
      <m:oMath xmlns:m="http://schemas.openxmlformats.org/officeDocument/2006/math">
        <m:r>
          <w:rPr>
            <w:rFonts w:ascii="Cambria Math" w:hAnsi="Cambria Math"/>
          </w:rPr>
          <m:t xml:space="preserve">≥</m:t>
        </m:r>
      </m:oMath>
      <w:r>
        <w:rPr/>
        <w:t xml:space="preserve"> 0.2).</w:t>
      </w:r>
      <w:bookmarkStart w:id="4" w:name="X0963ec111f27840f563083d3216045aee365a49"/>
      <w:bookmarkEnd w:id="4"/>
    </w:p>
    <w:p>
      <w:pPr>
        <w:pStyle w:val="Heading3"/>
        <w:rPr/>
      </w:pPr>
      <w:r>
        <w:rPr/>
        <w:t>Activity of signaling pathways and metabolic reactions</w:t>
      </w:r>
    </w:p>
    <w:p>
      <w:pPr>
        <w:pStyle w:val="FirstParagraph"/>
        <w:rPr/>
      </w:pPr>
      <w:r>
        <w:rPr/>
        <w:t xml:space="preserve">Modulation of activity of signaling pathways between the collagen clusters was investigated by the </w:t>
      </w:r>
      <w:r>
        <w:rPr>
          <w:i/>
          <w:iCs/>
        </w:rPr>
        <w:t>SPIA</w:t>
      </w:r>
      <w:r>
        <w:rPr/>
        <w:t xml:space="preserve"> algorithm. Differentially activated or inhibited pathways were identified by the FDR-corrected combined p value for enrichment and pathway perturbation (pGFDR). The magnitude of signaling pathway modulation was measured with the tA parameter (16).</w:t>
      </w:r>
    </w:p>
    <w:p>
      <w:pPr>
        <w:pStyle w:val="TextBody"/>
        <w:rPr/>
      </w:pPr>
      <w:r>
        <w:rPr/>
        <w:t xml:space="preserve">Modulation of metabolic reactions of the Recon2 human metabolism model based on whole-genome differential gene expression was evaluated with the </w:t>
      </w:r>
      <w:r>
        <w:rPr>
          <w:i/>
          <w:iCs/>
        </w:rPr>
        <w:t>BiGGR</w:t>
      </w:r>
      <w:r>
        <w:rPr/>
        <w:t xml:space="preserve"> and </w:t>
      </w:r>
      <w:hyperlink r:id="rId2">
        <w:r>
          <w:rPr>
            <w:rStyle w:val="InternetLink"/>
            <w:i/>
            <w:iCs/>
          </w:rPr>
          <w:t>biggrExtra</w:t>
        </w:r>
      </w:hyperlink>
      <w:r>
        <w:rPr/>
        <w:t xml:space="preserve"> R packages as described (17–19). Statistical significance of reaction activity estimates in the collagen</w:t>
      </w:r>
      <w:r>
        <w:rPr>
          <w:vertAlign w:val="superscript"/>
        </w:rPr>
        <w:t>high</w:t>
      </w:r>
      <w:r>
        <w:rPr/>
        <w:t xml:space="preserve"> cluster as compared with the collagen</w:t>
      </w:r>
      <w:r>
        <w:rPr>
          <w:vertAlign w:val="superscript"/>
        </w:rPr>
        <w:t>low</w:t>
      </w:r>
      <w:r>
        <w:rPr/>
        <w:t xml:space="preserve"> subset was assessed by a Monte Carlo simulation with n = 1000 draws from normal distribution of gene expression. P values were corrected for multiple testing with the FDR method.</w:t>
      </w:r>
    </w:p>
    <w:p>
      <w:pPr>
        <w:pStyle w:val="TextBody"/>
        <w:rPr/>
      </w:pPr>
      <w:r>
        <w:rPr/>
        <w:t xml:space="preserve">Enrichment of significantly activated or inhibited biochemical reactions within the Recon model metabolic subsystems (19) was investigated by FDR-corrected Fisher’s exact test with odds ratio (OR) effect size statistic. Significantly activated and inhibited metabolic subsystems were defined by the significance cutoff (pFDR &lt; 0.05) and at least weak effect size of the enrichment (OR </w:t>
      </w:r>
      <w:r>
        <w:rPr/>
      </w:r>
      <m:oMath xmlns:m="http://schemas.openxmlformats.org/officeDocument/2006/math">
        <m:r>
          <w:rPr>
            <w:rFonts w:ascii="Cambria Math" w:hAnsi="Cambria Math"/>
          </w:rPr>
          <m:t xml:space="preserve">≥</m:t>
        </m:r>
      </m:oMath>
      <w:r>
        <w:rPr/>
        <w:t xml:space="preserve"> 1.44).</w:t>
      </w:r>
      <w:bookmarkStart w:id="5" w:name="X685a2703d203ec3b3acb0b611b7740e58cb40fd"/>
      <w:bookmarkEnd w:id="5"/>
    </w:p>
    <w:p>
      <w:pPr>
        <w:pStyle w:val="Heading3"/>
        <w:rPr/>
      </w:pPr>
      <w:r>
        <w:rPr/>
        <w:t>Data and code availability</w:t>
      </w:r>
    </w:p>
    <w:p>
      <w:pPr>
        <w:pStyle w:val="FirstParagraph"/>
        <w:rPr/>
      </w:pPr>
      <w:r>
        <w:rPr/>
        <w:t>Publicly available data sets were analyzed. Cleared data sets used for analyses will be made available upon request to the corresponding author. The transcriptome R analysis pipeline is available from GitHub (</w:t>
      </w:r>
      <w:hyperlink r:id="rId3">
        <w:r>
          <w:rPr>
            <w:rStyle w:val="InternetLink"/>
          </w:rPr>
          <w:t>https://github.com/PiotrTymoszuk/collagen_pca</w:t>
        </w:r>
      </w:hyperlink>
      <w:r>
        <w:rPr/>
        <w:t>).</w:t>
      </w:r>
    </w:p>
    <w:p>
      <w:pPr>
        <w:pStyle w:val="Normal"/>
        <w:rPr/>
      </w:pPr>
      <w:r>
        <w:rPr/>
      </w:r>
      <w:bookmarkStart w:id="6" w:name="methods"/>
      <w:bookmarkStart w:id="7" w:name="transcriptome-analyses"/>
      <w:bookmarkStart w:id="8" w:name="data-and-code-availability"/>
      <w:bookmarkStart w:id="9" w:name="methods"/>
      <w:bookmarkStart w:id="10" w:name="transcriptome-analyses"/>
      <w:bookmarkStart w:id="11" w:name="data-and-code-availability"/>
      <w:bookmarkEnd w:id="9"/>
      <w:bookmarkEnd w:id="10"/>
      <w:bookmarkEnd w:id="11"/>
      <w:r>
        <w:br w:type="page"/>
      </w:r>
    </w:p>
    <w:p>
      <w:pPr>
        <w:pStyle w:val="Heading1"/>
        <w:rPr/>
      </w:pPr>
      <w:r>
        <w:rPr/>
        <w:t>Tables</w:t>
      </w:r>
    </w:p>
    <w:p>
      <w:pPr>
        <w:pStyle w:val="TableCaption"/>
        <w:rPr/>
      </w:pPr>
      <w:r>
        <w:rPr/>
        <w:t>Table 1: Characteristic of the analyzed cohorts. Numeric variables are presented as medians with interquartile ranges (IQR) and ranges. Qualitative variables are presented as percentages of categories within the complete observation set.</w:t>
      </w:r>
    </w:p>
    <w:tbl>
      <w:tblPr>
        <w:tblW w:w="11621"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984"/>
        <w:gridCol w:w="1983"/>
        <w:gridCol w:w="1984"/>
        <w:gridCol w:w="1985"/>
        <w:gridCol w:w="1983"/>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GSE16560</w:t>
            </w:r>
          </w:p>
        </w:tc>
        <w:tc>
          <w:tcPr>
            <w:tcW w:w="198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GSE70768</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GSE70769</w:t>
            </w:r>
          </w:p>
        </w:tc>
        <w:tc>
          <w:tcPr>
            <w:tcW w:w="198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GSE116918</w:t>
            </w:r>
          </w:p>
        </w:tc>
        <w:tc>
          <w:tcPr>
            <w:tcW w:w="198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TCGA</w:t>
            </w:r>
          </w:p>
        </w:tc>
      </w:tr>
      <w:tr>
        <w:trPr>
          <w:trHeight w:val="360" w:hRule="atLeast"/>
        </w:trPr>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diagnosis, years</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74 [IQR: 69 - 79]</w:t>
              <w:br/>
              <w:t>range: 51 - 91</w:t>
              <w:br/>
              <w:t>n = 281</w:t>
            </w:r>
          </w:p>
        </w:tc>
        <w:tc>
          <w:tcPr>
            <w:tcW w:w="198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57 - 67]</w:t>
              <w:br/>
              <w:t>range: 41 - 93</w:t>
              <w:br/>
              <w:t>n = 124</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 [IQR: 63 - 72]</w:t>
              <w:br/>
              <w:t>range: 48 - 79</w:t>
              <w:br/>
              <w:t>n = 248</w:t>
            </w:r>
          </w:p>
        </w:tc>
        <w:tc>
          <w:tcPr>
            <w:tcW w:w="198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61 [IQR: 56 - 66]</w:t>
              <w:br/>
              <w:t>range: 41 - 78</w:t>
              <w:br/>
              <w:t>n = 495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PSA at diagnosis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 [IQR: 6 - 12]</w:t>
              <w:br/>
              <w:t>range: 3.2 - 280</w:t>
              <w:br/>
              <w:t>n = 123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 [IQR: 5.9 - 11]</w:t>
              <w:br/>
              <w:t>range: 1.5 - 120</w:t>
              <w:br/>
              <w:t>n = 90</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[IQR: 11 - 27]</w:t>
              <w:br/>
              <w:t>range: 3.2 - 220</w:t>
              <w:br/>
              <w:t>n = 248</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 [IQR: 0.03 - 0.11]</w:t>
              <w:br/>
              <w:t>range: 0 - 320</w:t>
              <w:br/>
              <w:t>n = 438</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 stage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55% (n = 61)</w:t>
              <w:br/>
              <w:t>T2: 30% (n = 33)</w:t>
              <w:br/>
              <w:t>T3: 15% (n = 16)</w:t>
              <w:br/>
              <w:t>T4: 0% (n = 0)</w:t>
              <w:br/>
              <w:t>n = 110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46% (n = 41)</w:t>
              <w:br/>
              <w:t>T2: 44% (n = 39)</w:t>
              <w:br/>
              <w:t>T3: 10% (n = 9)</w:t>
              <w:br/>
              <w:t>T4: 0% (n = 0)</w:t>
              <w:br/>
              <w:t>n = 89</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Pathological tumor stage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 (n = 0)</w:t>
              <w:br/>
              <w:t>T2: 31% (n = 34)</w:t>
              <w:br/>
              <w:t>T3: 68% (n = 76)</w:t>
              <w:br/>
              <w:t>T4: 0.9% (n = 1)</w:t>
              <w:br/>
              <w:t>n = 111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 (n = 0)</w:t>
              <w:br/>
              <w:t>T2: 53% (n = 48)</w:t>
              <w:br/>
              <w:t>T3: 47% (n = 42)</w:t>
              <w:br/>
              <w:t>T4: 0% (n = 0)</w:t>
              <w:br/>
              <w:t>n = 90</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23% (n = 51)</w:t>
              <w:br/>
              <w:t>T2: 34% (n = 76)</w:t>
              <w:br/>
              <w:t>T3: 41% (n = 92)</w:t>
              <w:br/>
              <w:t>T4: 1.8% (n = 4)</w:t>
              <w:br/>
              <w:t>n = 223</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T2: 38% (n = 176)</w:t>
              <w:br/>
              <w:t>T3: 62% (n = 283)</w:t>
              <w:br/>
              <w:t>n = 459</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Pathological node stage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91% (n = 82)</w:t>
              <w:br/>
              <w:t>N1: 8.9% (n = 8)</w:t>
              <w:br/>
              <w:t>n = 90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100% (n = 18)</w:t>
              <w:br/>
              <w:t>N1: 0% (n = 0)</w:t>
              <w:br/>
              <w:t>n = 18</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82% (n = 344)</w:t>
              <w:br/>
              <w:t>N1: 18% (n = 78)</w:t>
              <w:br/>
              <w:t>n = 422</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Pathological metastasis stage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86% (n = 6)</w:t>
              <w:br/>
              <w:t>M1: 14% (n = 1)</w:t>
              <w:br/>
              <w:t>n = 7</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87% (n = 26)</w:t>
              <w:br/>
              <w:t>M1: 13% (n = 4)</w:t>
              <w:br/>
              <w:t>n = 30</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99% (n = 453)</w:t>
              <w:br/>
              <w:t>M1: 0.66% (n = 3)</w:t>
              <w:br/>
              <w:t>n = 456</w:t>
            </w:r>
          </w:p>
        </w:tc>
      </w:tr>
      <w:tr>
        <w:trPr>
          <w:trHeight w:val="360" w:hRule="atLeast"/>
        </w:trPr>
        <w:tc>
          <w:tcPr>
            <w:tcW w:w="1701"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Gleason score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 [IQR: 6 - 8]</w:t>
              <w:br/>
              <w:t>range: 6 - 10</w:t>
              <w:br/>
              <w:t>n = 281</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 [IQR: 7 - 7]</w:t>
              <w:br/>
              <w:t>range: 6 - 10</w:t>
              <w:br/>
              <w:t>n = 122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 [IQR: 7 - 7]</w:t>
              <w:br/>
              <w:t>range: 5 - 10</w:t>
              <w:br/>
              <w:t>n = 91</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 [IQR: 7 - 8]</w:t>
              <w:br/>
              <w:t>range: 6 - 10</w:t>
              <w:br/>
              <w:t>n = 248</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 [IQR: 7 - 9]</w:t>
              <w:br/>
              <w:t>range: 6 - 10</w:t>
              <w:br/>
              <w:t>n = 495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30% (n = 83)</w:t>
              <w:br/>
              <w:t>7: 42% (n = 117)</w:t>
              <w:br/>
              <w:t>8: 9.6% (n = 27)</w:t>
              <w:br/>
              <w:t>9: 17% (n = 49)</w:t>
              <w:br/>
              <w:t>10: 1.8% (n = 5)</w:t>
              <w:br/>
              <w:t>n = 281</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14% (n = 17)</w:t>
              <w:br/>
              <w:t>7: 71% (n = 87)</w:t>
              <w:br/>
              <w:t>8: 7.4% (n = 9)</w:t>
              <w:br/>
              <w:t>9: 5.7% (n = 7)</w:t>
              <w:br/>
              <w:t>10: 1.6% (n = 2)</w:t>
              <w:br/>
              <w:t>n = 122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2.2% (n = 2)</w:t>
              <w:br/>
              <w:t>6: 20% (n = 18)</w:t>
              <w:br/>
              <w:t>7: 62% (n = 56)</w:t>
              <w:br/>
              <w:t>8: 5.5% (n = 5)</w:t>
              <w:br/>
              <w:t>9: 9.9% (n = 9)</w:t>
              <w:br/>
              <w:t>10: 1.1% (n = 1)</w:t>
              <w:br/>
              <w:t>n = 91</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17% (n = 42)</w:t>
              <w:br/>
              <w:t>7: 40% (n = 99)</w:t>
              <w:br/>
              <w:t>8: 21% (n = 52)</w:t>
              <w:br/>
              <w:t>9: 22% (n = 54)</w:t>
              <w:br/>
              <w:t>10: 0.4% (n = 1)</w:t>
              <w:br/>
              <w:t>n = 248</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9.1% (n = 45)</w:t>
              <w:br/>
              <w:t>7: 50% (n = 246)</w:t>
              <w:br/>
              <w:t>8: 13% (n = 63)</w:t>
              <w:br/>
              <w:t>9: 28% (n = 137)</w:t>
              <w:br/>
              <w:t>10: 0.81% (n = 4)</w:t>
              <w:br/>
              <w:t>n = 495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Positive surgical margins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 (n = 26)</w:t>
              <w:br/>
              <w:t>n = 119</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(n = 42)</w:t>
              <w:br/>
              <w:t>n = 93</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Extracapsular extension</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(n = 77)</w:t>
              <w:br/>
              <w:t>n = 112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(n = 42)</w:t>
              <w:br/>
              <w:t>n = 91</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Death</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206)</w:t>
              <w:br/>
              <w:t>n = 281</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(n = 8)</w:t>
              <w:br/>
              <w:t>n = 495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Overall survival, months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100 [IQR: 52 - 150]</w:t>
              <w:br/>
              <w:t>range: 6 - 270</w:t>
              <w:br/>
              <w:t>n = 281</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[IQR: 5.6 - 33]</w:t>
              <w:br/>
              <w:t>range: 0.033 - 150</w:t>
              <w:br/>
              <w:t>n = 495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Biochemical relapse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(n = 19)</w:t>
              <w:br/>
              <w:t>n = 112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(n = 45)</w:t>
              <w:br/>
              <w:t>n = 93</w:t>
            </w:r>
          </w:p>
        </w:tc>
        <w:tc>
          <w:tcPr>
            <w:tcW w:w="198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56)</w:t>
              <w:br/>
              <w:t>n = 248</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58)</w:t>
              <w:br/>
              <w:t>n = 427</w:t>
            </w:r>
          </w:p>
        </w:tc>
      </w:tr>
      <w:tr>
        <w:trPr>
          <w:trHeight w:val="360" w:hRule="atLeast"/>
        </w:trPr>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Biochemical relapse-free survival, months</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 [IQR: 17 - 49]</w:t>
              <w:br/>
              <w:t>range: 1 - 65</w:t>
              <w:br/>
              <w:t>n = 111</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 [IQR: 19 - 80]</w:t>
              <w:br/>
              <w:t>range: 0.36 - 100</w:t>
              <w:br/>
              <w:t>n = 92</w:t>
            </w:r>
          </w:p>
        </w:tc>
        <w:tc>
          <w:tcPr>
            <w:tcW w:w="198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 [IQR: 67 - 95]</w:t>
              <w:br/>
              <w:t>range: 10 - 120</w:t>
              <w:br/>
              <w:t>n = 248</w:t>
            </w:r>
          </w:p>
        </w:tc>
        <w:tc>
          <w:tcPr>
            <w:tcW w:w="198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[IQR: 7.1 - 33]</w:t>
              <w:br/>
              <w:t>range: 0.92 - 150</w:t>
              <w:br/>
              <w:t>n = 418</w:t>
            </w:r>
          </w:p>
        </w:tc>
      </w:tr>
      <w:tr>
        <w:trPr>
          <w:trHeight w:val="360" w:hRule="atLeast"/>
        </w:trPr>
        <w:tc>
          <w:tcPr>
            <w:tcW w:w="11620"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PSA: prostate-specific antigen.</w:t>
            </w:r>
          </w:p>
        </w:tc>
      </w:tr>
    </w:tbl>
    <w:p>
      <w:pPr>
        <w:pStyle w:val="Normal"/>
        <w:rPr/>
      </w:pPr>
      <w:r>
        <w:rPr/>
      </w:r>
      <w:bookmarkStart w:id="12" w:name="tables"/>
      <w:bookmarkStart w:id="13" w:name="tables"/>
      <w:bookmarkEnd w:id="13"/>
      <w:r>
        <w:br w:type="page"/>
      </w:r>
    </w:p>
    <w:p>
      <w:pPr>
        <w:pStyle w:val="Heading1"/>
        <w:rPr/>
      </w:pPr>
      <w:r>
        <w:rPr/>
        <w:t>Figures</w:t>
      </w:r>
    </w:p>
    <w:p>
      <w:pPr>
        <w:pStyle w:val="CaptionedFigure"/>
        <w:rPr/>
      </w:pPr>
      <w:r>
        <w:rPr/>
        <w:drawing>
          <wp:inline distT="0" distB="0" distL="114935" distR="114935">
            <wp:extent cx="5943600" cy="5283835"/>
            <wp:effectExtent l="0" t="0" r="0" b="0"/>
            <wp:docPr id="1" name="Picture" descr="Figure 1: Differences in tissue diffusion capacity and expression of the collagen pathway genes between the prostate cancer and benign 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the collagen pathway genes between the prostate cancer and benign tissue."/>
                    <pic:cNvPicPr>
                      <a:picLocks noChangeAspect="1" noChangeArrowheads="1"/>
                    </pic:cNvPicPr>
                  </pic:nvPicPr>
                  <pic:blipFill>
                    <a:blip r:embed="rId4"/>
                    <a:stretch>
                      <a:fillRect/>
                    </a:stretch>
                  </pic:blipFill>
                  <pic:spPr bwMode="auto">
                    <a:xfrm>
                      <a:off x="0" y="0"/>
                      <a:ext cx="5943600" cy="5283835"/>
                    </a:xfrm>
                    <a:prstGeom prst="rect">
                      <a:avLst/>
                    </a:prstGeom>
                  </pic:spPr>
                </pic:pic>
              </a:graphicData>
            </a:graphic>
          </wp:inline>
        </w:drawing>
      </w:r>
    </w:p>
    <w:p>
      <w:pPr>
        <w:pStyle w:val="TextBody"/>
        <w:rPr/>
      </w:pPr>
      <w:r>
        <w:rPr>
          <w:b/>
          <w:bCs/>
        </w:rPr>
        <w:t>Figure 1. Differences in tissue diffusion capacity and expression of the collagen pathway genes between the prostate cancer and benign tissue.</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measurement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genes related to collagen metabolism between donor-matched tumor and benign prostate tissue were investigated by paired T test with Cohen’s d effect size statistic in the GSE70768 and TCGA cohort. P values were corrected for multiple testing with the false discovery method. Normalized mean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in benign and cancer tissue for 28 genes significantly regulated in both cohorts are presented in a heat map. Numbers of tissue pairs are displayed in the plot caption.</w:t>
      </w:r>
    </w:p>
    <w:p>
      <w:pPr>
        <w:pStyle w:val="Normal"/>
        <w:rPr/>
      </w:pPr>
      <w:r>
        <w:rPr/>
      </w:r>
      <w:r>
        <w:br w:type="page"/>
      </w:r>
    </w:p>
    <w:p>
      <w:pPr>
        <w:pStyle w:val="CaptionedFigure"/>
        <w:rPr/>
      </w:pPr>
      <w:r>
        <w:rPr/>
        <w:drawing>
          <wp:inline distT="0" distB="0" distL="114935" distR="114935">
            <wp:extent cx="5943600" cy="7596505"/>
            <wp:effectExtent l="0" t="0" r="0" b="0"/>
            <wp:docPr id="2" name="Image1" descr="Figure 2: Collagen clusters of prostate carcinoma and their clinical character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llagen clusters of prostate carcinoma and their clinical characteristic."/>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Collagen clusters of prostate carcinoma and their clinical characteristic.</w:t>
      </w:r>
    </w:p>
    <w:p>
      <w:pPr>
        <w:pStyle w:val="TextBody"/>
        <w:rPr/>
      </w:pPr>
      <w:r>
        <w:rPr>
          <w:i/>
          <w:iCs/>
        </w:rPr>
        <w:t xml:space="preserve">Prostate cancers in the training TCGA cohort were clustered in respect to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the collagen pathway genes of interest by the PAM algorithm with cosine distance between the observations. Two clusters, collagen</w:t>
      </w:r>
      <w:r>
        <w:rPr>
          <w:i/>
          <w:iCs/>
          <w:vertAlign w:val="superscript"/>
        </w:rPr>
        <w:t>low</w:t>
      </w:r>
      <w:r>
        <w:rPr>
          <w:i/>
          <w:iCs/>
        </w:rPr>
        <w:t xml:space="preserve"> (low) and collagen</w:t>
      </w:r>
      <w:r>
        <w:rPr>
          <w:i/>
          <w:iCs/>
          <w:vertAlign w:val="superscript"/>
        </w:rPr>
        <w:t>high</w:t>
      </w:r>
      <w:r>
        <w:rPr>
          <w:i/>
          <w:iCs/>
        </w:rPr>
        <w:t xml:space="preserve"> (hi) were defined. Cancer samples from the test cohorts (GSE16560, GSE70768, GSE70769, GSE116918) were assigned to the collagen clusters with an inverse distance weighted k-nearest neighbor classifier.</w:t>
      </w:r>
    </w:p>
    <w:p>
      <w:pPr>
        <w:pStyle w:val="TextBody"/>
        <w:rPr/>
      </w:pPr>
      <w:r>
        <w:rPr>
          <w:i/>
          <w:iCs/>
        </w:rPr>
        <w:t xml:space="preserve">(A) UMAP (uniform manifold approximation and projection) of the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dataset of the collagen gene expression in the training TCGA cohort. Single cancer samples are visualized as points, the collagen cluster assignment is color coded. Numbers of samples in the clusters are indicated in the plot legend.</w:t>
      </w:r>
    </w:p>
    <w:p>
      <w:pPr>
        <w:pStyle w:val="TextBody"/>
        <w:rPr/>
      </w:pPr>
      <w:r>
        <w:rPr>
          <w:i/>
          <w:iCs/>
        </w:rPr>
        <w:t xml:space="preserve">(B)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the collagen pathway genes in the collagen clusters and cohorts presented in a heat map. ECM: extracellular matrix, Pro: proline turnover, Adh. adhesion.</w:t>
      </w:r>
    </w:p>
    <w:p>
      <w:pPr>
        <w:pStyle w:val="TextBody"/>
        <w:rPr/>
      </w:pPr>
      <w:r>
        <w:rPr>
          <w:i/>
          <w:iCs/>
        </w:rPr>
        <w:t xml:space="preserve">(C, D) Distribution of Gleason scores (GS, C) and pathological tumor stages (pT, D) in the collagen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Gleason score and tumor stage distributions are shown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7596505"/>
            <wp:effectExtent l="0" t="0" r="0" b="0"/>
            <wp:docPr id="3" name="Image2" descr="Figure 3: Infiltration, biological processes, signaling and metabolic pathways differentially regulated in the collage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nfiltration, biological processes, signaling and metabolic pathways differentially regulated in the collagen clusters."/>
                    <pic:cNvPicPr>
                      <a:picLocks noChangeAspect="1" noChangeArrowheads="1"/>
                    </pic:cNvPicPr>
                  </pic:nvPicPr>
                  <pic:blipFill>
                    <a:blip r:embed="rId6"/>
                    <a:stretch>
                      <a:fillRect/>
                    </a:stretch>
                  </pic:blipFill>
                  <pic:spPr bwMode="auto">
                    <a:xfrm>
                      <a:off x="0" y="0"/>
                      <a:ext cx="5943600" cy="7596505"/>
                    </a:xfrm>
                    <a:prstGeom prst="rect">
                      <a:avLst/>
                    </a:prstGeom>
                  </pic:spPr>
                </pic:pic>
              </a:graphicData>
            </a:graphic>
          </wp:inline>
        </w:drawing>
      </w:r>
    </w:p>
    <w:p>
      <w:pPr>
        <w:pStyle w:val="TextBody"/>
        <w:rPr/>
      </w:pPr>
      <w:r>
        <w:rPr>
          <w:b/>
          <w:bCs/>
        </w:rPr>
        <w:t>Figure 3. Infiltration, biological processes, signaling and metabolic pathways differentially regulated in the collagen clusters.</w:t>
      </w:r>
    </w:p>
    <w:p>
      <w:pPr>
        <w:pStyle w:val="TextBody"/>
        <w:rPr/>
      </w:pPr>
      <w:r>
        <w:rPr>
          <w:i/>
          <w:iCs/>
        </w:rPr>
        <w:t>(A) Counts of cancer-associated fibroblasts (CAF) and endothelial cells (EC) estimated by the MCP counter algorithm were found to differ significantly between the collagen clusters in all investigated collectives. Statistical significance was assessed by Mann-Whitney test with r effect size statistic. P values were corrected for multiple comparison with the false discovery rate method. Counts of fibroblasts and endothelial cells in the collagen clusters in the TCGA cohort are shown in violin plots. Red diamonds with whiskers represented medians with interquartile ranges. Single tumor samples are visualized as points. Effect sizes and p values are displayed in the plot captions. Numbers of observations in the clusters are indicated in the X axes. Full infiltration analysis results are presented in Supplementary Table S5.</w:t>
      </w:r>
    </w:p>
    <w:p>
      <w:pPr>
        <w:pStyle w:val="TextBody"/>
        <w:rPr/>
      </w:pPr>
      <w:r>
        <w:rPr>
          <w:i/>
          <w:iCs/>
        </w:rPr>
        <w:t xml:space="preserve">(B) Gene set variation analysis (GSVA) with Reactome pathway gene signatures. Statistical significance for differences in signature single sample gene set enrichment analysis scores (ssGSEA) between the collagen clusters was determined by two-tailed T test with Cohen’s d effect size statistic. P values were corrected for multiple testing with the false discovery rate method. Mean ssGSEA scores in the clusters and cohorts for signatures significantly regulated in at least four cohorts with at least weak effect size (d </w:t>
      </w:r>
      <w:r>
        <w:rPr/>
      </w:r>
      <m:oMath xmlns:m="http://schemas.openxmlformats.org/officeDocument/2006/math">
        <m:r>
          <w:rPr>
            <w:rFonts w:ascii="Cambria Math" w:hAnsi="Cambria Math"/>
          </w:rPr>
          <m:t xml:space="preserve">≥</m:t>
        </m:r>
      </m:oMath>
      <w:r>
        <w:rPr>
          <w:i/>
          <w:iCs/>
        </w:rPr>
        <w:t xml:space="preserve"> 0.2) are presented in a heat map. Full analysis results are presented in Supplementary Table S7. ECM: extracellular matrix, GF: growth factor, GPCR: G protein-coupled receptor.</w:t>
      </w:r>
    </w:p>
    <w:p>
      <w:pPr>
        <w:pStyle w:val="TextBody"/>
        <w:rPr/>
      </w:pPr>
      <w:r>
        <w:rPr>
          <w:i/>
          <w:iCs/>
        </w:rPr>
        <w:t>(C) Modulation of KEGG-listed signaling pathways in collagen</w:t>
      </w:r>
      <w:r>
        <w:rPr>
          <w:i/>
          <w:iCs/>
          <w:vertAlign w:val="superscript"/>
        </w:rPr>
        <w:t>high</w:t>
      </w:r>
      <w:r>
        <w:rPr>
          <w:i/>
          <w:iCs/>
        </w:rPr>
        <w:t xml:space="preserve"> (hi) tumors as compared with collagen</w:t>
      </w:r>
      <w:r>
        <w:rPr>
          <w:i/>
          <w:iCs/>
          <w:vertAlign w:val="superscript"/>
        </w:rPr>
        <w:t>low</w:t>
      </w:r>
      <w:r>
        <w:rPr>
          <w:i/>
          <w:iCs/>
        </w:rPr>
        <w:t xml:space="preserve"> cancers was predicted by the SPIA algorithm based on differential gene expression estimates. Predicted magnitude of pathway modulation (tA parameter) for pathways significantly modulated in at least four cohorts was visualized in a bubble plot (tA &lt; 0: inhibition, blue; tA &gt; 0, activation, red, ns: not significant, gray). Points are labeled with their tA values. Full analysis results are presented in Supplementary Table S9. ECM: extracellular matrix, ACT: actin, SCLC: small cell lung carcinoma, S. aureus: Staphylococcus aureus, SLE: systemic lupus erythematosus, TGF-</w:t>
      </w:r>
      <w:r>
        <w:rPr/>
      </w:r>
      <m:oMath xmlns:m="http://schemas.openxmlformats.org/officeDocument/2006/math">
        <m:r>
          <w:rPr>
            <w:rFonts w:ascii="Cambria Math" w:hAnsi="Cambria Math"/>
          </w:rPr>
          <m:t xml:space="preserve">β</m:t>
        </m:r>
      </m:oMath>
      <w:r>
        <w:rPr>
          <w:i/>
          <w:iCs/>
        </w:rPr>
        <w:t>: transforming growth factor-beta..</w:t>
      </w:r>
    </w:p>
    <w:p>
      <w:pPr>
        <w:pStyle w:val="TextBody"/>
        <w:rPr/>
      </w:pPr>
      <w:r>
        <w:rPr>
          <w:i/>
          <w:iCs/>
        </w:rPr>
        <w:t>(D) Modulation of Recon2 model metabolic reactions in collagen</w:t>
      </w:r>
      <w:r>
        <w:rPr>
          <w:i/>
          <w:iCs/>
          <w:vertAlign w:val="superscript"/>
        </w:rPr>
        <w:t>high</w:t>
      </w:r>
      <w:r>
        <w:rPr>
          <w:i/>
          <w:iCs/>
        </w:rPr>
        <w:t xml:space="preserve"> (hi) tumors as compared with collagen</w:t>
      </w:r>
      <w:r>
        <w:rPr>
          <w:i/>
          <w:iCs/>
          <w:vertAlign w:val="superscript"/>
        </w:rPr>
        <w:t>low</w:t>
      </w:r>
      <w:r>
        <w:rPr>
          <w:i/>
          <w:iCs/>
        </w:rPr>
        <w:t xml:space="preserve"> cancers was predicted by the BiGGR and biggrExtra algorithms based on whole-genome differential gene expression estimates. Enrichment of significantly activated and significantly inhibited reactions in the collagen</w:t>
      </w:r>
      <w:r>
        <w:rPr>
          <w:i/>
          <w:iCs/>
          <w:vertAlign w:val="superscript"/>
        </w:rPr>
        <w:t>high</w:t>
      </w:r>
      <w:r>
        <w:rPr>
          <w:i/>
          <w:iCs/>
        </w:rPr>
        <w:t xml:space="preserve"> within the Recon model metabolic subsystems was investigated by Fisher’s exact test. Enrichment p values were corrected for multiple testing with the false discovery rate method. Enrichment odds ratios (OR) for significantly enriched metabolic subsystems with at least weak effect size (OR </w:t>
      </w:r>
      <w:r>
        <w:rPr/>
      </w:r>
      <m:oMath xmlns:m="http://schemas.openxmlformats.org/officeDocument/2006/math">
        <m:r>
          <w:rPr>
            <w:rFonts w:ascii="Cambria Math" w:hAnsi="Cambria Math"/>
          </w:rPr>
          <m:t xml:space="preserve">≥</m:t>
        </m:r>
      </m:oMath>
      <w:r>
        <w:rPr>
          <w:i/>
          <w:iCs/>
        </w:rPr>
        <w:t xml:space="preserve"> 1.44) shared by at least four cohorts are presented in a bubble plot (inhibited: blue, activated: red, not significant: gray). Points are labeled with their odds ratio values. Full analysis results are presented in Supplementary Table S11. Val: valine, Leu: leucine, Ile: isoleucine, FAOX: fatty acid oxidation, PIP: phosphoinositol phosphate.</w:t>
      </w:r>
    </w:p>
    <w:p>
      <w:pPr>
        <w:pStyle w:val="Normal"/>
        <w:rPr/>
      </w:pPr>
      <w:r>
        <w:rPr/>
      </w:r>
      <w:bookmarkStart w:id="14" w:name="figures"/>
      <w:bookmarkStart w:id="15" w:name="figures"/>
      <w:bookmarkEnd w:id="15"/>
      <w:r>
        <w:br w:type="page"/>
      </w:r>
    </w:p>
    <w:p>
      <w:pPr>
        <w:pStyle w:val="Heading1"/>
        <w:rPr/>
      </w:pPr>
      <w:r>
        <w:rPr/>
        <w:t>References</w:t>
      </w:r>
    </w:p>
    <w:p>
      <w:pPr>
        <w:pStyle w:val="Bibliography"/>
        <w:rPr/>
      </w:pPr>
      <w:r>
        <w:rPr/>
        <w:t xml:space="preserve">1.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6" w:name="ref-Abeshouse2015"/>
      <w:bookmarkEnd w:id="16"/>
    </w:p>
    <w:p>
      <w:pPr>
        <w:pStyle w:val="Bibliography"/>
        <w:rPr/>
      </w:pPr>
      <w:r>
        <w:rPr/>
        <w:t xml:space="preserve">2. </w:t>
        <w:tab/>
        <w:t xml:space="preserve">Sboner A, Demichelis F, Calza S, Pawitan Y, Setlur SR, Hoshida Y, Perner S, Adami HO, Fall K, Mucci LA, et al. Molecular sampling of prostate cancer: A dilemma for predicting disease progression. </w:t>
      </w:r>
      <w:r>
        <w:rPr>
          <w:i/>
          <w:iCs/>
        </w:rPr>
        <w:t>BMC Medical Genomics</w:t>
      </w:r>
      <w:r>
        <w:rPr/>
        <w:t xml:space="preserve"> (2010) 3: doi: </w:t>
      </w:r>
      <w:hyperlink r:id="rId8">
        <w:r>
          <w:rPr>
            <w:rStyle w:val="InternetLink"/>
          </w:rPr>
          <w:t>10.1186/1755-8794-3-8</w:t>
        </w:r>
      </w:hyperlink>
      <w:bookmarkStart w:id="17" w:name="ref-Sboner2010"/>
      <w:bookmarkEnd w:id="17"/>
    </w:p>
    <w:p>
      <w:pPr>
        <w:pStyle w:val="Bibliography"/>
        <w:rPr/>
      </w:pPr>
      <w:r>
        <w:rPr/>
        <w:t xml:space="preserve">3.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8" w:name="ref-Ross-Adams2015"/>
      <w:bookmarkEnd w:id="18"/>
    </w:p>
    <w:p>
      <w:pPr>
        <w:pStyle w:val="Bibliography"/>
        <w:rPr/>
      </w:pPr>
      <w:r>
        <w:rPr/>
        <w:t xml:space="preserve">4. </w:t>
        <w:tab/>
        <w:t xml:space="preserve">Jain S, Lyons CA, Walker SM, McQuaid S, Hynes SO, Mitchell DM, Pang B, Logan GE, McCavigan AM, O’Rourke D, et al. Validation of a Metastatic Assay using biopsies to improve risk stratification in patients with prostate cancer treated with radical radiation therapy. </w:t>
      </w:r>
      <w:r>
        <w:rPr>
          <w:i/>
          <w:iCs/>
        </w:rPr>
        <w:t>Annals of oncology : official journal of the European Society for Medical Oncology</w:t>
      </w:r>
      <w:r>
        <w:rPr/>
        <w:t xml:space="preserve"> (2018) 29:215–222. doi: </w:t>
      </w:r>
      <w:hyperlink r:id="rId10">
        <w:r>
          <w:rPr>
            <w:rStyle w:val="InternetLink"/>
          </w:rPr>
          <w:t>10.1093/ANNONC/MDX637</w:t>
        </w:r>
      </w:hyperlink>
      <w:bookmarkStart w:id="19" w:name="ref-Jain2018"/>
      <w:bookmarkEnd w:id="19"/>
    </w:p>
    <w:p>
      <w:pPr>
        <w:pStyle w:val="Bibliography"/>
        <w:rPr/>
      </w:pPr>
      <w:r>
        <w:rPr/>
        <w:t xml:space="preserve">5. </w:t>
        <w:tab/>
        <w:t xml:space="preserve">Aran D, Hu Z, Butte AJ. xCell: Digitally portraying the tissue cellular heterogeneity landscape. </w:t>
      </w:r>
      <w:r>
        <w:rPr>
          <w:i/>
          <w:iCs/>
        </w:rPr>
        <w:t>Genome Biology</w:t>
      </w:r>
      <w:r>
        <w:rPr/>
        <w:t xml:space="preserve"> (2017) 18:220. doi: </w:t>
      </w:r>
      <w:hyperlink r:id="rId11">
        <w:r>
          <w:rPr>
            <w:rStyle w:val="InternetLink"/>
          </w:rPr>
          <w:t>10.1186/s13059-017-1349-1</w:t>
        </w:r>
      </w:hyperlink>
      <w:bookmarkStart w:id="20" w:name="ref-Aran2017"/>
      <w:bookmarkEnd w:id="20"/>
    </w:p>
    <w:p>
      <w:pPr>
        <w:pStyle w:val="Bibliography"/>
        <w:rPr/>
      </w:pPr>
      <w:r>
        <w:rPr/>
        <w:t xml:space="preserve">6.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2">
        <w:r>
          <w:rPr>
            <w:rStyle w:val="InternetLink"/>
          </w:rPr>
          <w:t>10.1186/s13059-016-1070-5</w:t>
        </w:r>
      </w:hyperlink>
      <w:bookmarkStart w:id="21" w:name="ref-Becht2016"/>
      <w:bookmarkEnd w:id="21"/>
    </w:p>
    <w:p>
      <w:pPr>
        <w:pStyle w:val="Bibliography"/>
        <w:rPr/>
      </w:pPr>
      <w:r>
        <w:rPr/>
        <w:t xml:space="preserve">7. </w:t>
        <w:tab/>
        <w:t xml:space="preserve">Hänzelmann S, Castelo R, Guinney J. GSVA: Gene set variation analysis for microarray and RNA-Seq data. </w:t>
      </w:r>
      <w:r>
        <w:rPr>
          <w:i/>
          <w:iCs/>
        </w:rPr>
        <w:t>BMC Bioinformatics</w:t>
      </w:r>
      <w:r>
        <w:rPr/>
        <w:t xml:space="preserve"> (2013) 14:7. doi: </w:t>
      </w:r>
      <w:hyperlink r:id="rId13">
        <w:r>
          <w:rPr>
            <w:rStyle w:val="InternetLink"/>
          </w:rPr>
          <w:t>10.1186/1471-2105-14-7</w:t>
        </w:r>
      </w:hyperlink>
      <w:bookmarkStart w:id="22" w:name="ref-Hanzelmann2013"/>
      <w:bookmarkEnd w:id="22"/>
    </w:p>
    <w:p>
      <w:pPr>
        <w:pStyle w:val="Bibliography"/>
        <w:rPr/>
      </w:pPr>
      <w:r>
        <w:rPr/>
        <w:t xml:space="preserve">8.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4">
        <w:r>
          <w:rPr>
            <w:rStyle w:val="InternetLink"/>
          </w:rPr>
          <w:t>10.1016/j.lungcan.2021.06.020</w:t>
        </w:r>
      </w:hyperlink>
      <w:bookmarkStart w:id="23" w:name="ref-Kocher2021"/>
      <w:bookmarkEnd w:id="23"/>
    </w:p>
    <w:p>
      <w:pPr>
        <w:pStyle w:val="Bibliography"/>
        <w:rPr/>
      </w:pPr>
      <w:r>
        <w:rPr/>
        <w:t xml:space="preserve">9.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15">
        <w:r>
          <w:rPr>
            <w:rStyle w:val="InternetLink"/>
          </w:rPr>
          <w:t>10.1111/j.2517-6161.1995.tb02031.x</w:t>
        </w:r>
      </w:hyperlink>
      <w:bookmarkStart w:id="24" w:name="ref-Benjamini1995"/>
      <w:bookmarkEnd w:id="24"/>
    </w:p>
    <w:p>
      <w:pPr>
        <w:pStyle w:val="Bibliography"/>
        <w:rPr/>
      </w:pPr>
      <w:r>
        <w:rPr/>
        <w:t xml:space="preserve">10. </w:t>
        <w:tab/>
        <w:t xml:space="preserve">Cohen J. Statistical Power Analysis for the Behavioral Sciences. </w:t>
      </w:r>
      <w:r>
        <w:rPr>
          <w:i/>
          <w:iCs/>
        </w:rPr>
        <w:t>Statistical Power Analysis for the Behavioral Sciences</w:t>
      </w:r>
      <w:r>
        <w:rPr/>
        <w:t xml:space="preserve"> (2013) doi: </w:t>
      </w:r>
      <w:hyperlink r:id="rId16">
        <w:r>
          <w:rPr>
            <w:rStyle w:val="InternetLink"/>
          </w:rPr>
          <w:t>10.4324/9780203771587</w:t>
        </w:r>
      </w:hyperlink>
      <w:bookmarkStart w:id="25" w:name="ref-Cohen2013"/>
      <w:bookmarkEnd w:id="25"/>
    </w:p>
    <w:p>
      <w:pPr>
        <w:pStyle w:val="Bibliography"/>
        <w:rPr/>
      </w:pPr>
      <w:r>
        <w:rPr/>
        <w:t xml:space="preserve">11.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17">
        <w:r>
          <w:rPr>
            <w:rStyle w:val="InternetLink"/>
          </w:rPr>
          <w:t>10.1007/978-3-030-32047-8_16</w:t>
        </w:r>
      </w:hyperlink>
      <w:bookmarkStart w:id="26" w:name="ref-Schubert2019"/>
      <w:bookmarkEnd w:id="26"/>
    </w:p>
    <w:p>
      <w:pPr>
        <w:pStyle w:val="Bibliography"/>
        <w:rPr/>
      </w:pPr>
      <w:r>
        <w:rPr/>
        <w:t xml:space="preserve">12.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18">
        <w:r>
          <w:rPr>
            <w:rStyle w:val="InternetLink"/>
          </w:rPr>
          <w:t>10.1093/BIOINFORMATICS/BTS034</w:t>
        </w:r>
      </w:hyperlink>
      <w:bookmarkStart w:id="27" w:name="ref-Leek2012"/>
      <w:bookmarkEnd w:id="27"/>
    </w:p>
    <w:p>
      <w:pPr>
        <w:pStyle w:val="Bibliography"/>
        <w:rPr/>
      </w:pPr>
      <w:r>
        <w:rPr/>
        <w:t xml:space="preserve">13. </w:t>
        <w:tab/>
        <w:t xml:space="preserve">Lange T, Roth V, Braun ML, Buhmann JM. Stability-based validation of clustering solutions. </w:t>
      </w:r>
      <w:r>
        <w:rPr>
          <w:i/>
          <w:iCs/>
        </w:rPr>
        <w:t>Neural Computation</w:t>
      </w:r>
      <w:r>
        <w:rPr/>
        <w:t xml:space="preserve"> (2004) 16:1299–1323. doi: </w:t>
      </w:r>
      <w:hyperlink r:id="rId19">
        <w:r>
          <w:rPr>
            <w:rStyle w:val="InternetLink"/>
          </w:rPr>
          <w:t>10.1162/089976604773717621</w:t>
        </w:r>
      </w:hyperlink>
      <w:bookmarkStart w:id="28" w:name="ref-Lange2004"/>
      <w:bookmarkEnd w:id="28"/>
    </w:p>
    <w:p>
      <w:pPr>
        <w:pStyle w:val="Bibliography"/>
        <w:rPr/>
      </w:pPr>
      <w:r>
        <w:rPr/>
        <w:t xml:space="preserve">14. </w:t>
        <w:tab/>
        <w:t xml:space="preserve">Leng M, Wang J, Cheng J, Zhou H, Chen X. Adaptive semi-supervised clustering algorithm with label propagation. </w:t>
      </w:r>
      <w:r>
        <w:rPr>
          <w:i/>
          <w:iCs/>
        </w:rPr>
        <w:t>Journal of Software Engineering</w:t>
      </w:r>
      <w:r>
        <w:rPr/>
        <w:t xml:space="preserve"> (2014) 8:14–22. doi: </w:t>
      </w:r>
      <w:hyperlink r:id="rId20">
        <w:r>
          <w:rPr>
            <w:rStyle w:val="InternetLink"/>
          </w:rPr>
          <w:t>10.3923/jse.2014.14.22</w:t>
        </w:r>
      </w:hyperlink>
      <w:bookmarkStart w:id="29" w:name="ref-Leng2014"/>
      <w:bookmarkEnd w:id="29"/>
    </w:p>
    <w:p>
      <w:pPr>
        <w:pStyle w:val="Bibliography"/>
        <w:rPr/>
      </w:pPr>
      <w:r>
        <w:rPr/>
        <w:t xml:space="preserve">15. </w:t>
        <w:tab/>
        <w:t xml:space="preserve">Rousseeuw PJ. Silhouettes: A graphical aid to the interpretation and validation of cluster analysis. </w:t>
      </w:r>
      <w:r>
        <w:rPr>
          <w:i/>
          <w:iCs/>
        </w:rPr>
        <w:t>Journal of Computational and Applied Mathematics</w:t>
      </w:r>
      <w:r>
        <w:rPr/>
        <w:t xml:space="preserve"> (1987) 20:53–65. doi: </w:t>
      </w:r>
      <w:hyperlink r:id="rId21">
        <w:r>
          <w:rPr>
            <w:rStyle w:val="InternetLink"/>
          </w:rPr>
          <w:t>10.1016/0377-0427(87)90125-7</w:t>
        </w:r>
      </w:hyperlink>
      <w:bookmarkStart w:id="30" w:name="ref-Rousseeuw1987"/>
      <w:bookmarkEnd w:id="30"/>
    </w:p>
    <w:p>
      <w:pPr>
        <w:pStyle w:val="Bibliography"/>
        <w:rPr/>
      </w:pPr>
      <w:r>
        <w:rPr/>
        <w:t xml:space="preserve">16. </w:t>
        <w:tab/>
        <w:t xml:space="preserve">Tarca AL, Draghici S, Khatri P, Hassan SS, Mittal P, Kim JS, Kim CJ, Kusanovic JP, Romero R. A novel signaling pathway impact analysis. </w:t>
      </w:r>
      <w:r>
        <w:rPr>
          <w:i/>
          <w:iCs/>
        </w:rPr>
        <w:t>Bioinformatics</w:t>
      </w:r>
      <w:r>
        <w:rPr/>
        <w:t xml:space="preserve"> (2009) 25:75–82. doi: </w:t>
      </w:r>
      <w:hyperlink r:id="rId22">
        <w:r>
          <w:rPr>
            <w:rStyle w:val="InternetLink"/>
          </w:rPr>
          <w:t>10.1093/bioinformatics/btn577</w:t>
        </w:r>
      </w:hyperlink>
      <w:bookmarkStart w:id="31" w:name="ref-Tarca2009"/>
      <w:bookmarkEnd w:id="31"/>
    </w:p>
    <w:p>
      <w:pPr>
        <w:pStyle w:val="Bibliography"/>
        <w:rPr/>
      </w:pPr>
      <w:r>
        <w:rPr/>
        <w:t xml:space="preserve">17. </w:t>
        <w:tab/>
        <w:t xml:space="preserve">Pichler R, Siska PJ, Tymoszuk P, Martowicz A, Untergasser G, Mayr R, Weber F, Seeber A, Kocher F, Barth DA, et al. A chemokine network of T cell exhaustion and metabolic reprogramming in renal cell carcinoma. </w:t>
      </w:r>
      <w:r>
        <w:rPr>
          <w:i/>
          <w:iCs/>
        </w:rPr>
        <w:t>Frontiers in Immunology</w:t>
      </w:r>
      <w:r>
        <w:rPr/>
        <w:t xml:space="preserve"> (2023) 14:1208. doi: </w:t>
      </w:r>
      <w:hyperlink r:id="rId23">
        <w:r>
          <w:rPr>
            <w:rStyle w:val="InternetLink"/>
          </w:rPr>
          <w:t>10.3389/FIMMU.2023.1095195/BIBTEX</w:t>
        </w:r>
      </w:hyperlink>
      <w:bookmarkStart w:id="32" w:name="ref-Pichler2023"/>
      <w:bookmarkEnd w:id="32"/>
    </w:p>
    <w:p>
      <w:pPr>
        <w:pStyle w:val="Bibliography"/>
        <w:rPr/>
      </w:pPr>
      <w:r>
        <w:rPr/>
        <w:t xml:space="preserve">18. </w:t>
        <w:tab/>
        <w:t xml:space="preserve">Gavai AK, Supandi F, Hettling H, Murrell P, Leunissen JAM, Van Beek JHGM. Using Bioconductor Package BiGGR for Metabolic Flux Estimation Based on Gene Expression Changes in Brain. </w:t>
      </w:r>
      <w:r>
        <w:rPr>
          <w:i/>
          <w:iCs/>
        </w:rPr>
        <w:t>PLOS ONE</w:t>
      </w:r>
      <w:r>
        <w:rPr/>
        <w:t xml:space="preserve"> (2015) 10:e0119016. doi: </w:t>
      </w:r>
      <w:hyperlink r:id="rId24">
        <w:r>
          <w:rPr>
            <w:rStyle w:val="InternetLink"/>
          </w:rPr>
          <w:t>10.1371/JOURNAL.PONE.0119016</w:t>
        </w:r>
      </w:hyperlink>
      <w:bookmarkStart w:id="33" w:name="ref-Gavai2015"/>
      <w:bookmarkEnd w:id="33"/>
    </w:p>
    <w:p>
      <w:pPr>
        <w:pStyle w:val="Bibliography"/>
        <w:spacing w:before="0" w:after="200"/>
        <w:rPr/>
      </w:pPr>
      <w:r>
        <w:rPr/>
        <w:t xml:space="preserve">19. </w:t>
        <w:tab/>
        <w:t xml:space="preserve">King ZA, Lu J, Dräger A, Miller P, Federowicz S, Lerman JA, Ebrahim A, Palsson BO, Lewis NE. BiGG Models: A platform for integrating, standardizing and sharing genome-scale models. </w:t>
      </w:r>
      <w:r>
        <w:rPr>
          <w:i/>
          <w:iCs/>
        </w:rPr>
        <w:t>Nucleic Acids Research</w:t>
      </w:r>
      <w:r>
        <w:rPr/>
        <w:t xml:space="preserve"> (2016) 44:D515–D522. doi: </w:t>
      </w:r>
      <w:hyperlink r:id="rId25">
        <w:r>
          <w:rPr>
            <w:rStyle w:val="InternetLink"/>
          </w:rPr>
          <w:t>10.1093/NAR/GKV1049</w:t>
        </w:r>
      </w:hyperlink>
    </w:p>
    <w:sectPr>
      <w:footerReference w:type="default" r:id="rId26"/>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14</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biggrExtra" TargetMode="External"/><Relationship Id="rId3" Type="http://schemas.openxmlformats.org/officeDocument/2006/relationships/hyperlink" Target="https://github.com/PiotrTymoszuk/collagen_pca"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i.org/10.1016/j.cell.2015.10.025" TargetMode="External"/><Relationship Id="rId8" Type="http://schemas.openxmlformats.org/officeDocument/2006/relationships/hyperlink" Target="https://doi.org/10.1186/1755-8794-3-8"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093/ANNONC/MDX637" TargetMode="External"/><Relationship Id="rId11" Type="http://schemas.openxmlformats.org/officeDocument/2006/relationships/hyperlink" Target="https://doi.org/10.1186/s13059-017-1349-1" TargetMode="External"/><Relationship Id="rId12" Type="http://schemas.openxmlformats.org/officeDocument/2006/relationships/hyperlink" Target="https://doi.org/10.1186/s13059-016-1070-5" TargetMode="External"/><Relationship Id="rId13" Type="http://schemas.openxmlformats.org/officeDocument/2006/relationships/hyperlink" Target="https://doi.org/10.1186/1471-2105-14-7" TargetMode="External"/><Relationship Id="rId14" Type="http://schemas.openxmlformats.org/officeDocument/2006/relationships/hyperlink" Target="https://doi.org/10.1016/j.lungcan.2021.06.020" TargetMode="External"/><Relationship Id="rId15" Type="http://schemas.openxmlformats.org/officeDocument/2006/relationships/hyperlink" Target="https://doi.org/10.1111/j.2517-6161.1995.tb02031.x" TargetMode="External"/><Relationship Id="rId16" Type="http://schemas.openxmlformats.org/officeDocument/2006/relationships/hyperlink" Target="https://doi.org/10.4324/9780203771587" TargetMode="External"/><Relationship Id="rId17" Type="http://schemas.openxmlformats.org/officeDocument/2006/relationships/hyperlink" Target="https://doi.org/10.1007/978-3-030-32047-8_16" TargetMode="External"/><Relationship Id="rId18" Type="http://schemas.openxmlformats.org/officeDocument/2006/relationships/hyperlink" Target="https://doi.org/10.1093/BIOINFORMATICS/BTS034" TargetMode="External"/><Relationship Id="rId19" Type="http://schemas.openxmlformats.org/officeDocument/2006/relationships/hyperlink" Target="https://doi.org/10.1162/089976604773717621" TargetMode="External"/><Relationship Id="rId20" Type="http://schemas.openxmlformats.org/officeDocument/2006/relationships/hyperlink" Target="https://doi.org/10.3923/jse.2014.14.22" TargetMode="External"/><Relationship Id="rId21" Type="http://schemas.openxmlformats.org/officeDocument/2006/relationships/hyperlink" Target="https://doi.org/10.1016/0377-0427(87)90125-7" TargetMode="External"/><Relationship Id="rId22" Type="http://schemas.openxmlformats.org/officeDocument/2006/relationships/hyperlink" Target="https://doi.org/10.1093/bioinformatics/btn577" TargetMode="External"/><Relationship Id="rId23" Type="http://schemas.openxmlformats.org/officeDocument/2006/relationships/hyperlink" Target="https://doi.org/10.3389/FIMMU.2023.1095195/BIBTEX" TargetMode="External"/><Relationship Id="rId24" Type="http://schemas.openxmlformats.org/officeDocument/2006/relationships/hyperlink" Target="https://doi.org/10.1371/JOURNAL.PONE.0119016" TargetMode="External"/><Relationship Id="rId25" Type="http://schemas.openxmlformats.org/officeDocument/2006/relationships/hyperlink" Target="https://doi.org/10.1093/NAR/GKV1049" TargetMode="Externa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14</Pages>
  <Words>3076</Words>
  <Characters>15964</Characters>
  <CharactersWithSpaces>18925</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2023-08-07T12:28:27Z</dcterms:created>
  <dc:creator/>
  <dc:description/>
  <dc:language>en-US</dc:language>
  <cp:lastModifiedBy/>
  <dcterms:modified xsi:type="dcterms:W3CDTF">2023-08-07T14:33:19Z</dcterms:modified>
  <cp:revision>1</cp:revision>
  <dc:subject/>
  <dc:title>Prognostic and biologic relevance of collagen biosynthesis pathway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2023-08-07</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