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Methods, figures and tables for the transcriptome part</w:t>
      </w:r>
    </w:p>
    <w:p>
      <w:pPr>
        <w:pStyle w:val="Date"/>
        <w:rPr/>
      </w:pPr>
      <w:r>
        <w:rPr/>
        <w:t>2024-02-10</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the ISUP risk strata (ISUP1: Gleason score 5 - 6, ISUP2: Gleason score 7 and ISUP3: Gleason score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according to the ISUP risk system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(ISUP1: n = 11, ISUP2: n = 80, ISUP3+: n = 15), GSE70768 (ISUP1: n = 19, ISUP2: n = 87, ISUP3+: n = 16), GSE70769 (ISUP1: n = 21, ISUP2: n = 56, ISUP3+: n = 14), GSE220095 (ISUP1: n = 36, ISUP2: n = 120, ISUP3+: n = 20), DKFZ (ISUP1: n = 13, ISUP2: n = 87, ISUP3+: n = 18), and TCGA cohort (ISUP1: n = 45, ISUP2: n = 245, ISUP3+: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A multi-parameter Gradient Boosted Machine (GBM) model of biochemical relapse-free survival was trained in the pooled GEO cohort with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GBM model at prediction of biochemical relapse-free survival in the training pooled GEO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pooled GEO cohort, and the TCGA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12</Pages>
  <Words>2073</Words>
  <Characters>12238</Characters>
  <CharactersWithSpaces>14271</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2024-02-10T21:02:36Z</dcterms:created>
  <dc:creator/>
  <dc:description/>
  <dc:language>en-US</dc:language>
  <cp:lastModifiedBy/>
  <dcterms:modified xsi:type="dcterms:W3CDTF">2024-02-10T22:20:41Z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2024-02-10</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