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Methods, figures and tables for the transcriptome part</w:t>
      </w:r>
    </w:p>
    <w:p>
      <w:pPr>
        <w:pStyle w:val="Date"/>
        <w:rPr/>
      </w:pPr>
      <w:r>
        <w:rPr/>
        <w:t>2024-01-23</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Gleason scoring (5 - 6, 7 and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by Gleason scores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(5 - 6: n = 11, 7: n = 80, 8+: n = 15), GSE70768 (5 - 6: n = 19, 7: n = 87, 8+: n = 16), GSE70769 (5 - 6: n = 21, 7: n = 56, 8+: n = 14), GSE220095 (5 - 6: n = 36, 7: n = 120, 8+: n = 20), DKFZ (5 - 6: n = 13, 7: n = 87, 8+: n = 18), and TCGA cohort (5 - 6: n = 45, 7: n = 245, 8+: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Transcriptional Collagen Score was established in the pooled GEO training cohort by multi-parameter Gradient Boosted Machine (GBM) modeling of biochemical relapse-free survival as a function of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12</Pages>
  <Words>2078</Words>
  <Characters>12165</Characters>
  <CharactersWithSpaces>14203</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2024-01-23T11:11:59Z</dcterms:created>
  <dc:creator/>
  <dc:description/>
  <dc:language>en-US</dc:language>
  <cp:lastModifiedBy/>
  <dcterms:modified xsi:type="dcterms:W3CDTF">2024-01-23T12:17:17Z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2024-01-23</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