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w:t>
      </w:r>
      <w:r>
        <w:t xml:space="preserve"> </w:t>
      </w:r>
      <w:r>
        <w:t xml:space="preserve">relevance</w:t>
      </w:r>
      <w:r>
        <w:t xml:space="preserve"> </w:t>
      </w:r>
      <w:r>
        <w:t xml:space="preserve">of</w:t>
      </w:r>
      <w:r>
        <w:t xml:space="preserve"> </w:t>
      </w:r>
      <w:r>
        <w:t xml:space="preserve">collagen</w:t>
      </w:r>
      <w:r>
        <w:t xml:space="preserve"> </w:t>
      </w:r>
      <w:r>
        <w:t xml:space="preserve">biosynthesis</w:t>
      </w:r>
      <w:r>
        <w:t xml:space="preserve"> </w:t>
      </w:r>
      <w:r>
        <w:t xml:space="preserve">pathway</w:t>
      </w:r>
      <w:r>
        <w:t xml:space="preserve"> </w:t>
      </w:r>
      <w:r>
        <w:t xml:space="preserve">in</w:t>
      </w:r>
      <w:r>
        <w:t xml:space="preserve"> </w:t>
      </w:r>
      <w:r>
        <w:t xml:space="preserve">prostate</w:t>
      </w:r>
      <w:r>
        <w:t xml:space="preserve"> </w:t>
      </w:r>
      <w:r>
        <w:t xml:space="preserve">cancer</w:t>
      </w:r>
    </w:p>
    <w:p>
      <w:pPr>
        <w:pStyle w:val="Subtitle"/>
      </w:pPr>
      <w:r>
        <w:t xml:space="preserve">Supplementary</w:t>
      </w:r>
      <w:r>
        <w:t xml:space="preserve"> </w:t>
      </w:r>
      <w:r>
        <w:t xml:space="preserve">material,</w:t>
      </w:r>
      <w:r>
        <w:t xml:space="preserve"> </w:t>
      </w:r>
      <w:r>
        <w:t xml:space="preserve">transcriptome</w:t>
      </w:r>
      <w:r>
        <w:t xml:space="preserve"> </w:t>
      </w:r>
      <w:r>
        <w:t xml:space="preserve">part</w:t>
      </w:r>
    </w:p>
    <w:p>
      <w:pPr>
        <w:pStyle w:val="Date"/>
      </w:pPr>
      <w:r>
        <w:t xml:space="preserve">2023-07-27</w:t>
      </w:r>
    </w:p>
    <w:p>
      <w:r>
        <w:br w:type="page"/>
      </w:r>
    </w:p>
    <w:bookmarkStart w:id="20" w:name="supplementary-tables"/>
    <w:p>
      <w:pPr>
        <w:pStyle w:val="Heading1"/>
      </w:pPr>
      <w:r>
        <w:t xml:space="preserve">Supplementary Tables</w:t>
      </w:r>
    </w:p>
    <w:p>
      <w:pPr>
        <w:pStyle w:val="TableCaption"/>
      </w:pPr>
      <w:r>
        <w:t xml:space="preserve">Table 1:</w:t>
      </w:r>
      <w:r>
        <w:t xml:space="preserve"> </w:t>
      </w:r>
      <w:r>
        <w:t xml:space="preserve">Expression of the collagen pathway genes in the malignant and benign tissue compared by paired T test with Cohen's d effect size statistic. P values were corrected for multiple testing with the false discovery rate method. log2-transformed expression values are presented as medians with interquartile ranges (IQR) and ranges.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2:</w:t>
      </w:r>
      <w:r>
        <w:t xml:space="preserve"> </w:t>
      </w:r>
      <w:r>
        <w:t xml:space="preserve">Expression of the cluster-defining collagen pathway genes in the collagen clusters of prostate cancer. Statistical significance was assessed by one-way ANOVA with eta-squared effect size statistic. P values were corrected for multiple testing with the false discovery rate method. log2-transformed expression values are presented as medians with interquartile ranges (IQR) and ranges.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p>
      <w:pPr>
        <w:pStyle w:val="TableCaption"/>
      </w:pPr>
      <w:r>
        <w:t xml:space="preserve">Table 3:</w:t>
      </w:r>
      <w:r>
        <w:t xml:space="preserve"> </w:t>
      </w:r>
      <w:r>
        <w:t xml:space="preserve">Clinical characteristic of the collagen clusters. Numeric variables are presented as medians with interquartile ranges (IQR) and ranges. Nominal variables are presented as percentages and counts of categories within the cluster.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701"/>
        <w:gridCol w:w="1984"/>
        <w:gridCol w:w="1984"/>
        <w:gridCol w:w="1984"/>
        <w:gridCol w:w="1587"/>
        <w:gridCol w:w="158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intermediate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Effect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GSE16560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72 - 79]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57 - 91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69 - 80]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51 - 91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69 - 79]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57 - 89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-0.0055</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9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0.026</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75%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25%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74% (n = 152)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26%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39%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61%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0.21</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GSE40272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54 - 64]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46 - 71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57 - 65]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43 - 73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58 - 68]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50 - 73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-0.014</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4.8 [IQR: 3.8 - 5.7]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5.6 [IQR: 4.3 - 7.5]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2.1 - 44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4.4 [IQR: 4 - 7.1]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2.8 - 16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-0.0074</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69%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31%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78%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20%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1.7%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29%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0.091</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94%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97% (n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3.3%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29%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0.29</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94%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5.9%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0.22</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6.5 - 7]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-0.011</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13%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0.13</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53)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86%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14%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0.023</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GSE70768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58 - 65]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48 - 73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56 - 64]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41 - 73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55 - 66]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47 - 69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-0.017</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5.7 - 10]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7.8 [IQR: 6.1 - 9.7]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3.6 - 18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9.4 [IQR: 6.4 - 12]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3.2 - 24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-0.0065</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Clinical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62% (n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22%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3.1%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12%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56% (n = 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1.6%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31%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11%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44%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25%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31%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0.19</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42%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58%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27%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73% (n = 45)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19%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75%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92%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8%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90% (n = 46)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9.8%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93%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7.1%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0.038</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100%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1</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-0.013</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15%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26%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29%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0.13</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Extracapsular extension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70%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69% (n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65%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0.037</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94% (n = 31)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6.1%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92% (n = 57)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8.1%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0.066</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GSE70769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6.9 [IQR: 5 - 11]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3.5 - 35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8.2 [IQR: 6.4 - 11]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2.2 - 120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7.5 [IQR: 6.2 - 18]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1.5 - 42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-0.0084</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Clinical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54%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33%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12%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46%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44%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10%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33%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6.7%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0.12</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72%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28%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46%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54%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40%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0.25</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75%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25%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100%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100%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0.46</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94%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57%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43%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0.48</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0.053</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46%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44%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47%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0.021</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Extracapsular extension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27%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52%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0.25</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92%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7.7%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67%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33%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0.22</w:t>
            </w:r>
          </w:p>
        </w:tc>
      </w:tr>
      <w:tr>
        <w:trPr>
          <w:trHeight w:val="360" w:hRule="auto"/>
        </w:trPr>
        body31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TCGA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56 - 66]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46 - 78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55 - 66]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41 - 77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58 - 66]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44 - 75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-0.00078</w:t>
            </w:r>
          </w:p>
        </w:tc>
      </w:tr>
      <w:tr>
        <w:trPr>
          <w:trHeight w:val="360" w:hRule="auto"/>
        </w:trPr>
        body32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9.9e-05</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49% (n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51% (n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39% (n = 86)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61% (n = 135)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20%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80%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0.21</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81% (n = 100)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19%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85% (n = 172)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15%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74% (n = 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26%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0.11</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99% (n = 138)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0.72%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0.45%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99% (n = 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1.1%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0.029</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8.5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0.055</w:t>
            </w:r>
          </w:p>
        </w:tc>
      </w:tr>
      <w:tr>
        <w:trPr>
          <w:trHeight w:val="360" w:hRule="auto"/>
        </w:trPr>
        body37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67% (n = 103)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33%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63% (n = 147)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37%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38% (n = 41)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62%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0.23</w:t>
            </w:r>
          </w:p>
        </w:tc>
      </w:tr>
      <w:tr>
        <w:trPr>
          <w:trHeight w:val="360" w:hRule="auto"/>
        </w:trPr>
        footer 1
        <w:tc>
          <w:tcPr>
            <w:gridSpan w:val="7"/>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prostate-specific antigen.</w:t>
            </w:r>
          </w:p>
        </w:tc>
      </w:tr>
      <w:tr>
        <w:trPr>
          <w:trHeight w:val="360" w:hRule="auto"/>
        </w:trPr>
        footer 2
        <w:tc>
          <w:tcPr>
            <w:gridSpan w:val="7"/>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Categorical variables: χ² test with Cramer's V effec size statistic. Numeric variables: Kruskal-Wallis test with η² effect size statistic. P values corrected for multiple testing with the false discovery rate method.</w:t>
            </w:r>
          </w:p>
        </w:tc>
      </w:tr>
    </w:tbl>
    <w:p>
      <w:r>
        <w:br w:type="page"/>
      </w:r>
    </w:p>
    <w:p>
      <w:pPr>
        <w:pStyle w:val="TableCaption"/>
      </w:pPr>
      <w:r>
        <w:t xml:space="preserve">Table 4:</w:t>
      </w:r>
      <w:r>
        <w:t xml:space="preserve"> </w:t>
      </w:r>
      <w:r>
        <w:t xml:space="preserve">Non-malignant cell numbers predicted for the collagen Non-maignant cell fractions predicted for the collagen Statistical significance was assessed by Kruskal-Wallis test with eta-squared effect size statistic. P values were corrected for multiple testing with the false discovery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5:</w:t>
      </w:r>
      <w:r>
        <w:t xml:space="preserve"> </w:t>
      </w:r>
      <w:r>
        <w:t xml:space="preserve">clusters by the MCP counter algorithm. clusters by the xCell algorithm. Statistical significance was assessed by Kruskal-Wallis test with eta-squared effect size statistic. P values were corrected for multiple testing with the false discovery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6:</w:t>
      </w:r>
      <w:r>
        <w:t xml:space="preserve"> </w:t>
      </w:r>
      <w:r>
        <w:t xml:space="preserve">Gene set variation analysis with the Reactome pathway gene signatures. Differences between the collagen intermediate or high clusters versus collagen low cancers were investigated by one-way ANOVA with eta-squared effect size statistic and linear modeling. Results for signatures significantly regulated with moderate-to-large effect size (eta-squared at leat 0.06) in at least four cohorts are presented. P values were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7:</w:t>
      </w:r>
      <w:r>
        <w:t xml:space="preserve"> </w:t>
      </w:r>
      <w:r>
        <w:t xml:space="preserve">Genes differentially expressed in the collagen intermediate or high cluster as compared with collagen low cancers were identified by one-way ANOVA and linear modeling with the 1.25-fold regulation cutoff P values were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8:</w:t>
      </w:r>
      <w:r>
        <w:t xml:space="preserve"> </w:t>
      </w:r>
      <w:r>
        <w:t xml:space="preserve">Signaling pathway activity in the collagen clusters investigated by the SPIA algorithm. Resulat for signaling pathways significantly activated or inhibited in at least four cohorts are shown.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9:</w:t>
      </w:r>
      <w:r>
        <w:t xml:space="preserve"> </w:t>
      </w:r>
      <w:r>
        <w:t xml:space="preserve">Biochemical reactions predicted to be significantly activated in the collagen high or collagen low cluster as compared with collagen low cancers. Statistical significance was determined by Monte Carlo simulation. P values were corrected for multiple testing with the false discovery rate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10:</w:t>
      </w:r>
      <w:r>
        <w:t xml:space="preserve"> </w:t>
      </w:r>
      <w:r>
        <w:t xml:space="preserve">Results of enrichment analysis for significantly activated and inhibited biochemical reaction within the Recon metabolism subsystem. Statistical significance was determined by Fisher's exact test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bookmarkEnd w:id="20"/>
    <w:bookmarkStart w:id="21" w:name="supplementary-figures"/>
    <w:p>
      <w:pPr>
        <w:pStyle w:val="Heading1"/>
      </w:pPr>
      <w:r>
        <w:t xml:space="preserve">Supplementary Figures</w:t>
      </w:r>
    </w:p>
    <w:p>
      <w:r>
        <w:br w:type="page"/>
      </w:r>
    </w:p>
    <w:bookmarkEnd w:id="21"/>
    <w:bookmarkStart w:id="22" w:name="references"/>
    <w:p>
      <w:pPr>
        <w:pStyle w:val="Heading1"/>
      </w:pPr>
      <w:r>
        <w:t xml:space="preserve">References</w:t>
      </w:r>
    </w:p>
    <w:bookmarkEnd w:id="22"/>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 relevance of collagen biosynthesis pathway in prostate cancer</dc:title>
  <dc:creator/>
  <cp:keywords/>
  <dcterms:created xsi:type="dcterms:W3CDTF">2023-07-27T10:06:47Z</dcterms:created>
  <dcterms:modified xsi:type="dcterms:W3CDTF">2023-07-27T10:06:47Z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2023-07-27</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 transcriptome part</vt:lpwstr>
  </property>
</Properties>
</file>