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df" ContentType="application/pdf"/>
  <Override PartName="/word/media/rId56.pdf" ContentType="application/pdf"/>
  <Override PartName="/word/media/rId53.pdf" ContentType="application/pdf"/>
  <Override PartName="/word/media/rId54.pdf" ContentType="application/pdf"/>
  <Override PartName="/word/media/rId5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Alterations</w:t>
      </w:r>
      <w:r>
        <w:t xml:space="preserve"> </w:t>
      </w:r>
      <w:r>
        <w:t xml:space="preserve">of</w:t>
      </w:r>
      <w:r>
        <w:t xml:space="preserve"> </w:t>
      </w:r>
      <w:r>
        <w:t xml:space="preserve">blood</w:t>
      </w:r>
      <w:r>
        <w:t xml:space="preserve"> </w:t>
      </w:r>
      <w:r>
        <w:t xml:space="preserve">monocyte</w:t>
      </w:r>
      <w:r>
        <w:t xml:space="preserve"> </w:t>
      </w:r>
      <w:r>
        <w:t xml:space="preserve">subset</w:t>
      </w:r>
      <w:r>
        <w:t xml:space="preserve"> </w:t>
      </w:r>
      <w:r>
        <w:t xml:space="preserve">distribution</w:t>
      </w:r>
      <w:r>
        <w:t xml:space="preserve"> </w:t>
      </w:r>
      <w:r>
        <w:t xml:space="preserve">and</w:t>
      </w:r>
      <w:r>
        <w:t xml:space="preserve"> </w:t>
      </w:r>
      <w:r>
        <w:t xml:space="preserve">surface</w:t>
      </w:r>
      <w:r>
        <w:t xml:space="preserve"> </w:t>
      </w:r>
      <w:r>
        <w:t xml:space="preserve">phenotype</w:t>
      </w:r>
      <w:r>
        <w:t xml:space="preserve"> </w:t>
      </w:r>
      <w:r>
        <w:t xml:space="preserve">are</w:t>
      </w:r>
      <w:r>
        <w:t xml:space="preserve"> </w:t>
      </w:r>
      <w:r>
        <w:t xml:space="preserve">linked</w:t>
      </w:r>
      <w:r>
        <w:t xml:space="preserve"> </w:t>
      </w:r>
      <w:r>
        <w:t xml:space="preserve">to</w:t>
      </w:r>
      <w:r>
        <w:t xml:space="preserve"> </w:t>
      </w:r>
      <w:r>
        <w:t xml:space="preserve">infection</w:t>
      </w:r>
      <w:r>
        <w:t xml:space="preserve"> </w:t>
      </w:r>
      <w:r>
        <w:t xml:space="preserve">severity</w:t>
      </w:r>
      <w:r>
        <w:t xml:space="preserve"> </w:t>
      </w:r>
      <w:r>
        <w:t xml:space="preserve">in</w:t>
      </w:r>
      <w:r>
        <w:t xml:space="preserve"> </w:t>
      </w:r>
      <w:r>
        <w:t xml:space="preserve">hospitalized</w:t>
      </w:r>
      <w:r>
        <w:t xml:space="preserve"> </w:t>
      </w:r>
      <w:r>
        <w:t xml:space="preserve">COVID-19</w:t>
      </w:r>
      <w:r>
        <w:t xml:space="preserve"> </w:t>
      </w:r>
      <w:r>
        <w:t xml:space="preserve">patients</w:t>
      </w:r>
    </w:p>
    <w:p>
      <w:pPr>
        <w:pStyle w:val="Subtitle"/>
      </w:pPr>
      <w:r>
        <w:t xml:space="preserve">Manuscript</w:t>
      </w:r>
      <w:r>
        <w:t xml:space="preserve"> </w:t>
      </w:r>
      <w:r>
        <w:t xml:space="preserve">file</w:t>
      </w:r>
    </w:p>
    <w:p>
      <w:pPr>
        <w:pStyle w:val="Author"/>
      </w:pPr>
      <w:r>
        <w:t xml:space="preserve">David</w:t>
      </w:r>
      <w:r>
        <w:t xml:space="preserve"> </w:t>
      </w:r>
      <w:r>
        <w:t xml:space="preserve">Haschka</w:t>
      </w:r>
      <w:r>
        <w:rPr>
          <w:rStyle w:val="FootnoteReference"/>
        </w:rPr>
        <w:footnoteReference w:id="20"/>
      </w:r>
    </w:p>
    <w:p>
      <w:pPr>
        <w:pStyle w:val="Author"/>
      </w:pPr>
      <w:r>
        <w:t xml:space="preserve">Verena</w:t>
      </w:r>
      <w:r>
        <w:t xml:space="preserve"> </w:t>
      </w:r>
      <w:r>
        <w:t xml:space="preserve">Petzer</w:t>
      </w:r>
      <w:r>
        <w:rPr>
          <w:rStyle w:val="FootnoteReference"/>
        </w:rPr>
        <w:footnoteReference w:id="21"/>
      </w:r>
    </w:p>
    <w:p>
      <w:pPr>
        <w:pStyle w:val="Author"/>
      </w:pPr>
      <w:r>
        <w:t xml:space="preserve">Francesco</w:t>
      </w:r>
      <w:r>
        <w:t xml:space="preserve"> </w:t>
      </w:r>
      <w:r>
        <w:t xml:space="preserve">Burkert</w:t>
      </w:r>
      <w:r>
        <w:rPr>
          <w:rStyle w:val="FootnoteReference"/>
        </w:rPr>
        <w:footnoteReference w:id="22"/>
      </w:r>
    </w:p>
    <w:p>
      <w:pPr>
        <w:pStyle w:val="Author"/>
      </w:pPr>
      <w:r>
        <w:t xml:space="preserve">Gernot</w:t>
      </w:r>
      <w:r>
        <w:t xml:space="preserve"> </w:t>
      </w:r>
      <w:r>
        <w:t xml:space="preserve">Fritsche</w:t>
      </w:r>
      <w:r>
        <w:rPr>
          <w:rStyle w:val="FootnoteReference"/>
        </w:rPr>
        <w:footnoteReference w:id="23"/>
      </w:r>
    </w:p>
    <w:p>
      <w:pPr>
        <w:pStyle w:val="Author"/>
      </w:pPr>
      <w:r>
        <w:t xml:space="preserve">Sophie</w:t>
      </w:r>
      <w:r>
        <w:t xml:space="preserve"> </w:t>
      </w:r>
      <w:r>
        <w:t xml:space="preserve">Wildner</w:t>
      </w:r>
      <w:r>
        <w:rPr>
          <w:rStyle w:val="FootnoteReference"/>
        </w:rPr>
        <w:footnoteReference w:id="24"/>
      </w:r>
    </w:p>
    <w:p>
      <w:pPr>
        <w:pStyle w:val="Author"/>
      </w:pPr>
      <w:r>
        <w:t xml:space="preserve">Rosa</w:t>
      </w:r>
      <w:r>
        <w:t xml:space="preserve"> </w:t>
      </w:r>
      <w:r>
        <w:t xml:space="preserve">Bellmann-Weiler</w:t>
      </w:r>
      <w:r>
        <w:rPr>
          <w:rStyle w:val="FootnoteReference"/>
        </w:rPr>
        <w:footnoteReference w:id="25"/>
      </w:r>
    </w:p>
    <w:p>
      <w:pPr>
        <w:pStyle w:val="Author"/>
      </w:pPr>
      <w:r>
        <w:t xml:space="preserve">Dominik</w:t>
      </w:r>
      <w:r>
        <w:t xml:space="preserve"> </w:t>
      </w:r>
      <w:r>
        <w:t xml:space="preserve">Wolf</w:t>
      </w:r>
      <w:r>
        <w:rPr>
          <w:rStyle w:val="FootnoteReference"/>
        </w:rPr>
        <w:footnoteReference w:id="26"/>
      </w:r>
    </w:p>
    <w:p>
      <w:pPr>
        <w:pStyle w:val="Author"/>
      </w:pPr>
      <w:r>
        <w:t xml:space="preserve">Piotr</w:t>
      </w:r>
      <w:r>
        <w:t xml:space="preserve"> </w:t>
      </w:r>
      <w:r>
        <w:t xml:space="preserve">Tymoszuk</w:t>
      </w:r>
      <w:r>
        <w:rPr>
          <w:rStyle w:val="FootnoteReference"/>
        </w:rPr>
        <w:footnoteReference w:id="27"/>
      </w:r>
    </w:p>
    <w:p>
      <w:pPr>
        <w:pStyle w:val="Author"/>
      </w:pPr>
      <w:r>
        <w:t xml:space="preserve">Guenter</w:t>
      </w:r>
      <w:r>
        <w:t xml:space="preserve"> </w:t>
      </w:r>
      <w:r>
        <w:t xml:space="preserve">Weiss</w:t>
      </w:r>
      <w:r>
        <w:rPr>
          <w:rStyle w:val="FootnoteReference"/>
        </w:rPr>
        <w:footnoteReference w:id="28"/>
      </w:r>
    </w:p>
    <w:p>
      <w:pPr>
        <w:pStyle w:val="Date"/>
      </w:pPr>
      <w:r>
        <w:t xml:space="preserve">2022-03-25</w:t>
      </w:r>
    </w:p>
    <w:p>
      <w:r>
        <w:br w:type="page"/>
      </w:r>
    </w:p>
    <w:p>
      <w:pPr>
        <w:pStyle w:val="Heading1"/>
      </w:pPr>
      <w:bookmarkStart w:id="29" w:name="abstract"/>
      <w:r>
        <w:t xml:space="preserve">Abstract</w:t>
      </w:r>
      <w:bookmarkEnd w:id="29"/>
    </w:p>
    <w:p>
      <w:pPr>
        <w:pStyle w:val="FirstParagraph"/>
      </w:pPr>
      <w:r>
        <w:t xml:space="preserve">Severe</w:t>
      </w:r>
      <w:r>
        <w:t xml:space="preserve"> </w:t>
      </w:r>
      <w:r>
        <w:rPr>
          <w:rStyle w:val="Revision"/>
        </w:rPr>
        <w:t xml:space="preserve">coronavirus disease 19 (COVID-19)</w:t>
      </w:r>
      <w:r>
        <w:t xml:space="preserve"> </w:t>
      </w:r>
      <w:r>
        <w:t xml:space="preserve">manifests with systemic immediate pro-inflammatory innate immune activation and altered iron turnover. As iron homeostasis,</w:t>
      </w:r>
      <w:r>
        <w:t xml:space="preserve"> </w:t>
      </w:r>
      <w:r>
        <w:rPr>
          <w:rStyle w:val="Revision"/>
        </w:rPr>
        <w:t xml:space="preserve">differentiation and function of myeloid leukocytes</w:t>
      </w:r>
      <w:r>
        <w:t xml:space="preserve"> </w:t>
      </w:r>
      <w:r>
        <w:t xml:space="preserve">are interconnected we sought to characterize the cellularity, surface marker expression and iron transporter phenotype of neutrophils and monocyte subsets in COVID-19 patients within 72 hours from hospital admission, and how</w:t>
      </w:r>
      <w:r>
        <w:t xml:space="preserve"> </w:t>
      </w:r>
      <w:r>
        <w:rPr>
          <w:rStyle w:val="Revision"/>
        </w:rPr>
        <w:t xml:space="preserve">these parameters</w:t>
      </w:r>
      <w:r>
        <w:t xml:space="preserve"> </w:t>
      </w:r>
      <w:r>
        <w:t xml:space="preserve">relate to infection severity.</w:t>
      </w:r>
    </w:p>
    <w:p>
      <w:pPr>
        <w:pStyle w:val="TextBody"/>
      </w:pPr>
      <w:r>
        <w:t xml:space="preserve">Between March and November 2020, blood leukocyte samples from</w:t>
      </w:r>
      <w:r>
        <w:t xml:space="preserve"> </w:t>
      </w:r>
      <w:r>
        <w:rPr>
          <w:rStyle w:val="Revision"/>
        </w:rPr>
        <w:t xml:space="preserve">hospitalized</w:t>
      </w:r>
      <w:r>
        <w:t xml:space="preserve"> </w:t>
      </w:r>
      <w:r>
        <w:t xml:space="preserve">COVID-19 patients</w:t>
      </w:r>
      <w:r>
        <w:t xml:space="preserve"> </w:t>
      </w:r>
      <w:r>
        <w:rPr>
          <w:rStyle w:val="Revision"/>
        </w:rPr>
        <w:t xml:space="preserve">(n = 48)</w:t>
      </w:r>
      <w:r>
        <w:t xml:space="preserve"> </w:t>
      </w:r>
      <w:r>
        <w:t xml:space="preserve">and healthy individuals</w:t>
      </w:r>
      <w:r>
        <w:t xml:space="preserve"> </w:t>
      </w:r>
      <w:r>
        <w:rPr>
          <w:rStyle w:val="Revision"/>
        </w:rPr>
        <w:t xml:space="preserve">(n = 7)</w:t>
      </w:r>
      <w:r>
        <w:t xml:space="preserve"> </w:t>
      </w:r>
      <w:r>
        <w:t xml:space="preserve">were analyzed by flow cytometry enabling comparative analysis of 40 features.</w:t>
      </w:r>
      <w:r>
        <w:t xml:space="preserve"> </w:t>
      </w:r>
      <w:r>
        <w:rPr>
          <w:rStyle w:val="Revision"/>
        </w:rPr>
        <w:t xml:space="preserve">Inflammation driven neutrophil expansion, depletion of CD16</w:t>
      </w:r>
      <w:r>
        <w:rPr>
          <w:vertAlign w:val="superscript"/>
          <w:rStyle w:val="Revision"/>
        </w:rPr>
        <w:t xml:space="preserve">+</w:t>
      </w:r>
      <w:r>
        <w:rPr>
          <w:rStyle w:val="Revision"/>
        </w:rPr>
        <w:t xml:space="preserve"> </w:t>
      </w:r>
      <w:r>
        <w:rPr>
          <w:rStyle w:val="Revision"/>
        </w:rPr>
        <w:t xml:space="preserve">non-classical monocytes and changes in surface expression of neutrophil and monocyte CD64 and CD86 were associated with COVID-19 severity. By unsupervised self-organizing map clustering, four patterns of innate myeloid response were identified and linked to varying levels of systemic inflammation, altered cellular iron trafficking and the severity of disease.</w:t>
      </w:r>
      <w:r>
        <w:t xml:space="preserve"> </w:t>
      </w:r>
      <w:r>
        <w:t xml:space="preserve">These alterations of the myeloid leukocyte compartment</w:t>
      </w:r>
      <w:r>
        <w:t xml:space="preserve"> </w:t>
      </w:r>
      <w:r>
        <w:rPr>
          <w:rStyle w:val="Revision"/>
        </w:rPr>
        <w:t xml:space="preserve">during acute COVID-19</w:t>
      </w:r>
      <w:r>
        <w:t xml:space="preserve"> </w:t>
      </w:r>
      <w:r>
        <w:t xml:space="preserve">may be hallmarks of inefficient viral control and</w:t>
      </w:r>
      <w:r>
        <w:br/>
      </w:r>
      <w:r>
        <w:rPr>
          <w:rStyle w:val="Revision"/>
        </w:rPr>
        <w:t xml:space="preserve">immune hyper-activation and may</w:t>
      </w:r>
      <w:r>
        <w:t xml:space="preserve"> </w:t>
      </w:r>
      <w:r>
        <w:t xml:space="preserve">and help at risk prediction and treatment</w:t>
      </w:r>
      <w:r>
        <w:t xml:space="preserve"> </w:t>
      </w:r>
      <w:r>
        <w:rPr>
          <w:rStyle w:val="Revision"/>
        </w:rPr>
        <w:t xml:space="preserve">optimization.</w:t>
      </w:r>
    </w:p>
    <w:p>
      <w:r>
        <w:br w:type="page"/>
      </w:r>
    </w:p>
    <w:p>
      <w:pPr>
        <w:pStyle w:val="Heading1"/>
      </w:pPr>
      <w:bookmarkStart w:id="30" w:name="introduction"/>
      <w:r>
        <w:t xml:space="preserve">Introduction</w:t>
      </w:r>
      <w:bookmarkEnd w:id="30"/>
    </w:p>
    <w:p>
      <w:pPr>
        <w:pStyle w:val="FirstParagraph"/>
      </w:pPr>
      <w:r>
        <w:t xml:space="preserve">Since late 2019, the</w:t>
      </w:r>
      <w:r>
        <w:t xml:space="preserve"> </w:t>
      </w:r>
      <w:r>
        <w:rPr>
          <w:rStyle w:val="Revision"/>
        </w:rPr>
        <w:t xml:space="preserve">SARS-CoV-2 pandemic</w:t>
      </w:r>
      <w:r>
        <w:t xml:space="preserve"> </w:t>
      </w:r>
      <w:r>
        <w:t xml:space="preserve">has resulted in a global health crisis.</w:t>
      </w:r>
      <w:r>
        <w:t xml:space="preserve"> </w:t>
      </w:r>
      <w:r>
        <w:rPr>
          <w:rStyle w:val="Revision"/>
        </w:rPr>
        <w:t xml:space="preserve">As of March 2022, more than 472 million infections and over 6.1 million COVID-19 deaths</w:t>
      </w:r>
      <w:r>
        <w:t xml:space="preserve"> </w:t>
      </w:r>
      <w:r>
        <w:t xml:space="preserve">were documented</w:t>
      </w:r>
      <w:r>
        <w:t xml:space="preserve"> </w:t>
      </w:r>
      <w:r>
        <w:t xml:space="preserve">[1]</w:t>
      </w:r>
      <w:r>
        <w:t xml:space="preserve">.</w:t>
      </w:r>
      <w:r>
        <w:t xml:space="preserve"> </w:t>
      </w:r>
      <w:r>
        <w:t xml:space="preserve">COVID-19 is characterized by a heterogeneous clinical manifestation and divergent courses of the disease</w:t>
      </w:r>
      <w:r>
        <w:t xml:space="preserve"> </w:t>
      </w:r>
      <w:r>
        <w:t xml:space="preserve">[2]</w:t>
      </w:r>
      <w:r>
        <w:t xml:space="preserve">. This ranges from asymptomatic</w:t>
      </w:r>
      <w:r>
        <w:t xml:space="preserve"> </w:t>
      </w:r>
      <w:r>
        <w:rPr>
          <w:rStyle w:val="Revision"/>
        </w:rPr>
        <w:t xml:space="preserve">infection, to ambulatory disease with wide-ranged flu-like complaints, up to severe respiratory or multi-organ failure</w:t>
      </w:r>
      <w:r>
        <w:t xml:space="preserve">,</w:t>
      </w:r>
      <w:r>
        <w:t xml:space="preserve"> </w:t>
      </w:r>
      <w:r>
        <w:t xml:space="preserve">requiring hospitalization and treatment at intensive care unit</w:t>
      </w:r>
      <w:r>
        <w:t xml:space="preserve"> </w:t>
      </w:r>
      <w:r>
        <w:t xml:space="preserve">[2]–[4]</w:t>
      </w:r>
      <w:r>
        <w:t xml:space="preserve">.</w:t>
      </w:r>
      <w:r>
        <w:t xml:space="preserve"> </w:t>
      </w:r>
      <w:r>
        <w:t xml:space="preserve">Especially in the latter cases, an excessive over-stimulation of the immune system, likewise driven by an impaired immune control of viral replication leads to a</w:t>
      </w:r>
      <w:r>
        <w:t xml:space="preserve"> </w:t>
      </w:r>
      <w:r>
        <w:t xml:space="preserve">‘</w:t>
      </w:r>
      <w:r>
        <w:t xml:space="preserve">cytokine release syndrome</w:t>
      </w:r>
      <w:r>
        <w:t xml:space="preserve">’</w:t>
      </w:r>
      <w:r>
        <w:t xml:space="preserve"> </w:t>
      </w:r>
      <w:r>
        <w:t xml:space="preserve">with subsequent organ damage</w:t>
      </w:r>
      <w:r>
        <w:t xml:space="preserve"> </w:t>
      </w:r>
      <w:r>
        <w:t xml:space="preserve">[5],[6]</w:t>
      </w:r>
      <w:r>
        <w:t xml:space="preserve">. Specifically, low levels of CD4</w:t>
      </w:r>
      <w:r>
        <w:rPr>
          <w:vertAlign w:val="superscript"/>
        </w:rPr>
        <w:t xml:space="preserve">+</w:t>
      </w:r>
      <w:r>
        <w:t xml:space="preserve"> </w:t>
      </w:r>
      <w:r>
        <w:t xml:space="preserve">and CD8</w:t>
      </w:r>
      <w:r>
        <w:rPr>
          <w:vertAlign w:val="superscript"/>
        </w:rPr>
        <w:t xml:space="preserve">+</w:t>
      </w:r>
      <w:r>
        <w:t xml:space="preserve"> </w:t>
      </w:r>
      <w:r>
        <w:t xml:space="preserve">cells,</w:t>
      </w:r>
      <w:r>
        <w:t xml:space="preserve"> </w:t>
      </w:r>
      <w:r>
        <w:rPr>
          <w:rStyle w:val="Revision"/>
        </w:rPr>
        <w:t xml:space="preserve">impaired anti-viral type I interferon response</w:t>
      </w:r>
      <w:r>
        <w:br/>
      </w:r>
      <w:r>
        <w:rPr>
          <w:rStyle w:val="Revision"/>
        </w:rPr>
        <w:t xml:space="preserve">and polymorphisms in the genes involved in antigen presentation and immune cell communication were associated with the risk of severe COVID-19</w:t>
      </w:r>
      <w:r>
        <w:t xml:space="preserve"> </w:t>
      </w:r>
      <w:r>
        <w:t xml:space="preserve">[7]–[10]</w:t>
      </w:r>
      <w:r>
        <w:t xml:space="preserve">.</w:t>
      </w:r>
      <w:r>
        <w:t xml:space="preserve"> </w:t>
      </w:r>
      <w:r>
        <w:t xml:space="preserve">Furthermore, aberrant monocyte and neutrophil accumulation along with systemic inflammation</w:t>
      </w:r>
      <w:r>
        <w:t xml:space="preserve"> </w:t>
      </w:r>
      <w:r>
        <w:rPr>
          <w:rStyle w:val="Revision"/>
        </w:rPr>
        <w:t xml:space="preserve">and altered systemic iron homeostasis have been linked to the disease severity and a poor prognosis</w:t>
      </w:r>
      <w:r>
        <w:t xml:space="preserve"> </w:t>
      </w:r>
      <w:r>
        <w:t xml:space="preserve">[11]–[20]</w:t>
      </w:r>
      <w:r>
        <w:t xml:space="preserve">. This pertains to the key role of</w:t>
      </w:r>
      <w:r>
        <w:t xml:space="preserve"> </w:t>
      </w:r>
      <w:r>
        <w:rPr>
          <w:rStyle w:val="Revision"/>
        </w:rPr>
        <w:t xml:space="preserve">myeloid leukocytes, i. e. macrophages, monocytes and neutrophils in the SARS-CoV-2 pathogen control and orchestration of the inflammatory response</w:t>
      </w:r>
      <w:r>
        <w:t xml:space="preserve"> </w:t>
      </w:r>
      <w:r>
        <w:t xml:space="preserve">[13],[16],[17],[21]–[24]</w:t>
      </w:r>
      <w:r>
        <w:t xml:space="preserve">.</w:t>
      </w:r>
      <w:r>
        <w:t xml:space="preserve"> </w:t>
      </w:r>
      <w:r>
        <w:rPr>
          <w:rStyle w:val="Revision"/>
        </w:rPr>
        <w:t xml:space="preserve">In addition, monocytes/macrophages play an important role in the orchestration of iron homeostasis, and inflammatory processes result in macrophage/monocyte iron retention whereas iron exerts distinct effect on macrophage polarization and immune effector functions</w:t>
      </w:r>
      <w:r>
        <w:rPr>
          <w:rStyle w:val="Revision"/>
        </w:rPr>
        <w:t xml:space="preserve"> </w:t>
      </w:r>
      <w:r>
        <w:rPr>
          <w:rStyle w:val="Revision"/>
        </w:rPr>
        <w:t xml:space="preserve">[25]–[27]</w:t>
      </w:r>
      <w:r>
        <w:rPr>
          <w:rStyle w:val="Revision"/>
        </w:rPr>
        <w:t xml:space="preserve">.</w:t>
      </w:r>
    </w:p>
    <w:p>
      <w:pPr>
        <w:pStyle w:val="TextBody"/>
      </w:pPr>
      <w:r>
        <w:t xml:space="preserve">Human blood monocytes consist of three populations: the major subset of</w:t>
      </w:r>
      <w:r>
        <w:t xml:space="preserve"> </w:t>
      </w:r>
      <w:r>
        <w:rPr>
          <w:rStyle w:val="Revision"/>
        </w:rPr>
        <w:t xml:space="preserve">CD14</w:t>
      </w:r>
      <w:r>
        <w:rPr>
          <w:vertAlign w:val="superscript"/>
          <w:rStyle w:val="Revision"/>
        </w:rPr>
        <w:t xml:space="preserve">+/high</w:t>
      </w:r>
      <w:r>
        <w:rPr>
          <w:rStyle w:val="Revision"/>
        </w:rPr>
        <w:t xml:space="preserve"> </w:t>
      </w:r>
      <w:r>
        <w:rPr>
          <w:rStyle w:val="Revision"/>
        </w:rPr>
        <w:t xml:space="preserve">CD16</w:t>
      </w:r>
      <w:r>
        <w:rPr>
          <w:vertAlign w:val="superscript"/>
          <w:rStyle w:val="Revision"/>
        </w:rPr>
        <w:t xml:space="preserve">-/low</w:t>
      </w:r>
      <w:r>
        <w:rPr>
          <w:rStyle w:val="Revision"/>
        </w:rPr>
        <w:t xml:space="preserve"> </w:t>
      </w:r>
      <w:r>
        <w:rPr>
          <w:rStyle w:val="Revision"/>
        </w:rPr>
        <w:t xml:space="preserve">classical cells and substantially</w:t>
      </w:r>
      <w:r>
        <w:t xml:space="preserve"> </w:t>
      </w:r>
      <w:r>
        <w:t xml:space="preserve">less abundant CD14</w:t>
      </w:r>
      <w:r>
        <w:rPr>
          <w:vertAlign w:val="superscript"/>
        </w:rPr>
        <w:t xml:space="preserve">+/high</w:t>
      </w:r>
      <w:r>
        <w:t xml:space="preserve"> </w:t>
      </w:r>
      <w:r>
        <w:t xml:space="preserve">CD16</w:t>
      </w:r>
      <w:r>
        <w:rPr>
          <w:vertAlign w:val="superscript"/>
        </w:rPr>
        <w:t xml:space="preserve">+/high</w:t>
      </w:r>
      <w:r>
        <w:t xml:space="preserve"> </w:t>
      </w:r>
      <w:r>
        <w:t xml:space="preserve">intermediate and CD14</w:t>
      </w:r>
      <w:r>
        <w:rPr>
          <w:vertAlign w:val="superscript"/>
        </w:rPr>
        <w:t xml:space="preserve">-/low</w:t>
      </w:r>
      <w:r>
        <w:t xml:space="preserve"> </w:t>
      </w:r>
      <w:r>
        <w:t xml:space="preserve">CD16</w:t>
      </w:r>
      <w:r>
        <w:rPr>
          <w:vertAlign w:val="superscript"/>
        </w:rPr>
        <w:t xml:space="preserve">+/high</w:t>
      </w:r>
      <w:r>
        <w:t xml:space="preserve"> </w:t>
      </w:r>
      <w:r>
        <w:t xml:space="preserve">non-classical monocytes</w:t>
      </w:r>
      <w:r>
        <w:t xml:space="preserve"> </w:t>
      </w:r>
      <w:r>
        <w:t xml:space="preserve">[28]</w:t>
      </w:r>
      <w:r>
        <w:t xml:space="preserve">. These subsets display differences in the pattern to activating stimuli and</w:t>
      </w:r>
      <w:r>
        <w:t xml:space="preserve"> </w:t>
      </w:r>
      <w:r>
        <w:rPr>
          <w:rStyle w:val="Revision"/>
        </w:rPr>
        <w:t xml:space="preserve">immune effector functions</w:t>
      </w:r>
      <w:r>
        <w:t xml:space="preserve"> </w:t>
      </w:r>
      <w:r>
        <w:t xml:space="preserve">such as phagocytosis, antigen presentation and cytokine production</w:t>
      </w:r>
      <w:r>
        <w:t xml:space="preserve"> </w:t>
      </w:r>
      <w:r>
        <w:t xml:space="preserve">[28]</w:t>
      </w:r>
      <w:r>
        <w:t xml:space="preserve">. Alterations in the monocyte subset</w:t>
      </w:r>
      <w:r>
        <w:t xml:space="preserve"> </w:t>
      </w:r>
      <w:r>
        <w:t xml:space="preserve">distribution and surface molecule repertoire</w:t>
      </w:r>
      <w:r>
        <w:t xml:space="preserve"> </w:t>
      </w:r>
      <w:r>
        <w:t xml:space="preserve">were observed in multiple inflammatory conditions including COVID-19 and were proposed to correlate with the disease course and prognosis</w:t>
      </w:r>
      <w:r>
        <w:t xml:space="preserve"> </w:t>
      </w:r>
      <w:r>
        <w:t xml:space="preserve">[11],[15]–[18],[21]–[23],[28]–[33]</w:t>
      </w:r>
      <w:r>
        <w:t xml:space="preserve">.</w:t>
      </w:r>
    </w:p>
    <w:p>
      <w:pPr>
        <w:pStyle w:val="TextBody"/>
      </w:pPr>
      <w:r>
        <w:t xml:space="preserve">From the clinical and immunological point of view there is an ongoing search for markers</w:t>
      </w:r>
      <w:r>
        <w:t xml:space="preserve"> </w:t>
      </w:r>
      <w:r>
        <w:rPr>
          <w:rStyle w:val="Revision"/>
        </w:rPr>
        <w:t xml:space="preserve">characterizing</w:t>
      </w:r>
      <w:r>
        <w:t xml:space="preserve"> </w:t>
      </w:r>
      <w:r>
        <w:t xml:space="preserve">the clinical course of</w:t>
      </w:r>
      <w:r>
        <w:t xml:space="preserve"> </w:t>
      </w:r>
      <w:r>
        <w:rPr>
          <w:rStyle w:val="Revision"/>
        </w:rPr>
        <w:t xml:space="preserve">COVID-19 as well as the protective and pathological immune response to the pathogen.</w:t>
      </w:r>
      <w:r>
        <w:t xml:space="preserve"> </w:t>
      </w:r>
      <w:r>
        <w:rPr>
          <w:rStyle w:val="Revision"/>
        </w:rPr>
        <w:t xml:space="preserve">Herein we investigated the surface molecule repertoire of myeloid innate immune cells from hospitalized COVID-19 patients by flow cytometry and linked the surface phenotype to the disease severity and patterns of systemic inflammation and iron turnover by self-organizing map clustering</w:t>
      </w:r>
      <w:r>
        <w:rPr>
          <w:rStyle w:val="Revision"/>
        </w:rPr>
        <w:t xml:space="preserve"> </w:t>
      </w:r>
      <w:r>
        <w:rPr>
          <w:rStyle w:val="Revision"/>
        </w:rPr>
        <w:t xml:space="preserve">[34],[35]</w:t>
      </w:r>
      <w:r>
        <w:rPr>
          <w:rStyle w:val="Revision"/>
        </w:rPr>
        <w:t xml:space="preserve">.</w:t>
      </w:r>
    </w:p>
    <w:p>
      <w:r>
        <w:br w:type="page"/>
      </w:r>
    </w:p>
    <w:p>
      <w:pPr>
        <w:pStyle w:val="Heading1"/>
      </w:pPr>
      <w:bookmarkStart w:id="31" w:name="results"/>
      <w:r>
        <w:t xml:space="preserve">Results</w:t>
      </w:r>
      <w:bookmarkEnd w:id="31"/>
    </w:p>
    <w:p>
      <w:pPr>
        <w:pStyle w:val="Heading2"/>
      </w:pPr>
      <w:bookmarkStart w:id="32" w:name="study-cohort"/>
      <w:r>
        <w:t xml:space="preserve">Study cohort</w:t>
      </w:r>
      <w:bookmarkEnd w:id="32"/>
    </w:p>
    <w:p>
      <w:pPr>
        <w:pStyle w:val="FirstParagraph"/>
      </w:pPr>
      <w:r>
        <w:t xml:space="preserve">The study was conducted between March and November 2020 and</w:t>
      </w:r>
      <w:r>
        <w:t xml:space="preserve"> </w:t>
      </w:r>
      <w:r>
        <w:rPr>
          <w:rStyle w:val="Revision"/>
        </w:rPr>
        <w:t xml:space="preserve">encompassed healthy controls (n = 7)</w:t>
      </w:r>
      <w:r>
        <w:t xml:space="preserve"> </w:t>
      </w:r>
      <w:r>
        <w:t xml:space="preserve">and hospitalized COVID-19 patients (n = 53 enrolled) whose blood myeloid compartment was analyzed by flow cytometry within 72 hours from hospital admission</w:t>
      </w:r>
      <w:r>
        <w:t xml:space="preserve"> </w:t>
      </w:r>
      <w:r>
        <w:rPr>
          <w:rStyle w:val="Revision"/>
        </w:rPr>
        <w:t xml:space="preserve">(</w:t>
      </w:r>
      <w:r>
        <w:rPr>
          <w:b/>
          <w:rStyle w:val="Revision"/>
        </w:rPr>
        <w:t xml:space="preserve">Supplementary Figure S1</w:t>
      </w:r>
      <w:r>
        <w:rPr>
          <w:rStyle w:val="Revision"/>
        </w:rPr>
        <w:t xml:space="preserve"> </w:t>
      </w:r>
      <w:r>
        <w:rPr>
          <w:rStyle w:val="Revision"/>
        </w:rPr>
        <w:t xml:space="preserve">and</w:t>
      </w:r>
      <w:r>
        <w:rPr>
          <w:rStyle w:val="Revision"/>
        </w:rPr>
        <w:t xml:space="preserve"> </w:t>
      </w:r>
      <w:r>
        <w:rPr>
          <w:b/>
          <w:rStyle w:val="Revision"/>
        </w:rPr>
        <w:t xml:space="preserve">S2</w:t>
      </w:r>
      <w:r>
        <w:rPr>
          <w:rStyle w:val="Revision"/>
        </w:rPr>
        <w:t xml:space="preserve">)</w:t>
      </w:r>
      <w:r>
        <w:t xml:space="preserve">.</w:t>
      </w:r>
      <w:r>
        <w:t xml:space="preserve"> </w:t>
      </w:r>
      <w:r>
        <w:rPr>
          <w:rStyle w:val="Revision"/>
        </w:rPr>
        <w:t xml:space="preserve">Due to insufficient flow cytometry sample quality, 5 COVID-19 patients were excluded from further analysis. Finally, samples from 7 healthy controls,</w:t>
      </w:r>
      <w:r>
        <w:rPr>
          <w:rStyle w:val="Revision"/>
        </w:rPr>
        <w:t xml:space="preserve"> </w:t>
      </w:r>
      <w:r>
        <w:rPr>
          <w:rStyle w:val="Revision"/>
        </w:rPr>
        <w:t xml:space="preserve">16 moderate COVID-19 patients not requiring supplemental oxygen therapy during hospitalization (WHO score 3) and 32 severe COVID-19 individuals requiring low/high flow oxygen treatment or mechanical ventilation (WHO score 4 - 6) were available for the analysis (</w:t>
      </w:r>
      <w:r>
        <w:rPr>
          <w:b/>
          <w:rStyle w:val="Revision"/>
        </w:rPr>
        <w:t xml:space="preserve">Figure</w:t>
      </w:r>
      <w:r>
        <w:rPr>
          <w:b/>
          <w:rStyle w:val="Revision"/>
        </w:rPr>
        <w:t xml:space="preserve"> </w:t>
      </w:r>
      <w:r>
        <w:rPr>
          <w:b/>
          <w:rStyle w:val="Revision"/>
        </w:rPr>
        <w:t xml:space="preserve">1</w:t>
      </w:r>
      <w:r>
        <w:rPr>
          <w:rStyle w:val="Revision"/>
        </w:rPr>
        <w:t xml:space="preserve">). Among severe COVID-19 cases, 22% were treated at an intensive care unit and 6.2% deceased during hospitalization.</w:t>
      </w:r>
      <w:r>
        <w:t xml:space="preserve"> </w:t>
      </w:r>
      <w:r>
        <w:t xml:space="preserve">Males constituted 56% of the moderate and 72% of the severe COVID-19 group, the sex distribution difference was not significant.</w:t>
      </w:r>
      <w:r>
        <w:t xml:space="preserve"> </w:t>
      </w:r>
      <w:r>
        <w:rPr>
          <w:rStyle w:val="Revision"/>
        </w:rPr>
        <w:t xml:space="preserve">The median age was significantly different between the healthy controls (36 [IQR: 32 - 42] years), moderate (46 [IQR: 38 - 60] years) and severe COVID-19 patients (71 [IQR: 64 - 79], years) and peaked in the severe COVID-19 group (</w:t>
      </w:r>
      <w:r>
        <w:rPr>
          <w:b/>
          <w:rStyle w:val="Revision"/>
        </w:rPr>
        <w:t xml:space="preserve">Supplementary Table S1</w:t>
      </w:r>
      <w:r>
        <w:rPr>
          <w:rStyle w:val="Revision"/>
        </w:rPr>
        <w:t xml:space="preserve">).</w:t>
      </w:r>
    </w:p>
    <w:p>
      <w:pPr>
        <w:pStyle w:val="Heading2"/>
      </w:pPr>
      <w:bookmarkStart w:id="33" w:name="X3efd35ac394821b1517c4b3de75d84bb1c6428b"/>
      <w:r>
        <w:t xml:space="preserve">Sustained systemic and cellular inflammatory response and iron restriction in COVID-19</w:t>
      </w:r>
      <w:bookmarkEnd w:id="33"/>
    </w:p>
    <w:p>
      <w:pPr>
        <w:pStyle w:val="FirstParagraph"/>
      </w:pPr>
      <w:r>
        <w:t xml:space="preserve">Systemic inflammation, as evidenced by elevated levels of interleukin-6 (IL6), C-reactive protein (CRP) and neopterin,</w:t>
      </w:r>
      <w:r>
        <w:t xml:space="preserve"> </w:t>
      </w:r>
      <w:r>
        <w:rPr>
          <w:rStyle w:val="Revision"/>
        </w:rPr>
        <w:t xml:space="preserve">was present in hospitalized COVID-19 individuals and was</w:t>
      </w:r>
      <w:r>
        <w:t xml:space="preserve"> </w:t>
      </w:r>
      <w:r>
        <w:t xml:space="preserve">linked to a poor outcome</w:t>
      </w:r>
      <w:r>
        <w:t xml:space="preserve"> </w:t>
      </w:r>
      <w:r>
        <w:t xml:space="preserve">[12],[14]–[16]</w:t>
      </w:r>
      <w:r>
        <w:t xml:space="preserve">. In our study cohort,</w:t>
      </w:r>
      <w:r>
        <w:t xml:space="preserve"> </w:t>
      </w:r>
      <w:r>
        <w:rPr>
          <w:rStyle w:val="Revision"/>
        </w:rPr>
        <w:t xml:space="preserve">plasma IL6, CRP and neopterin concentrations at admission were significantly higher in patients developing severe COVID-19 than in subjects with moderate disease as described previously</w:t>
      </w:r>
      <w:r>
        <w:rPr>
          <w:rStyle w:val="Revision"/>
        </w:rPr>
        <w:t xml:space="preserve"> </w:t>
      </w:r>
      <w:r>
        <w:rPr>
          <w:rStyle w:val="Revision"/>
        </w:rPr>
        <w:t xml:space="preserve">[12]</w:t>
      </w:r>
      <w:r>
        <w:rPr>
          <w:rStyle w:val="Revision"/>
        </w:rPr>
        <w:t xml:space="preserve"> </w:t>
      </w:r>
      <w:r>
        <w:rPr>
          <w:rStyle w:val="Revision"/>
        </w:rPr>
        <w:t xml:space="preserve">(</w:t>
      </w:r>
      <w:r>
        <w:rPr>
          <w:b/>
          <w:rStyle w:val="Revision"/>
        </w:rPr>
        <w:t xml:space="preserve">Supplementary Figure S3A</w:t>
      </w:r>
      <w:r>
        <w:rPr>
          <w:rStyle w:val="Revision"/>
        </w:rPr>
        <w:t xml:space="preserve">).</w:t>
      </w:r>
      <w:r>
        <w:t xml:space="preserve"> </w:t>
      </w:r>
      <w:r>
        <w:rPr>
          <w:rStyle w:val="Revision"/>
        </w:rPr>
        <w:t xml:space="preserve">These differences in inflammatory markers was paralleled by significantly reduced circulating iron concentrations, transferrin saturation and elevated circulating ferritin levels in severe COVID-19 as compared with the moderate group (</w:t>
      </w:r>
      <w:r>
        <w:rPr>
          <w:b/>
          <w:rStyle w:val="Revision"/>
        </w:rPr>
        <w:t xml:space="preserve">Supplementary Figure S3B</w:t>
      </w:r>
      <w:r>
        <w:rPr>
          <w:rStyle w:val="Revision"/>
        </w:rPr>
        <w:t xml:space="preserve">). Such phenomenon reflects iron restriction in response to a severe infection, reported previously for COVID-19</w:t>
      </w:r>
      <w:r>
        <w:rPr>
          <w:rStyle w:val="Revision"/>
        </w:rPr>
        <w:t xml:space="preserve"> </w:t>
      </w:r>
      <w:r>
        <w:rPr>
          <w:rStyle w:val="Revision"/>
        </w:rPr>
        <w:t xml:space="preserve">[16],[20],[36]–[39]</w:t>
      </w:r>
      <w:r>
        <w:rPr>
          <w:rStyle w:val="Revision"/>
        </w:rPr>
        <w:t xml:space="preserve">.</w:t>
      </w:r>
    </w:p>
    <w:p>
      <w:pPr>
        <w:pStyle w:val="Heading2"/>
      </w:pPr>
      <w:bookmarkStart w:id="34" w:name="Xc4d048765e5a249a34535fe2ffc2bffd770e914"/>
      <w:r>
        <w:t xml:space="preserve">Alterations of the myeloid compartment composition and surface phenotype in healthy volunteers, moderate and severe COVID-19 patients</w:t>
      </w:r>
      <w:bookmarkEnd w:id="34"/>
    </w:p>
    <w:p>
      <w:pPr>
        <w:pStyle w:val="FirstParagraph"/>
      </w:pPr>
      <w:r>
        <w:t xml:space="preserve">Next, we investigated how this systemic inflammatory and</w:t>
      </w:r>
      <w:r>
        <w:t xml:space="preserve"> </w:t>
      </w:r>
      <w:r>
        <w:rPr>
          <w:rStyle w:val="Revision"/>
        </w:rPr>
        <w:t xml:space="preserve">iron-restricted</w:t>
      </w:r>
      <w:r>
        <w:t xml:space="preserve"> </w:t>
      </w:r>
      <w:r>
        <w:t xml:space="preserve">milieu shapes the composition,</w:t>
      </w:r>
      <w:r>
        <w:t xml:space="preserve"> </w:t>
      </w:r>
      <w:r>
        <w:rPr>
          <w:rStyle w:val="Revision"/>
        </w:rPr>
        <w:t xml:space="preserve">inflammatory and iron transporter protein repertoire</w:t>
      </w:r>
      <w:r>
        <w:t xml:space="preserve"> </w:t>
      </w:r>
      <w:r>
        <w:t xml:space="preserve">of myeloid leukocytes</w:t>
      </w:r>
      <w:r>
        <w:t xml:space="preserve"> </w:t>
      </w:r>
      <w:r>
        <w:t xml:space="preserve">[26],[40]</w:t>
      </w:r>
      <w:r>
        <w:t xml:space="preserve">.</w:t>
      </w:r>
      <w:r>
        <w:t xml:space="preserve"> </w:t>
      </w:r>
      <w:r>
        <w:rPr>
          <w:rStyle w:val="Revision"/>
        </w:rPr>
        <w:t xml:space="preserve">To this end, we analyzed the whole blood monocyte and neutrophil compartment of healthy controls and COVID-19 patients within 72 hours of hospital admission with multi-color flow cytometry (</w:t>
      </w:r>
      <w:r>
        <w:rPr>
          <w:b/>
          <w:rStyle w:val="Revision"/>
        </w:rPr>
        <w:t xml:space="preserve">Supplementary Table S2</w:t>
      </w:r>
      <w:r>
        <w:rPr>
          <w:rStyle w:val="Revision"/>
        </w:rPr>
        <w:t xml:space="preserve">). Neutrophils were defined within the lymphocyte lineage-negative leukocyte population (Lin</w:t>
      </w:r>
      <w:r>
        <w:rPr>
          <w:vertAlign w:val="superscript"/>
          <w:rStyle w:val="Revision"/>
        </w:rPr>
        <w:t xml:space="preserve">-</w:t>
      </w:r>
      <w:r>
        <w:rPr>
          <w:rStyle w:val="Revision"/>
        </w:rPr>
        <w:t xml:space="preserve">: CD3</w:t>
      </w:r>
      <w:r>
        <w:rPr>
          <w:vertAlign w:val="superscript"/>
          <w:rStyle w:val="Revision"/>
        </w:rPr>
        <w:t xml:space="preserve">-</w:t>
      </w:r>
      <w:r>
        <w:rPr>
          <w:rStyle w:val="Revision"/>
        </w:rPr>
        <w:t xml:space="preserve"> </w:t>
      </w:r>
      <w:r>
        <w:rPr>
          <w:rStyle w:val="Revision"/>
        </w:rPr>
        <w:t xml:space="preserve">CD19</w:t>
      </w:r>
      <w:r>
        <w:rPr>
          <w:vertAlign w:val="superscript"/>
          <w:rStyle w:val="Revision"/>
        </w:rPr>
        <w:t xml:space="preserve">-</w:t>
      </w:r>
      <w:r>
        <w:rPr>
          <w:rStyle w:val="Revision"/>
        </w:rPr>
        <w:t xml:space="preserve"> </w:t>
      </w:r>
      <w:r>
        <w:rPr>
          <w:rStyle w:val="Revision"/>
        </w:rPr>
        <w:t xml:space="preserve">CD56</w:t>
      </w:r>
      <w:r>
        <w:rPr>
          <w:vertAlign w:val="superscript"/>
          <w:rStyle w:val="Revision"/>
        </w:rPr>
        <w:t xml:space="preserve">-</w:t>
      </w:r>
      <w:r>
        <w:rPr>
          <w:rStyle w:val="Revision"/>
        </w:rPr>
        <w:t xml:space="preserve">) by logical gating (AND) of the CD16</w:t>
      </w:r>
      <w:r>
        <w:rPr>
          <w:vertAlign w:val="superscript"/>
          <w:rStyle w:val="Revision"/>
        </w:rPr>
        <w:t xml:space="preserve">+</w:t>
      </w:r>
      <w:r>
        <w:rPr>
          <w:rStyle w:val="Revision"/>
        </w:rPr>
        <w:t xml:space="preserve">, CD11b</w:t>
      </w:r>
      <w:r>
        <w:rPr>
          <w:vertAlign w:val="superscript"/>
          <w:rStyle w:val="Revision"/>
        </w:rPr>
        <w:t xml:space="preserve">+</w:t>
      </w:r>
      <w:r>
        <w:rPr>
          <w:rStyle w:val="Revision"/>
        </w:rPr>
        <w:t xml:space="preserve">, CD62L</w:t>
      </w:r>
      <w:r>
        <w:rPr>
          <w:vertAlign w:val="superscript"/>
          <w:rStyle w:val="Revision"/>
        </w:rPr>
        <w:t xml:space="preserve">+</w:t>
      </w:r>
      <w:r>
        <w:rPr>
          <w:rStyle w:val="Revision"/>
        </w:rPr>
        <w:t xml:space="preserve"> </w:t>
      </w:r>
      <w:r>
        <w:rPr>
          <w:rStyle w:val="Revision"/>
        </w:rPr>
        <w:t xml:space="preserve">and SSC</w:t>
      </w:r>
      <w:r>
        <w:rPr>
          <w:vertAlign w:val="superscript"/>
          <w:rStyle w:val="Revision"/>
        </w:rPr>
        <w:t xml:space="preserve">hi</w:t>
      </w:r>
      <w:r>
        <w:rPr>
          <w:rStyle w:val="Revision"/>
        </w:rPr>
        <w:t xml:space="preserve"> </w:t>
      </w:r>
      <w:r>
        <w:rPr>
          <w:rStyle w:val="Revision"/>
        </w:rPr>
        <w:t xml:space="preserve">cells. Monocytes were identified within the non-neutrophil gate by UMAP clustering (uniform manifold approximation and projection)</w:t>
      </w:r>
      <w:r>
        <w:rPr>
          <w:rStyle w:val="Revision"/>
        </w:rPr>
        <w:t xml:space="preserve"> </w:t>
      </w:r>
      <w:r>
        <w:rPr>
          <w:rStyle w:val="Revision"/>
        </w:rPr>
        <w:t xml:space="preserve">[41]</w:t>
      </w:r>
      <w:r>
        <w:rPr>
          <w:rStyle w:val="Revision"/>
        </w:rPr>
        <w:t xml:space="preserve"> </w:t>
      </w:r>
      <w:r>
        <w:rPr>
          <w:rStyle w:val="Revision"/>
        </w:rPr>
        <w:t xml:space="preserve">in respect to CD11b, CD14, CD15, CD16, CD62L, CCR2, CX3CR1 and HLA-DR expression levels (</w:t>
      </w:r>
      <w:r>
        <w:rPr>
          <w:b/>
          <w:rStyle w:val="Revision"/>
        </w:rPr>
        <w:t xml:space="preserve">Supplementary Figure S1</w:t>
      </w:r>
      <w:r>
        <w:rPr>
          <w:rStyle w:val="Revision"/>
        </w:rPr>
        <w:t xml:space="preserve">). Classical, intermediate and non-classical monocyte subsets were defined by differences in CD14, CD16, HLA-DR, CCR2 and CX3CR1 surface levels</w:t>
      </w:r>
      <w:r>
        <w:rPr>
          <w:rStyle w:val="Revision"/>
        </w:rPr>
        <w:t xml:space="preserve"> </w:t>
      </w:r>
      <w:r>
        <w:rPr>
          <w:rStyle w:val="Revision"/>
        </w:rPr>
        <w:t xml:space="preserve">[28]</w:t>
      </w:r>
      <w:r>
        <w:rPr>
          <w:rStyle w:val="Revision"/>
        </w:rPr>
        <w:t xml:space="preserve"> </w:t>
      </w:r>
      <w:r>
        <w:rPr>
          <w:rStyle w:val="Revision"/>
        </w:rPr>
        <w:t xml:space="preserve">within the monocyte cluster cells (</w:t>
      </w:r>
      <w:r>
        <w:rPr>
          <w:b/>
          <w:rStyle w:val="Revision"/>
        </w:rPr>
        <w:t xml:space="preserve">Supplementary Figure S2</w:t>
      </w:r>
      <w:r>
        <w:rPr>
          <w:rStyle w:val="Revision"/>
        </w:rPr>
        <w:t xml:space="preserve">). Of note, the additional markers used to define monocyte populations (HLA-DR, CCR2 and CX3CR1) displayed similar expression differences between classical, intermediate and non-classical cells from healthy donors and COVID-19 patients. No downregulation of HLA-DR levels in classical monocytes, described previously</w:t>
      </w:r>
      <w:r>
        <w:rPr>
          <w:rStyle w:val="Revision"/>
        </w:rPr>
        <w:t xml:space="preserve"> </w:t>
      </w:r>
      <w:r>
        <w:rPr>
          <w:rStyle w:val="Revision"/>
        </w:rPr>
        <w:t xml:space="preserve">[11],[16],[17]</w:t>
      </w:r>
      <w:r>
        <w:rPr>
          <w:rStyle w:val="Revision"/>
        </w:rPr>
        <w:t xml:space="preserve">, could be observed in COVID-19 patients as compared with healthy controls (</w:t>
      </w:r>
      <w:r>
        <w:rPr>
          <w:b/>
          <w:rStyle w:val="Revision"/>
        </w:rPr>
        <w:t xml:space="preserve">Supplementary Figure S4</w:t>
      </w:r>
      <w:r>
        <w:rPr>
          <w:rStyle w:val="Revision"/>
        </w:rPr>
        <w:t xml:space="preserve">). In turn, neutrophil CD14 expression was found significantly different between the study groups and was the highest in moderate COVID-19 individuals (</w:t>
      </w:r>
      <w:r>
        <w:rPr>
          <w:b/>
          <w:rStyle w:val="Revision"/>
        </w:rPr>
        <w:t xml:space="preserve">Supplementary Figure S5</w:t>
      </w:r>
      <w:r>
        <w:rPr>
          <w:rStyle w:val="Revision"/>
        </w:rPr>
        <w:t xml:space="preserve">).</w:t>
      </w:r>
    </w:p>
    <w:p>
      <w:pPr>
        <w:pStyle w:val="TextBody"/>
      </w:pPr>
      <w:r>
        <w:rPr>
          <w:rStyle w:val="Revision"/>
        </w:rPr>
        <w:t xml:space="preserve">A total of 40 features could be measured with our flow cytometry pipeline including the percentages of neutrophils, classical, intermediate and non-classical monocytes as well as isotype staining-controlled surface levels of pro- and anti-inflammatory markers, iron-import protein CD71 (transferrin receptor 1) and iron exporter FPN1 (ferroportin) (</w:t>
      </w:r>
      <w:r>
        <w:rPr>
          <w:b/>
          <w:rStyle w:val="Revision"/>
        </w:rPr>
        <w:t xml:space="preserve">Supplementary Table S3</w:t>
      </w:r>
      <w:r>
        <w:rPr>
          <w:rStyle w:val="Revision"/>
        </w:rPr>
        <w:t xml:space="preserve">). Among them, 10 variables displayed significant differences between healthy controls, moderate and severe COVID-19 cell donors as determined by Kruskal-Wallis test: (1) percentage of lineage-negative cells, (2) neutrophil: lymphocyte ratio (NLR), (3) percentages of non-classical monocytes within the CD45</w:t>
      </w:r>
      <w:r>
        <w:rPr>
          <w:vertAlign w:val="superscript"/>
          <w:rStyle w:val="Revision"/>
        </w:rPr>
        <w:t xml:space="preserve">+</w:t>
      </w:r>
      <w:r>
        <w:rPr>
          <w:rStyle w:val="Revision"/>
        </w:rPr>
        <w:t xml:space="preserve"> </w:t>
      </w:r>
      <w:r>
        <w:rPr>
          <w:rStyle w:val="Revision"/>
        </w:rPr>
        <w:t xml:space="preserve">compartment and (4) pan-monocytes, expression levels of CD64 in (5) neutrophils, (6) classical, (7) intermediate and (8) non-classical monocytes as well as surface CD86 levels in (9) classical and (10) intermediate monocytes (</w:t>
      </w:r>
      <w:r>
        <w:rPr>
          <w:b/>
          <w:rStyle w:val="Revision"/>
        </w:rPr>
        <w:t xml:space="preserve">Figure</w:t>
      </w:r>
      <w:r>
        <w:rPr>
          <w:b/>
          <w:rStyle w:val="Revision"/>
        </w:rPr>
        <w:t xml:space="preserve"> </w:t>
      </w:r>
      <w:r>
        <w:rPr>
          <w:b/>
          <w:rStyle w:val="Revision"/>
        </w:rPr>
        <w:t xml:space="preserve">2</w:t>
      </w:r>
      <w:r>
        <w:rPr>
          <w:rStyle w:val="Revision"/>
        </w:rPr>
        <w:t xml:space="preserve">).</w:t>
      </w:r>
    </w:p>
    <w:p>
      <w:pPr>
        <w:pStyle w:val="TextBody"/>
      </w:pPr>
      <w:r>
        <w:rPr>
          <w:rStyle w:val="Revision"/>
        </w:rPr>
        <w:t xml:space="preserve">More specifically, an expansion of neutrophils at the cost of Lineage-positive lymphocytes could be observed in severe COVID-19 resulting in substantially higher NLR values (median: 2.8 [IQR: 2 - 5.3]) as compared with moderate COVID-19 (1.9 [IQR: 0.82 - 2.6]) or healthy controls (1.6 [IQR: 1.3 - 2.3]) (</w:t>
      </w:r>
      <w:r>
        <w:rPr>
          <w:b/>
          <w:rStyle w:val="Revision"/>
        </w:rPr>
        <w:t xml:space="preserve">Supplementary Figure S6</w:t>
      </w:r>
      <w:r>
        <w:rPr>
          <w:rStyle w:val="Revision"/>
        </w:rPr>
        <w:t xml:space="preserve">). This phenomenon was accompanied by a depletion of the non-classical monocyte subset, which was evident in moderate COVID (median % of pan-monocytes: 1.2 [IQR: 0.33 - 7.7]) and significant in the severe disease (1.2 [IQR: 0.33 - 7.7]) as compared with healthy cell donors (7 [IQR: 6.7 - 9]). In addition, the intermediate monocyte compartment was substantially, yet not significantly, larger in COVID-19 patients (median, % of CD45</w:t>
      </w:r>
      <w:r>
        <w:rPr>
          <w:vertAlign w:val="superscript"/>
          <w:rStyle w:val="Revision"/>
        </w:rPr>
        <w:t xml:space="preserve">+</w:t>
      </w:r>
      <w:r>
        <w:rPr>
          <w:rStyle w:val="Revision"/>
        </w:rPr>
        <w:t xml:space="preserve"> </w:t>
      </w:r>
      <w:r>
        <w:rPr>
          <w:rStyle w:val="Revision"/>
        </w:rPr>
        <w:t xml:space="preserve">cells, moderate: 5.6 [IQR: 3.4 - 7.8], severe: 5.1 [IQR: 3.7 - 8.7]) than in control individuals (2.1 [IQR: 2 - 2.6]) (</w:t>
      </w:r>
      <w:r>
        <w:rPr>
          <w:b/>
          <w:rStyle w:val="Revision"/>
        </w:rPr>
        <w:t xml:space="preserve">Figure</w:t>
      </w:r>
      <w:r>
        <w:rPr>
          <w:b/>
          <w:rStyle w:val="Revision"/>
        </w:rPr>
        <w:t xml:space="preserve"> </w:t>
      </w:r>
      <w:r>
        <w:rPr>
          <w:b/>
          <w:rStyle w:val="Revision"/>
        </w:rPr>
        <w:t xml:space="preserve">3</w:t>
      </w:r>
      <w:r>
        <w:rPr>
          <w:rStyle w:val="Revision"/>
        </w:rPr>
        <w:t xml:space="preserve">). Of note, neutrophil expansion</w:t>
      </w:r>
      <w:r>
        <w:rPr>
          <w:rStyle w:val="Revision"/>
        </w:rPr>
        <w:t xml:space="preserve"> </w:t>
      </w:r>
      <w:r>
        <w:rPr>
          <w:rStyle w:val="Revision"/>
        </w:rPr>
        <w:t xml:space="preserve">[14],[16]–[19]</w:t>
      </w:r>
      <w:r>
        <w:rPr>
          <w:rStyle w:val="Revision"/>
        </w:rPr>
        <w:t xml:space="preserve"> </w:t>
      </w:r>
      <w:r>
        <w:rPr>
          <w:rStyle w:val="Revision"/>
        </w:rPr>
        <w:t xml:space="preserve">along with a profound reduction of non-classical monocyte levels</w:t>
      </w:r>
      <w:r>
        <w:rPr>
          <w:rStyle w:val="Revision"/>
        </w:rPr>
        <w:t xml:space="preserve"> </w:t>
      </w:r>
      <w:r>
        <w:rPr>
          <w:rStyle w:val="Revision"/>
        </w:rPr>
        <w:t xml:space="preserve">[11],[15]–[18],[21]–[23],[31]–[33]</w:t>
      </w:r>
      <w:r>
        <w:rPr>
          <w:rStyle w:val="Revision"/>
        </w:rPr>
        <w:t xml:space="preserve"> </w:t>
      </w:r>
      <w:r>
        <w:rPr>
          <w:rStyle w:val="Revision"/>
        </w:rPr>
        <w:t xml:space="preserve">has been described as a characteristic of acute COVID-19.</w:t>
      </w:r>
    </w:p>
    <w:p>
      <w:pPr>
        <w:pStyle w:val="TextBody"/>
      </w:pPr>
      <w:r>
        <w:t xml:space="preserve">The neutrophil CD64 was virtually absent in healthy controls (median</w:t>
      </w:r>
      <w:r>
        <w:t xml:space="preserve"> </w:t>
      </w:r>
      <m:oMath>
        <m:r>
          <m:t>Δ</m:t>
        </m:r>
      </m:oMath>
      <w:r>
        <w:t xml:space="preserve">MFI: 180 [IQR: 66 - 700]) but highly expressed in moderate (1000 [IQR: 730 - 2000]) and severe COVID-19 (2600 [IQR: 980 - 4300]).</w:t>
      </w:r>
      <w:r>
        <w:t xml:space="preserve"> </w:t>
      </w:r>
      <w:r>
        <w:t xml:space="preserve">A similar pattern of CD64 regulation was discerned for classical (median</w:t>
      </w:r>
      <w:r>
        <w:t xml:space="preserve"> </w:t>
      </w:r>
      <m:oMath>
        <m:r>
          <m:t>Δ</m:t>
        </m:r>
      </m:oMath>
      <w:r>
        <w:t xml:space="preserve">MFI, healthy: 42000 [IQR: 35000 - 45000], moderate: 81000 [IQR: 45000 - 150000], severe: 110000 [IQR: 68000 - 120000]) and intermediate monocytes (median</w:t>
      </w:r>
      <w:r>
        <w:t xml:space="preserve"> </w:t>
      </w:r>
      <m:oMath>
        <m:r>
          <m:t>Δ</m:t>
        </m:r>
      </m:oMath>
      <w:r>
        <w:t xml:space="preserve">MFI, healthy: 23000 [IQR: 19000 - 25000], moderate: 61000 [IQR: 33000 - 86000], severe: 85000 [IQR: 65000 - 110000]), which, however, expressed this FC</w:t>
      </w:r>
      <m:oMath>
        <m:r>
          <m:t>γ</m:t>
        </m:r>
      </m:oMath>
      <w:r>
        <w:t xml:space="preserve"> </w:t>
      </w:r>
      <w:r>
        <w:t xml:space="preserve">receptor at high levels also in non-infected controls</w:t>
      </w:r>
      <w:r>
        <w:t xml:space="preserve"> </w:t>
      </w:r>
      <w:r>
        <w:rPr>
          <w:rStyle w:val="Revision"/>
        </w:rPr>
        <w:t xml:space="preserve">(</w:t>
      </w:r>
      <w:r>
        <w:rPr>
          <w:b/>
          <w:rStyle w:val="Revision"/>
        </w:rPr>
        <w:t xml:space="preserve">Supplementary Figure S7</w:t>
      </w:r>
      <w:r>
        <w:rPr>
          <w:rStyle w:val="Revision"/>
        </w:rPr>
        <w:t xml:space="preserve">)</w:t>
      </w:r>
      <w:r>
        <w:t xml:space="preserve">.</w:t>
      </w:r>
      <w:r>
        <w:t xml:space="preserve"> </w:t>
      </w:r>
      <w:r>
        <w:t xml:space="preserve">Surface expression of CD86 in classical (median</w:t>
      </w:r>
      <w:r>
        <w:t xml:space="preserve"> </w:t>
      </w:r>
      <m:oMath>
        <m:r>
          <m:t>Δ</m:t>
        </m:r>
      </m:oMath>
      <w:r>
        <w:t xml:space="preserve">MFI, healthy: 6100 [IQR: 4500 - 6700], moderate: 10000 [IQR: 9300 - 17000], severe: 8400 [IQR: 5700 - 11000]) and intermediate monocytes (healthy: 9500 [IQR: 8200 - 12000], moderate: 19000 [IQR: 15000 - 25000], severe: 16000 [IQR: 11000 - 19000]) reached the maximum in moderate COVID-19 patients as compared with healthy controls and severe COVID-19 patients</w:t>
      </w:r>
      <w:r>
        <w:t xml:space="preserve"> </w:t>
      </w:r>
      <w:r>
        <w:rPr>
          <w:rStyle w:val="Revision"/>
        </w:rPr>
        <w:t xml:space="preserve">(</w:t>
      </w:r>
      <w:r>
        <w:rPr>
          <w:b/>
          <w:rStyle w:val="Revision"/>
        </w:rPr>
        <w:t xml:space="preserve">Supplementary Figure S8</w:t>
      </w:r>
      <w:r>
        <w:rPr>
          <w:rStyle w:val="Revision"/>
        </w:rPr>
        <w:t xml:space="preserve">)</w:t>
      </w:r>
      <w:r>
        <w:t xml:space="preserve">.</w:t>
      </w:r>
    </w:p>
    <w:p>
      <w:pPr>
        <w:pStyle w:val="Heading2"/>
      </w:pPr>
      <w:bookmarkStart w:id="35" w:name="Xfe5f3e8dbf58d081284bb61d0dea6ee92a1c0f0"/>
      <w:r>
        <w:t xml:space="preserve">Patterns of innate myloid leukocyte response in acute COVID-19</w:t>
      </w:r>
      <w:bookmarkEnd w:id="35"/>
    </w:p>
    <w:p>
      <w:pPr>
        <w:pStyle w:val="FirstParagraph"/>
      </w:pPr>
      <w:r>
        <w:rPr>
          <w:rStyle w:val="Revision"/>
        </w:rPr>
        <w:t xml:space="preserve"> </w:t>
      </w:r>
      <w:r>
        <w:rPr>
          <w:rStyle w:val="Revision"/>
        </w:rPr>
        <w:t xml:space="preserve">In order to elucidate possible patterns of co-regulation of myeloid leukocyte quantity and surface phenotype, we subjected the set of 40 flow cytometry parameters measured in our study (</w:t>
      </w:r>
      <w:r>
        <w:rPr>
          <w:b/>
          <w:rStyle w:val="Revision"/>
        </w:rPr>
        <w:t xml:space="preserve">Supplementary Table S3</w:t>
      </w:r>
      <w:r>
        <w:rPr>
          <w:rStyle w:val="Revision"/>
        </w:rPr>
        <w:t xml:space="preserve">) and the healthy and COVID-19 study participants to self-organizing map clustering</w:t>
      </w:r>
      <w:r>
        <w:rPr>
          <w:rStyle w:val="Revision"/>
        </w:rPr>
        <w:t xml:space="preserve"> </w:t>
      </w:r>
      <w:r>
        <w:rPr>
          <w:rStyle w:val="Revision"/>
        </w:rPr>
        <w:t xml:space="preserve">[34],[35]</w:t>
      </w:r>
      <w:r>
        <w:rPr>
          <w:rStyle w:val="Revision"/>
        </w:rPr>
        <w:t xml:space="preserve">.</w:t>
      </w:r>
      <w:r>
        <w:rPr>
          <w:rStyle w:val="Revision"/>
        </w:rPr>
        <w:t xml:space="preserve"> </w:t>
      </w:r>
    </w:p>
    <w:p>
      <w:pPr>
        <w:pStyle w:val="TextBody"/>
      </w:pPr>
      <w:r>
        <w:rPr>
          <w:rStyle w:val="Revision"/>
        </w:rPr>
        <w:t xml:space="preserve"> </w:t>
      </w:r>
      <w:r>
        <w:rPr>
          <w:rStyle w:val="Revision"/>
        </w:rPr>
        <w:t xml:space="preserve">By this means, we could identify three clusters of the cytometry features and four clusters of the study individuals (</w:t>
      </w:r>
      <w:r>
        <w:rPr>
          <w:b/>
          <w:rStyle w:val="Revision"/>
        </w:rPr>
        <w:t xml:space="preserve">Supplementary Figure S9</w:t>
      </w:r>
      <w:r>
        <w:rPr>
          <w:rStyle w:val="Revision"/>
        </w:rPr>
        <w:t xml:space="preserve">). The cytometry feature clusters included (1) a subset consisting primarily of markers of neutrophil expansion (termed</w:t>
      </w:r>
      <w:r>
        <w:rPr>
          <w:rStyle w:val="Revision"/>
        </w:rPr>
        <w:t xml:space="preserve"> </w:t>
      </w:r>
      <w:r>
        <w:rPr>
          <w:rStyle w:val="Revision"/>
        </w:rPr>
        <w:t xml:space="preserve">‘</w:t>
      </w:r>
      <w:r>
        <w:rPr>
          <w:rStyle w:val="Revision"/>
        </w:rPr>
        <w:t xml:space="preserve">Neutro</w:t>
      </w:r>
      <w:r>
        <w:rPr>
          <w:rStyle w:val="Revision"/>
        </w:rPr>
        <w:t xml:space="preserve">’</w:t>
      </w:r>
      <w:r>
        <w:rPr>
          <w:rStyle w:val="Revision"/>
        </w:rPr>
        <w:t xml:space="preserve">: Lin</w:t>
      </w:r>
      <w:r>
        <w:rPr>
          <w:vertAlign w:val="superscript"/>
          <w:rStyle w:val="Revision"/>
        </w:rPr>
        <w:t xml:space="preserve">-</w:t>
      </w:r>
      <w:r>
        <w:rPr>
          <w:rStyle w:val="Revision"/>
        </w:rPr>
        <w:t xml:space="preserve"> </w:t>
      </w:r>
      <w:r>
        <w:rPr>
          <w:rStyle w:val="Revision"/>
        </w:rPr>
        <w:t xml:space="preserve">and neutrophil levels, neutrophil CD64, NLR and monocyte: lymphocyte ratio/MLR), (2) a cluster dominated by CD86, CD163 and FPN1 expression in neutrophils and monocyte sub-populations and monocyte subset quantity variables (termed:</w:t>
      </w:r>
      <w:r>
        <w:rPr>
          <w:rStyle w:val="Revision"/>
        </w:rPr>
        <w:t xml:space="preserve"> </w:t>
      </w:r>
      <w:r>
        <w:rPr>
          <w:rStyle w:val="Revision"/>
        </w:rPr>
        <w:t xml:space="preserve">‘</w:t>
      </w:r>
      <w:r>
        <w:rPr>
          <w:rStyle w:val="Revision"/>
        </w:rPr>
        <w:t xml:space="preserve">CD86/CD163</w:t>
      </w:r>
      <w:r>
        <w:rPr>
          <w:rStyle w:val="Revision"/>
        </w:rPr>
        <w:t xml:space="preserve">’</w:t>
      </w:r>
      <w:r>
        <w:rPr>
          <w:rStyle w:val="Revision"/>
        </w:rPr>
        <w:t xml:space="preserve">) and (3) a cluster encompassing mainly D40, CD71 and CD64 levels in myeloid populations (termed</w:t>
      </w:r>
      <w:r>
        <w:rPr>
          <w:rStyle w:val="Revision"/>
        </w:rPr>
        <w:t xml:space="preserve"> </w:t>
      </w:r>
      <w:r>
        <w:rPr>
          <w:rStyle w:val="Revision"/>
        </w:rPr>
        <w:t xml:space="preserve">‘</w:t>
      </w:r>
      <w:r>
        <w:rPr>
          <w:rStyle w:val="Revision"/>
        </w:rPr>
        <w:t xml:space="preserve">CD40/CD64/CD71</w:t>
      </w:r>
      <w:r>
        <w:rPr>
          <w:rStyle w:val="Revision"/>
        </w:rPr>
        <w:t xml:space="preserve">’</w:t>
      </w:r>
      <w:r>
        <w:rPr>
          <w:rStyle w:val="Revision"/>
        </w:rPr>
        <w:t xml:space="preserve">) (</w:t>
      </w:r>
      <w:r>
        <w:rPr>
          <w:b/>
          <w:rStyle w:val="Revision"/>
        </w:rPr>
        <w:t xml:space="preserve">Figure</w:t>
      </w:r>
      <w:r>
        <w:rPr>
          <w:b/>
          <w:rStyle w:val="Revision"/>
        </w:rPr>
        <w:t xml:space="preserve"> </w:t>
      </w:r>
      <w:r>
        <w:rPr>
          <w:b/>
          <w:rStyle w:val="Revision"/>
        </w:rPr>
        <w:t xml:space="preserve">4</w:t>
      </w:r>
      <w:r>
        <w:rPr>
          <w:b/>
          <w:rStyle w:val="Revision"/>
        </w:rPr>
        <w:t xml:space="preserve">A</w:t>
      </w:r>
      <w:r>
        <w:rPr>
          <w:rStyle w:val="Revision"/>
        </w:rPr>
        <w:t xml:space="preserve">).</w:t>
      </w:r>
      <w:r>
        <w:rPr>
          <w:rStyle w:val="Revision"/>
        </w:rPr>
        <w:t xml:space="preserve"> </w:t>
      </w:r>
    </w:p>
    <w:p>
      <w:pPr>
        <w:pStyle w:val="TextBody"/>
      </w:pPr>
      <w:r>
        <w:rPr>
          <w:rStyle w:val="Revision"/>
        </w:rPr>
        <w:t xml:space="preserve"> </w:t>
      </w:r>
      <w:r>
        <w:rPr>
          <w:rStyle w:val="Revision"/>
        </w:rPr>
        <w:t xml:space="preserve">Healthy controls and moderate COVID-19 cases comprised 75% of the largest participant cluster #1 that was characterized by the lowest levels CD40/CD64/CD71 parameters as well as healthy-like monocyte subset distribution, neutrophil levels and neutrophil CD64 expression (</w:t>
      </w:r>
      <w:r>
        <w:rPr>
          <w:b/>
          <w:rStyle w:val="Revision"/>
        </w:rPr>
        <w:t xml:space="preserve">Figure</w:t>
      </w:r>
      <w:r>
        <w:rPr>
          <w:b/>
          <w:rStyle w:val="Revision"/>
        </w:rPr>
        <w:t xml:space="preserve"> </w:t>
      </w:r>
      <w:r>
        <w:rPr>
          <w:b/>
          <w:rStyle w:val="Revision"/>
        </w:rPr>
        <w:t xml:space="preserve">4</w:t>
      </w:r>
      <w:r>
        <w:rPr>
          <w:b/>
          <w:rStyle w:val="Revision"/>
        </w:rPr>
        <w:t xml:space="preserve">AB</w:t>
      </w:r>
      <w:r>
        <w:rPr>
          <w:rStyle w:val="Revision"/>
        </w:rPr>
        <w:t xml:space="preserve">). Interestingly, none of the severe COVID-19 cases assigned to the cluster #1 required an ICU treatment (</w:t>
      </w:r>
      <w:r>
        <w:rPr>
          <w:b/>
          <w:rStyle w:val="Revision"/>
        </w:rPr>
        <w:t xml:space="preserve">Supplementary Table S4</w:t>
      </w:r>
      <w:r>
        <w:rPr>
          <w:rStyle w:val="Revision"/>
        </w:rPr>
        <w:t xml:space="preserve">).</w:t>
      </w:r>
      <w:r>
        <w:rPr>
          <w:rStyle w:val="Revision"/>
        </w:rPr>
        <w:t xml:space="preserve"> </w:t>
      </w:r>
      <w:r>
        <w:rPr>
          <w:rStyle w:val="Revision"/>
        </w:rPr>
        <w:t xml:space="preserve">The remaining clusters consisted predominantly of severe COVID-19 patients with increasing frequency. The hallmark of the cluster #2 was an increased expression of CD86, C163, the immunosuppressive PD-L1 molecule (CD279) and the iron exporter FPN1 in classical and intermediate monocytes as well as an expansion of the intermediate subset. The participant cluster #3 in turn was primarily characterized by an elevated neutrophil and monocyte CD64 as well as a depletion of the non-classical monocytes. Finally, leukocyte samples assigned to the cluster #4 displayed a consistent expansion of the neutrophil compartment, elevated CD64 in neutrophils and a depletion non-classical monocytes (</w:t>
      </w:r>
      <w:r>
        <w:rPr>
          <w:b/>
          <w:rStyle w:val="Revision"/>
        </w:rPr>
        <w:t xml:space="preserve">Figure</w:t>
      </w:r>
      <w:r>
        <w:rPr>
          <w:b/>
          <w:rStyle w:val="Revision"/>
        </w:rPr>
        <w:t xml:space="preserve"> </w:t>
      </w:r>
      <w:r>
        <w:rPr>
          <w:b/>
          <w:rStyle w:val="Revision"/>
        </w:rPr>
        <w:t xml:space="preserve">4</w:t>
      </w:r>
      <w:r>
        <w:rPr>
          <w:b/>
          <w:rStyle w:val="Revision"/>
        </w:rPr>
        <w:t xml:space="preserve">A</w:t>
      </w:r>
      <w:r>
        <w:rPr>
          <w:rStyle w:val="Revision"/>
        </w:rPr>
        <w:t xml:space="preserve">).</w:t>
      </w:r>
      <w:r>
        <w:rPr>
          <w:rStyle w:val="Revision"/>
        </w:rPr>
        <w:t xml:space="preserve"> </w:t>
      </w:r>
    </w:p>
    <w:p>
      <w:pPr>
        <w:pStyle w:val="TextBody"/>
      </w:pPr>
      <w:r>
        <w:rPr>
          <w:rStyle w:val="Revision"/>
        </w:rPr>
        <w:t xml:space="preserve"> </w:t>
      </w:r>
      <w:r>
        <w:rPr>
          <w:rStyle w:val="Revision"/>
        </w:rPr>
        <w:t xml:space="preserve">In comparative analysis of COVID-19 individuals, the participant clusters demonstrated similar age and body mass index. In turn, the cluster #1 and #4 COVID-19 individuals were predominantly male (78%) as compared with the remaining subjects. Concerning the disease course, the fraction of participants requiring respiratory support was the lowest in cluster #1 and peaked in the clusters #3 and #4. However, none of these clinical features was significantly different in the all-group and the cluster #1 versus rest comparisons (</w:t>
      </w:r>
      <w:r>
        <w:rPr>
          <w:b/>
          <w:rStyle w:val="Revision"/>
        </w:rPr>
        <w:t xml:space="preserve">Supplementary Table S4</w:t>
      </w:r>
      <w:r>
        <w:rPr>
          <w:rStyle w:val="Revision"/>
        </w:rPr>
        <w:t xml:space="preserve">).</w:t>
      </w:r>
      <w:r>
        <w:rPr>
          <w:rStyle w:val="Revision"/>
        </w:rPr>
        <w:t xml:space="preserve"> </w:t>
      </w:r>
    </w:p>
    <w:p>
      <w:pPr>
        <w:pStyle w:val="TextBody"/>
      </w:pPr>
      <w:r>
        <w:rPr>
          <w:rStyle w:val="Revision"/>
        </w:rPr>
        <w:t xml:space="preserve"> </w:t>
      </w:r>
      <w:r>
        <w:rPr>
          <w:rStyle w:val="Revision"/>
        </w:rPr>
        <w:t xml:space="preserve">Finally, we investigated the inflammatory status and iron turnover parameters in COVID-19 patients assigned to the participant clusters. Although the differences between the clusters did not reached statistical significance following multiple testing correction, a clear tendency towards increased blood levels of IL6, CRP and neopterin was observed in the clusters #2, #3 and #4 as compared with the healthy-like cluster #1 (</w:t>
      </w:r>
      <w:r>
        <w:rPr>
          <w:b/>
          <w:rStyle w:val="Revision"/>
        </w:rPr>
        <w:t xml:space="preserve">Figure</w:t>
      </w:r>
      <w:r>
        <w:rPr>
          <w:b/>
          <w:rStyle w:val="Revision"/>
        </w:rPr>
        <w:t xml:space="preserve"> </w:t>
      </w:r>
      <w:r>
        <w:rPr>
          <w:b/>
          <w:rStyle w:val="Revision"/>
        </w:rPr>
        <w:t xml:space="preserve">5</w:t>
      </w:r>
      <w:r>
        <w:rPr>
          <w:rStyle w:val="Revision"/>
        </w:rPr>
        <w:t xml:space="preserve">,</w:t>
      </w:r>
      <w:r>
        <w:rPr>
          <w:rStyle w:val="Revision"/>
        </w:rPr>
        <w:t xml:space="preserve"> </w:t>
      </w:r>
      <w:r>
        <w:rPr>
          <w:b/>
          <w:rStyle w:val="Revision"/>
        </w:rPr>
        <w:t xml:space="preserve">Supplementary Table S4</w:t>
      </w:r>
      <w:r>
        <w:rPr>
          <w:rStyle w:val="Revision"/>
        </w:rPr>
        <w:t xml:space="preserve">). Accordingly, the clusters #2, #3 and #4 had the lowest levels of circulating iron and transferrin saturation values suggestive of inflammatory iron restriction</w:t>
      </w:r>
      <w:r>
        <w:rPr>
          <w:rStyle w:val="Revision"/>
        </w:rPr>
        <w:t xml:space="preserve"> </w:t>
      </w:r>
      <w:r>
        <w:rPr>
          <w:rStyle w:val="Revision"/>
        </w:rPr>
        <w:t xml:space="preserve">[36]</w:t>
      </w:r>
      <w:r>
        <w:rPr>
          <w:rStyle w:val="Revision"/>
        </w:rPr>
        <w:t xml:space="preserve">. Of interest, despite the elevated inflammatory marker levels, blood ferritin concentration in the cluster #2 tended to be lower than in the similarly inflammatory clusters #3 and #4 (</w:t>
      </w:r>
      <w:r>
        <w:rPr>
          <w:b/>
          <w:rStyle w:val="Revision"/>
        </w:rPr>
        <w:t xml:space="preserve">Figure</w:t>
      </w:r>
      <w:r>
        <w:rPr>
          <w:b/>
          <w:rStyle w:val="Revision"/>
        </w:rPr>
        <w:t xml:space="preserve"> </w:t>
      </w:r>
      <w:r>
        <w:rPr>
          <w:b/>
          <w:rStyle w:val="Revision"/>
        </w:rPr>
        <w:t xml:space="preserve">5</w:t>
      </w:r>
      <w:r>
        <w:rPr>
          <w:rStyle w:val="Revision"/>
        </w:rPr>
        <w:t xml:space="preserve">,</w:t>
      </w:r>
      <w:r>
        <w:rPr>
          <w:rStyle w:val="Revision"/>
        </w:rPr>
        <w:t xml:space="preserve"> </w:t>
      </w:r>
      <w:r>
        <w:rPr>
          <w:b/>
          <w:rStyle w:val="Revision"/>
        </w:rPr>
        <w:t xml:space="preserve">Supplementary Table S4</w:t>
      </w:r>
      <w:r>
        <w:rPr>
          <w:rStyle w:val="Revision"/>
        </w:rPr>
        <w:t xml:space="preserve">).</w:t>
      </w:r>
      <w:r>
        <w:rPr>
          <w:rStyle w:val="Revision"/>
        </w:rPr>
        <w:t xml:space="preserve"> </w:t>
      </w:r>
    </w:p>
    <w:p>
      <w:pPr>
        <w:pStyle w:val="TextBody"/>
      </w:pPr>
      <w:r>
        <w:rPr>
          <w:rStyle w:val="Revision"/>
        </w:rPr>
        <w:t xml:space="preserve"> </w:t>
      </w:r>
      <w:r>
        <w:rPr>
          <w:rStyle w:val="Revision"/>
        </w:rPr>
        <w:t xml:space="preserve">Collectively, the clustering analysis results suggest the presence of qualitatively and quantitatively distinct phenotypes of innate myeloid cell response to SARS-CoV-2 infection. Such phenotypic diversity is likely associated with COVID-19 severity and partially independent of the demographic patient background.</w:t>
      </w:r>
      <w:r>
        <w:rPr>
          <w:rStyle w:val="Revision"/>
        </w:rPr>
        <w:t xml:space="preserve"> </w:t>
      </w:r>
    </w:p>
    <w:p>
      <w:r>
        <w:br w:type="page"/>
      </w:r>
    </w:p>
    <w:p>
      <w:pPr>
        <w:pStyle w:val="Heading1"/>
      </w:pPr>
      <w:bookmarkStart w:id="36" w:name="discussion"/>
      <w:r>
        <w:t xml:space="preserve">Discussion</w:t>
      </w:r>
      <w:bookmarkEnd w:id="36"/>
    </w:p>
    <w:p>
      <w:pPr>
        <w:pStyle w:val="FirstParagraph"/>
      </w:pPr>
      <w:r>
        <w:t xml:space="preserve">Exaggerate cytokine and innate cell response is hallmark of</w:t>
      </w:r>
      <w:r>
        <w:t xml:space="preserve"> </w:t>
      </w:r>
      <w:r>
        <w:rPr>
          <w:rStyle w:val="Revision"/>
        </w:rPr>
        <w:t xml:space="preserve">severe COVID-19</w:t>
      </w:r>
      <w:r>
        <w:t xml:space="preserve"> </w:t>
      </w:r>
      <w:r>
        <w:t xml:space="preserve">requiring hospitalization, oxygen or ICU therapy</w:t>
      </w:r>
      <w:r>
        <w:t xml:space="preserve"> </w:t>
      </w:r>
      <w:r>
        <w:t xml:space="preserve">[11],[12],[14]–[19]</w:t>
      </w:r>
      <w:r>
        <w:t xml:space="preserve">.</w:t>
      </w:r>
      <w:r>
        <w:t xml:space="preserve"> </w:t>
      </w:r>
      <w:r>
        <w:t xml:space="preserve">In agreement with previous</w:t>
      </w:r>
      <w:r>
        <w:t xml:space="preserve"> </w:t>
      </w:r>
      <w:r>
        <w:rPr>
          <w:rStyle w:val="Revision"/>
        </w:rPr>
        <w:t xml:space="preserve">reports</w:t>
      </w:r>
      <w:r>
        <w:t xml:space="preserve">, we observed elevated circulating IL6, CRP and neopterin levels and an expansion of neutrophils with a concomitant reduction in lymphocytes</w:t>
      </w:r>
      <w:r>
        <w:t xml:space="preserve"> </w:t>
      </w:r>
      <w:r>
        <w:rPr>
          <w:rStyle w:val="Revision"/>
        </w:rPr>
        <w:t xml:space="preserve">in COVID-19 patients requiring respiratory support</w:t>
      </w:r>
      <w:r>
        <w:t xml:space="preserve">. Similar to other infections</w:t>
      </w:r>
      <w:r>
        <w:t xml:space="preserve"> </w:t>
      </w:r>
      <w:r>
        <w:t xml:space="preserve">[36],[38]</w:t>
      </w:r>
      <w:r>
        <w:t xml:space="preserve">, this resulted in reduced levels of circulating iron and</w:t>
      </w:r>
      <w:r>
        <w:t xml:space="preserve"> </w:t>
      </w:r>
      <w:r>
        <w:rPr>
          <w:rStyle w:val="Revision"/>
        </w:rPr>
        <w:t xml:space="preserve">elevated ferritin</w:t>
      </w:r>
      <w:r>
        <w:t xml:space="preserve">, in line with few published reports</w:t>
      </w:r>
      <w:r>
        <w:t xml:space="preserve"> </w:t>
      </w:r>
      <w:r>
        <w:rPr>
          <w:rStyle w:val="Revision"/>
        </w:rPr>
        <w:t xml:space="preserve">on COVID-19</w:t>
      </w:r>
      <w:r>
        <w:t xml:space="preserve"> </w:t>
      </w:r>
      <w:r>
        <w:t xml:space="preserve">[16],[20],[27],[37],[37],[39]</w:t>
      </w:r>
      <w:r>
        <w:t xml:space="preserve">.</w:t>
      </w:r>
      <w:r>
        <w:t xml:space="preserve"> </w:t>
      </w:r>
      <w:r>
        <w:t xml:space="preserve">The sole cellular iron exporter FPN1 in monocyte and macrophages is down-regulated by the hormone hepcidin and diverse</w:t>
      </w:r>
      <w:r>
        <w:t xml:space="preserve"> </w:t>
      </w:r>
      <w:r>
        <w:rPr>
          <w:rStyle w:val="Revision"/>
        </w:rPr>
        <w:t xml:space="preserve">inflammatory cytokines and up-regulated by cellular iron</w:t>
      </w:r>
      <w:r>
        <w:t xml:space="preserve"> </w:t>
      </w:r>
      <w:r>
        <w:t xml:space="preserve">[25],[36],[42],[43]</w:t>
      </w:r>
      <w:r>
        <w:t xml:space="preserve">. Interestingly, hypoferremia in acute COVID-19 was accompanied by only mildly elevated blood hepcidin levels</w:t>
      </w:r>
      <w:r>
        <w:t xml:space="preserve"> </w:t>
      </w:r>
      <w:r>
        <w:t xml:space="preserve">[37],[39]</w:t>
      </w:r>
      <w:r>
        <w:rPr>
          <w:rStyle w:val="Revision"/>
        </w:rPr>
        <w:t xml:space="preserve">, which may explain the consistently elevated FPN1 levels in the subsets of inflammatory COVID-19 patients assigned to the participant cluster #2.</w:t>
      </w:r>
      <w:r>
        <w:t xml:space="preserve"> </w:t>
      </w:r>
      <w:r>
        <w:rPr>
          <w:rStyle w:val="Revision"/>
        </w:rPr>
        <w:t xml:space="preserve">In general, the changes of the cellular iron trafficking and systemic turnover in COVID-19</w:t>
      </w:r>
      <w:r>
        <w:t xml:space="preserve"> </w:t>
      </w:r>
      <w:r>
        <w:t xml:space="preserve">may bear relevance for the effective SARS-CoV-2 control because iron levels significantly impact on differentiation of T cells and monocytes and</w:t>
      </w:r>
      <w:r>
        <w:t xml:space="preserve"> </w:t>
      </w:r>
      <w:r>
        <w:rPr>
          <w:rStyle w:val="Revision"/>
        </w:rPr>
        <w:t xml:space="preserve">on macrophage polarization</w:t>
      </w:r>
      <w:r>
        <w:t xml:space="preserve"> </w:t>
      </w:r>
      <w:r>
        <w:t xml:space="preserve">and also affect anti-microbial immune effector mechanisms</w:t>
      </w:r>
      <w:r>
        <w:t xml:space="preserve"> </w:t>
      </w:r>
      <w:r>
        <w:t xml:space="preserve">[25],[36]</w:t>
      </w:r>
      <w:r>
        <w:t xml:space="preserve">.</w:t>
      </w:r>
      <w:r>
        <w:t xml:space="preserve"> </w:t>
      </w:r>
      <w:r>
        <w:rPr>
          <w:rStyle w:val="Revision"/>
        </w:rPr>
        <w:t xml:space="preserve">Furthermore, intracellular iron availability may promote viral replication</w:t>
      </w:r>
      <w:r>
        <w:rPr>
          <w:rStyle w:val="Revision"/>
        </w:rPr>
        <w:t xml:space="preserve"> </w:t>
      </w:r>
      <w:r>
        <w:rPr>
          <w:rStyle w:val="Revision"/>
        </w:rPr>
        <w:t xml:space="preserve">[44]</w:t>
      </w:r>
      <w:r>
        <w:rPr>
          <w:rStyle w:val="Revision"/>
        </w:rPr>
        <w:t xml:space="preserve">. As such, the interplay of these processes requires further mechanistic and clinical investigations.</w:t>
      </w:r>
    </w:p>
    <w:p>
      <w:pPr>
        <w:pStyle w:val="TextBody"/>
      </w:pPr>
      <w:r>
        <w:t xml:space="preserve">By applying flow cytometry, we were able to characterize a palette of 40 variables associated with the quantity, pro-, anti-inflammatory</w:t>
      </w:r>
      <w:r>
        <w:t xml:space="preserve"> </w:t>
      </w:r>
      <w:r>
        <w:rPr>
          <w:rStyle w:val="Revision"/>
        </w:rPr>
        <w:t xml:space="preserve">and iron transport</w:t>
      </w:r>
      <w:r>
        <w:t xml:space="preserve"> </w:t>
      </w:r>
      <w:r>
        <w:t xml:space="preserve">phenotype of neutrophils, classical, intermediate and non-classical monocytes.</w:t>
      </w:r>
      <w:r>
        <w:t xml:space="preserve"> </w:t>
      </w:r>
      <w:r>
        <w:t xml:space="preserve">Among them, a consistent depletion of non-classical monocytes</w:t>
      </w:r>
      <w:r>
        <w:t xml:space="preserve"> </w:t>
      </w:r>
      <w:r>
        <w:rPr>
          <w:rStyle w:val="Revision"/>
        </w:rPr>
        <w:t xml:space="preserve">in part</w:t>
      </w:r>
      <w:r>
        <w:t xml:space="preserve"> </w:t>
      </w:r>
      <w:r>
        <w:t xml:space="preserve">paralleled by an expansion of the intermediate subset became evident in COVID-19 patients. This phenomenon was also described by others</w:t>
      </w:r>
      <w:r>
        <w:t xml:space="preserve"> </w:t>
      </w:r>
      <w:r>
        <w:rPr>
          <w:rStyle w:val="Revision"/>
        </w:rPr>
        <w:t xml:space="preserve">and suggested to aggravate with infection severity</w:t>
      </w:r>
      <w:r>
        <w:t xml:space="preserve">[11],[15]–[18],[21]–[23],[31]–[33]</w:t>
      </w:r>
      <w:r>
        <w:t xml:space="preserve">.</w:t>
      </w:r>
      <w:r>
        <w:t xml:space="preserve"> </w:t>
      </w:r>
      <w:r>
        <w:rPr>
          <w:rStyle w:val="Revision"/>
        </w:rPr>
        <w:t xml:space="preserve">It was also proposed to predict the risk of critical disease and respiratory failure</w:t>
      </w:r>
      <w:r>
        <w:rPr>
          <w:rStyle w:val="Revision"/>
        </w:rPr>
        <w:t xml:space="preserve"> </w:t>
      </w:r>
      <w:r>
        <w:rPr>
          <w:rStyle w:val="Revision"/>
        </w:rPr>
        <w:t xml:space="preserve">[17],[21],[23]</w:t>
      </w:r>
      <w:r>
        <w:rPr>
          <w:rStyle w:val="Revision"/>
        </w:rPr>
        <w:t xml:space="preserve">.</w:t>
      </w:r>
      <w:r>
        <w:t xml:space="preserve"> </w:t>
      </w:r>
      <w:r>
        <w:t xml:space="preserve">The CD16</w:t>
      </w:r>
      <w:r>
        <w:rPr>
          <w:vertAlign w:val="superscript"/>
        </w:rPr>
        <w:t xml:space="preserve">+</w:t>
      </w:r>
      <w:r>
        <w:t xml:space="preserve"> </w:t>
      </w:r>
      <w:r>
        <w:t xml:space="preserve">non-classical subset contraction was suggested to be specific for COVID-19 but not for bacterial sepsis</w:t>
      </w:r>
      <w:r>
        <w:t xml:space="preserve"> </w:t>
      </w:r>
      <w:r>
        <w:t xml:space="preserve">[16]</w:t>
      </w:r>
      <w:r>
        <w:t xml:space="preserve">.</w:t>
      </w:r>
      <w:r>
        <w:t xml:space="preserve"> </w:t>
      </w:r>
      <w:r>
        <w:t xml:space="preserve">However,</w:t>
      </w:r>
      <w:r>
        <w:t xml:space="preserve"> </w:t>
      </w:r>
      <w:r>
        <w:rPr>
          <w:rStyle w:val="Revision"/>
        </w:rPr>
        <w:t xml:space="preserve">results of an experimental endotoxin challenge in humans demonstrated a general depletion of blood monocytes</w:t>
      </w:r>
      <w:r>
        <w:t xml:space="preserve"> </w:t>
      </w:r>
      <w:r>
        <w:t xml:space="preserve">and a step-wise reconstitution involving immediately the classical population followed by the remaining subsets</w:t>
      </w:r>
      <w:r>
        <w:t xml:space="preserve"> </w:t>
      </w:r>
      <w:r>
        <w:t xml:space="preserve">[30]</w:t>
      </w:r>
      <w:r>
        <w:t xml:space="preserve">. Hence, the non-classical monocyte contraction in COVID-19 may reflect an early step in the non-specific inflammatory response to SARS-CoV-2.</w:t>
      </w:r>
      <w:r>
        <w:t xml:space="preserve"> </w:t>
      </w:r>
      <w:r>
        <w:rPr>
          <w:rStyle w:val="Revision"/>
        </w:rPr>
        <w:t xml:space="preserve">A subsequent re-population of the non-classical compartment by classical monocyte-derived precursors during convalescence</w:t>
      </w:r>
      <w:r>
        <w:t xml:space="preserve"> </w:t>
      </w:r>
      <w:r>
        <w:t xml:space="preserve">can be inferred from longitudinal COVID-19 immunophenotyping studies</w:t>
      </w:r>
      <w:r>
        <w:t xml:space="preserve"> </w:t>
      </w:r>
      <w:r>
        <w:t xml:space="preserve">[16]–[18]</w:t>
      </w:r>
      <w:r>
        <w:t xml:space="preserve">.</w:t>
      </w:r>
    </w:p>
    <w:p>
      <w:pPr>
        <w:pStyle w:val="TextBody"/>
      </w:pPr>
      <w:r>
        <w:rPr>
          <w:rStyle w:val="Revision"/>
        </w:rPr>
        <w:t xml:space="preserve">Our immune-phenotyping results</w:t>
      </w:r>
      <w:r>
        <w:t xml:space="preserve"> </w:t>
      </w:r>
      <w:r>
        <w:t xml:space="preserve">revealed an up-regulation of the FC</w:t>
      </w:r>
      <m:oMath>
        <m:r>
          <m:t>γ</m:t>
        </m:r>
      </m:oMath>
      <w:r>
        <w:t xml:space="preserve"> </w:t>
      </w:r>
      <w:r>
        <w:t xml:space="preserve">receptor CD64 in neutrophils, classical and intermediate monocytes</w:t>
      </w:r>
      <w:r>
        <w:t xml:space="preserve"> </w:t>
      </w:r>
      <w:r>
        <w:rPr>
          <w:rStyle w:val="Revision"/>
        </w:rPr>
        <w:t xml:space="preserve">in COVID-19 patients</w:t>
      </w:r>
      <w:r>
        <w:t xml:space="preserve"> </w:t>
      </w:r>
      <w:r>
        <w:t xml:space="preserve">as described recently</w:t>
      </w:r>
      <w:r>
        <w:t xml:space="preserve"> </w:t>
      </w:r>
      <w:r>
        <w:t xml:space="preserve">[11],[17],[19],[32],[45]</w:t>
      </w:r>
      <w:r>
        <w:t xml:space="preserve">.</w:t>
      </w:r>
      <w:r>
        <w:t xml:space="preserve"> </w:t>
      </w:r>
      <w:r>
        <w:rPr>
          <w:rStyle w:val="Revision"/>
        </w:rPr>
        <w:t xml:space="preserve">For neutrophils, the elevated CD64 expression together with lowered neutrophil CD14 levels observed in the study group of severe COVID-19 patients may indicate the presence of less mature pro-neutrophil-like CD64</w:t>
      </w:r>
      <w:r>
        <w:rPr>
          <w:vertAlign w:val="superscript"/>
          <w:rStyle w:val="Revision"/>
        </w:rPr>
        <w:t xml:space="preserve">+</w:t>
      </w:r>
      <w:r>
        <w:rPr>
          <w:rStyle w:val="Revision"/>
        </w:rPr>
        <w:t xml:space="preserve"> </w:t>
      </w:r>
      <w:r>
        <w:rPr>
          <w:rStyle w:val="Revision"/>
        </w:rPr>
        <w:t xml:space="preserve">CD14</w:t>
      </w:r>
      <w:r>
        <w:rPr>
          <w:vertAlign w:val="superscript"/>
          <w:rStyle w:val="Revision"/>
        </w:rPr>
        <w:t xml:space="preserve">low</w:t>
      </w:r>
      <w:r>
        <w:rPr>
          <w:rStyle w:val="Revision"/>
        </w:rPr>
        <w:t xml:space="preserve"> </w:t>
      </w:r>
      <w:r>
        <w:rPr>
          <w:rStyle w:val="Revision"/>
        </w:rPr>
        <w:t xml:space="preserve">cells expanding in early COVID-19</w:t>
      </w:r>
      <w:r>
        <w:rPr>
          <w:rStyle w:val="Revision"/>
        </w:rPr>
        <w:t xml:space="preserve"> </w:t>
      </w:r>
      <w:r>
        <w:rPr>
          <w:rStyle w:val="Revision"/>
        </w:rPr>
        <w:t xml:space="preserve">[11]</w:t>
      </w:r>
      <w:r>
        <w:rPr>
          <w:rStyle w:val="Revision"/>
        </w:rPr>
        <w:t xml:space="preserve"> </w:t>
      </w:r>
      <w:r>
        <w:rPr>
          <w:rStyle w:val="Revision"/>
        </w:rPr>
        <w:t xml:space="preserve">and sepsis</w:t>
      </w:r>
      <w:r>
        <w:rPr>
          <w:rStyle w:val="Revision"/>
        </w:rPr>
        <w:t xml:space="preserve"> </w:t>
      </w:r>
      <w:r>
        <w:rPr>
          <w:rStyle w:val="Revision"/>
        </w:rPr>
        <w:t xml:space="preserve">[46],[47]</w:t>
      </w:r>
      <w:r>
        <w:rPr>
          <w:rStyle w:val="Revision"/>
        </w:rPr>
        <w:t xml:space="preserve">, and hence represent a general reaction to a strong inflammatory stimuli triggering emergency myelopoiesis</w:t>
      </w:r>
      <w:r>
        <w:rPr>
          <w:rStyle w:val="Revision"/>
        </w:rPr>
        <w:t xml:space="preserve"> </w:t>
      </w:r>
      <w:r>
        <w:rPr>
          <w:rStyle w:val="Revision"/>
        </w:rPr>
        <w:t xml:space="preserve">[11],[17]</w:t>
      </w:r>
      <w:r>
        <w:rPr>
          <w:rStyle w:val="Revision"/>
        </w:rPr>
        <w:t xml:space="preserve">. This is further supported by our clustering data, where the high neutrophil CD64 levels co-occurred with the neutrophil expansion in the highly inflammatory, severe COVID-19 dominated participant cluster #4. Since the CD64 expression in neutrophils and monocytes was the highest in the clusters #3 and #4 comprising of predominantly ventilated severe COVID-19 patients, secondary bacterial airway co-infections may also contribute to the up-regulation of this marker.</w:t>
      </w:r>
      <w:r>
        <w:t xml:space="preserve"> </w:t>
      </w:r>
      <w:r>
        <w:t xml:space="preserve">The expression of CD86 in the intermediate and classical monocyte subsets followed a distinct regulatory pattern with a peak in moderate COVID-19 which is in line with other publications</w:t>
      </w:r>
      <w:r>
        <w:t xml:space="preserve"> </w:t>
      </w:r>
      <w:r>
        <w:t xml:space="preserve">[14],[22]</w:t>
      </w:r>
      <w:r>
        <w:t xml:space="preserve">.</w:t>
      </w:r>
      <w:r>
        <w:t xml:space="preserve"> </w:t>
      </w:r>
      <w:r>
        <w:rPr>
          <w:rStyle w:val="Revision"/>
        </w:rPr>
        <w:t xml:space="preserve"> </w:t>
      </w:r>
      <w:r>
        <w:rPr>
          <w:rStyle w:val="Revision"/>
        </w:rPr>
        <w:t xml:space="preserve">In the clustering analysis of our cytometry data, monocyte CD86 expression was found to be co-regulated with the immunosuppressive ligand CD279 (PD-L1), the alternative macrophage activation marker CD163 and the iron exporter FPN1, the latter being highest in the participant cluster #2. Collectively, this suggests, that in a fraction of COVID-19 patients, subsumed under the participant cluster #2 in the study cohort, the blood monocytes may acquire an immunoregulatory, T cell-suppressive, iron export CD86</w:t>
      </w:r>
      <w:r>
        <w:rPr>
          <w:vertAlign w:val="superscript"/>
          <w:rStyle w:val="Revision"/>
        </w:rPr>
        <w:t xml:space="preserve">high</w:t>
      </w:r>
      <w:r>
        <w:rPr>
          <w:rStyle w:val="Revision"/>
        </w:rPr>
        <w:t xml:space="preserve"> </w:t>
      </w:r>
      <w:r>
        <w:rPr>
          <w:rStyle w:val="Revision"/>
        </w:rPr>
        <w:t xml:space="preserve">CD279</w:t>
      </w:r>
      <w:r>
        <w:rPr>
          <w:vertAlign w:val="superscript"/>
          <w:rStyle w:val="Revision"/>
        </w:rPr>
        <w:t xml:space="preserve">high</w:t>
      </w:r>
      <w:r>
        <w:rPr>
          <w:rStyle w:val="Revision"/>
        </w:rPr>
        <w:t xml:space="preserve"> </w:t>
      </w:r>
      <w:r>
        <w:rPr>
          <w:rStyle w:val="Revision"/>
        </w:rPr>
        <w:t xml:space="preserve">FPN1</w:t>
      </w:r>
      <w:r>
        <w:rPr>
          <w:vertAlign w:val="superscript"/>
          <w:rStyle w:val="Revision"/>
        </w:rPr>
        <w:t xml:space="preserve">high</w:t>
      </w:r>
      <w:r>
        <w:rPr>
          <w:rStyle w:val="Revision"/>
        </w:rPr>
        <w:t xml:space="preserve"> </w:t>
      </w:r>
      <w:r>
        <w:rPr>
          <w:rStyle w:val="Revision"/>
        </w:rPr>
        <w:t xml:space="preserve">phenotype. Notably, expansion of a similar HLA-DR</w:t>
      </w:r>
      <w:r>
        <w:rPr>
          <w:vertAlign w:val="superscript"/>
          <w:rStyle w:val="Revision"/>
        </w:rPr>
        <w:t xml:space="preserve">low</w:t>
      </w:r>
      <w:r>
        <w:rPr>
          <w:rStyle w:val="Revision"/>
        </w:rPr>
        <w:t xml:space="preserve">, CD86</w:t>
      </w:r>
      <w:r>
        <w:rPr>
          <w:vertAlign w:val="superscript"/>
          <w:rStyle w:val="Revision"/>
        </w:rPr>
        <w:t xml:space="preserve">hi</w:t>
      </w:r>
      <w:r>
        <w:rPr>
          <w:rStyle w:val="Revision"/>
        </w:rPr>
        <w:t xml:space="preserve">, CD163</w:t>
      </w:r>
      <w:r>
        <w:rPr>
          <w:vertAlign w:val="superscript"/>
          <w:rStyle w:val="Revision"/>
        </w:rPr>
        <w:t xml:space="preserve">hi</w:t>
      </w:r>
      <w:r>
        <w:rPr>
          <w:rStyle w:val="Revision"/>
        </w:rPr>
        <w:t xml:space="preserve"> </w:t>
      </w:r>
      <w:r>
        <w:rPr>
          <w:rStyle w:val="Revision"/>
        </w:rPr>
        <w:t xml:space="preserve">and T cell-suppressive classical monocyte populations was described for moderate and severe COVID-19</w:t>
      </w:r>
      <w:r>
        <w:rPr>
          <w:rStyle w:val="Revision"/>
        </w:rPr>
        <w:t xml:space="preserve"> </w:t>
      </w:r>
      <w:r>
        <w:rPr>
          <w:rStyle w:val="Revision"/>
        </w:rPr>
        <w:t xml:space="preserve">[11],[16]–[18],[24]</w:t>
      </w:r>
      <w:r>
        <w:rPr>
          <w:rStyle w:val="Revision"/>
        </w:rPr>
        <w:t xml:space="preserve">. In our cohort, however, no significant differences in monocyte HLA-DR expression between COVID-19 patients and healthy controls could be observed, which may be attributed to the differences in the detection methodology (multi-color flow cytometry versus CyTOF or spectral flow cytometry).</w:t>
      </w:r>
      <w:r>
        <w:rPr>
          <w:rStyle w:val="Revision"/>
        </w:rPr>
        <w:t xml:space="preserve"> </w:t>
      </w:r>
    </w:p>
    <w:p>
      <w:pPr>
        <w:pStyle w:val="TextBody"/>
      </w:pPr>
      <w:r>
        <w:rPr>
          <w:rStyle w:val="Revision"/>
        </w:rPr>
        <w:t xml:space="preserve"> </w:t>
      </w:r>
      <w:r>
        <w:rPr>
          <w:rStyle w:val="Revision"/>
        </w:rPr>
        <w:t xml:space="preserve">To get a thorough overview of myeloid leukocyte response in acute COVID-19, we performed a clustering analysis with the self-organizing map technique</w:t>
      </w:r>
      <w:r>
        <w:rPr>
          <w:rStyle w:val="Revision"/>
        </w:rPr>
        <w:t xml:space="preserve"> </w:t>
      </w:r>
      <w:r>
        <w:rPr>
          <w:rStyle w:val="Revision"/>
        </w:rPr>
        <w:t xml:space="preserve">[34],[35]</w:t>
      </w:r>
      <w:r>
        <w:rPr>
          <w:rStyle w:val="Revision"/>
        </w:rPr>
        <w:t xml:space="preserve"> </w:t>
      </w:r>
      <w:r>
        <w:rPr>
          <w:rStyle w:val="Revision"/>
        </w:rPr>
        <w:t xml:space="preserve">by which we could identify four distinct clusters among the study participants. The largest, healthy-like cluster #1 was associated with near normal composition and surface phenotype of neutrophils and monocytes as well as the lowest levels of systemic inflammation, largely normal iron homeostasis and low risk of ICU admission. The other clusters were characterized by a clearly inflammatory and iron-restrictive phenotype but differed in the myeloid leukocyte characteristic. In particular, the cluster #2 was hallmarked by the presence of CD86-, CD163-, CD279- and FPN1-expressing monocytes suggestive of an immunoregulatory phenotype</w:t>
      </w:r>
      <w:r>
        <w:rPr>
          <w:rStyle w:val="Revision"/>
        </w:rPr>
        <w:t xml:space="preserve"> </w:t>
      </w:r>
      <w:r>
        <w:rPr>
          <w:rStyle w:val="Revision"/>
        </w:rPr>
        <w:t xml:space="preserve">[11],[16]–[18],[24]</w:t>
      </w:r>
      <w:r>
        <w:rPr>
          <w:rStyle w:val="Revision"/>
        </w:rPr>
        <w:t xml:space="preserve"> </w:t>
      </w:r>
      <w:r>
        <w:rPr>
          <w:rStyle w:val="Revision"/>
        </w:rPr>
        <w:t xml:space="preserve">as discussed above. The cluster #3 was characterized primarily by high levels of monocyte CD40 and CD64 which may reflect a pro-inflammatory priming of those cells as observed in chronic inflammatory conditions</w:t>
      </w:r>
      <w:r>
        <w:rPr>
          <w:rStyle w:val="Revision"/>
        </w:rPr>
        <w:t xml:space="preserve"> </w:t>
      </w:r>
      <w:r>
        <w:rPr>
          <w:rStyle w:val="Revision"/>
        </w:rPr>
        <w:t xml:space="preserve">[48]–[50]</w:t>
      </w:r>
      <w:r>
        <w:rPr>
          <w:rStyle w:val="Revision"/>
        </w:rPr>
        <w:t xml:space="preserve">. Finally, the expansion of CD64-expressing neutrophils in the participant cluster #4 may represent an inflammation-triggered emergency myelopoiesis and occurrence of immature neutrophils in the circulation of severe COVID-19 patients</w:t>
      </w:r>
      <w:r>
        <w:rPr>
          <w:rStyle w:val="Revision"/>
        </w:rPr>
        <w:t xml:space="preserve"> </w:t>
      </w:r>
      <w:r>
        <w:rPr>
          <w:rStyle w:val="Revision"/>
        </w:rPr>
        <w:t xml:space="preserve">[11],[17],[46],[47]</w:t>
      </w:r>
      <w:r>
        <w:rPr>
          <w:rStyle w:val="Revision"/>
        </w:rPr>
        <w:t xml:space="preserve">. The prognostic and therapeutic relevance of such individual heterogeneity of the innate response to the SARS-CoV-2 pathogen needs to be investigated in a larger study collective.</w:t>
      </w:r>
      <w:r>
        <w:rPr>
          <w:rStyle w:val="Revision"/>
        </w:rPr>
        <w:t xml:space="preserve"> </w:t>
      </w:r>
    </w:p>
    <w:p>
      <w:pPr>
        <w:pStyle w:val="TextBody"/>
      </w:pPr>
      <w:r>
        <w:t xml:space="preserve">Our study bears limitations referring to a small number of participants which, together with the lacking verification cohort, precluded more systematic</w:t>
      </w:r>
      <w:r>
        <w:t xml:space="preserve"> </w:t>
      </w:r>
      <w:r>
        <w:rPr>
          <w:rStyle w:val="Revision"/>
        </w:rPr>
        <w:t xml:space="preserve">analyses adjusted for known risk factors of severe COVID-19 such as age, sex and co-morbidity.</w:t>
      </w:r>
      <w:r>
        <w:t xml:space="preserve"> </w:t>
      </w:r>
      <w:r>
        <w:t xml:space="preserve">The alterations in neutrophil and monocytes subset quantities and phenotype as well as the clinical utility of the predictive myeloid score needs to be verified in a larger follow-up study possibly including longitudinal determinations to capture dynamics of the myeloid leukocyte compartments</w:t>
      </w:r>
      <w:r>
        <w:t xml:space="preserve"> </w:t>
      </w:r>
      <w:r>
        <w:t xml:space="preserve">[15]–[18],[22]</w:t>
      </w:r>
      <w:r>
        <w:t xml:space="preserve">.</w:t>
      </w:r>
      <w:r>
        <w:t xml:space="preserve"> </w:t>
      </w:r>
      <w:r>
        <w:rPr>
          <w:rStyle w:val="Revision"/>
        </w:rPr>
        <w:t xml:space="preserve">Additionally, differences in age-structure and likely in frequency of co-morbidity between the healthy controls COVID-19 patients in the study cohort may have confounded the presented analysis results.</w:t>
      </w:r>
      <w:r>
        <w:t xml:space="preserve">"</w:t>
      </w:r>
    </w:p>
    <w:p>
      <w:pPr>
        <w:pStyle w:val="TextBody"/>
      </w:pPr>
      <w:r>
        <w:t xml:space="preserve">Our study corroborates the massive changes in the neutrophil and monocyte compartment in acute moderate and severe COVID-19 including expansion of neutrophils, depletion of the non-classical monocytes</w:t>
      </w:r>
      <w:r>
        <w:t xml:space="preserve"> </w:t>
      </w:r>
      <w:r>
        <w:rPr>
          <w:rStyle w:val="Revision"/>
        </w:rPr>
        <w:t xml:space="preserve">as well as regulation of CD64 and CD86 expression and altered iron trafficking in myeloid leukocytes. Finally, we demonstrate the presence of four patterns of the innate myeloid response to SARS-CoV-2 with possible implication for diagnosis, risk assessment and therapy of COVID-19.</w:t>
      </w:r>
    </w:p>
    <w:p>
      <w:r>
        <w:br w:type="page"/>
      </w:r>
    </w:p>
    <w:p>
      <w:pPr>
        <w:pStyle w:val="Heading1"/>
      </w:pPr>
      <w:bookmarkStart w:id="37" w:name="sec:methods"/>
      <w:r>
        <w:t xml:space="preserve">Methods</w:t>
      </w:r>
      <w:bookmarkEnd w:id="37"/>
    </w:p>
    <w:p>
      <w:pPr>
        <w:pStyle w:val="Heading2"/>
      </w:pPr>
      <w:bookmarkStart w:id="38" w:name="ethics-and-study-approval"/>
      <w:r>
        <w:t xml:space="preserve">Ethics and study approval</w:t>
      </w:r>
      <w:bookmarkEnd w:id="38"/>
    </w:p>
    <w:p>
      <w:pPr>
        <w:pStyle w:val="FirstParagraph"/>
      </w:pPr>
      <w:r>
        <w:t xml:space="preserve">The study performed in accordance with the Declaration of Helsinki and the European Data Policy and approved by the institutional review board of the University of Innsbruck (approval number: 1091/2020). All study participants were conscious and gave a written informed consent prior to enrollment. The participants’ data were anonymized after recording hence making identification of the particular subjects impossible.</w:t>
      </w:r>
    </w:p>
    <w:p>
      <w:pPr>
        <w:pStyle w:val="Heading2"/>
      </w:pPr>
      <w:bookmarkStart w:id="39" w:name="study-population-and-procedures"/>
      <w:r>
        <w:t xml:space="preserve">Study population and procedures</w:t>
      </w:r>
      <w:bookmarkEnd w:id="39"/>
    </w:p>
    <w:p>
      <w:pPr>
        <w:pStyle w:val="FirstParagraph"/>
      </w:pPr>
      <w:r>
        <w:t xml:space="preserve">The study was performed between 21.03.2020 and 16.11.2020 at the hospital of the University of Innsbruck, Tyrol, Austria. The inclusion criteria for COVID-19 participants were age</w:t>
      </w:r>
      <w:r>
        <w:t xml:space="preserve"> </w:t>
      </w:r>
      <m:oMath>
        <m:r>
          <m:t>≥</m:t>
        </m:r>
      </m:oMath>
      <w:r>
        <w:t xml:space="preserve"> </w:t>
      </w:r>
      <w:r>
        <w:t xml:space="preserve">18 years and hospital admission because of acute SARS-CoV-2 infection confirmed by nasal or oral swab PCR test. The exclusion criterion was critical physical or mental state at admission precluding giving an informed study participation consent. Healthy controls were recruited among the institution’s health care workers.</w:t>
      </w:r>
    </w:p>
    <w:p>
      <w:pPr>
        <w:pStyle w:val="TextBody"/>
      </w:pPr>
      <w:r>
        <w:t xml:space="preserve">Measurement of the laboratory inflammation markers: C-reactive protein (CRP), interleukin-6 (IL6), neopterin, and iron status parameters: ferritin, iron concentration and transferrin saturation (TF-Sat), in blood at admission was done as routine determination at the hospital central laboratory. Whole venous EDTA blood (5 - 10 ml) for the flow cytometry measurement was withdrawn within 72 hours from hospital admission.</w:t>
      </w:r>
    </w:p>
    <w:p>
      <w:pPr>
        <w:pStyle w:val="Heading2"/>
      </w:pPr>
      <w:bookmarkStart w:id="40" w:name="X9a0cee6195f329e0c28f35e194af502eed24313"/>
      <w:r>
        <w:t xml:space="preserve">Measurement of laboratory inflammation and iron markers</w:t>
      </w:r>
      <w:bookmarkEnd w:id="40"/>
    </w:p>
    <w:p>
      <w:pPr>
        <w:pStyle w:val="FirstParagraph"/>
      </w:pPr>
      <w:r>
        <w:rPr>
          <w:rStyle w:val="Revision"/>
        </w:rPr>
        <w:t xml:space="preserve">CRP in plasma was determined by particle-enhanced immunological turbidity assay: human CRP agglutinated with latex particles coated with anti-CRP monoclonal antibody (mouse). Aggregates were determined turbidimetrically. IL-6 was assessed in plasma by electro-chemiluminescence assay (ECLIA) in sandwich principle. Neopterin was analyzed by a competitive enzyme immunoassay for the direct quantitative determination of neopterin. Quantitative determination of ferritin in human plasma was performed using latex particle-enhanced immunological turbidity assay. The amount of iron in human plasma was measured photometrically by FerroZine method without deproteinization. Transferrin saturation was measured by an immunological turbidity test.</w:t>
      </w:r>
    </w:p>
    <w:p>
      <w:pPr>
        <w:pStyle w:val="Heading2"/>
      </w:pPr>
      <w:bookmarkStart w:id="41" w:name="flow-cytometry"/>
      <w:r>
        <w:t xml:space="preserve">Flow cytometry</w:t>
      </w:r>
      <w:bookmarkEnd w:id="41"/>
    </w:p>
    <w:p>
      <w:pPr>
        <w:pStyle w:val="FirstParagraph"/>
      </w:pPr>
      <w:r>
        <w:t xml:space="preserve">The flow cytometry staining was done with the antibodies against the qualitative backbone markers of the lymphocyte, neutrophil and monocyte lineages and the test antibodies for qualitative markers of pro- and anti-inflammatory surface phenotype (CD40, CD64, CD80, CD86, CD163, CD274/PD-L1 and CD279/PD-1) and iron turnover proteins (CD71/transferrin receptor 1 and FPN1/ferroportin)</w:t>
      </w:r>
      <w:r>
        <w:t xml:space="preserve">[42],[51]</w:t>
      </w:r>
      <w:r>
        <w:t xml:space="preserve"> </w:t>
      </w:r>
      <w:r>
        <w:t xml:space="preserve">listed in</w:t>
      </w:r>
      <w:r>
        <w:t xml:space="preserve"> </w:t>
      </w:r>
      <w:r>
        <w:rPr>
          <w:b/>
        </w:rPr>
        <w:t xml:space="preserve">Supplementary Table S2</w:t>
      </w:r>
      <w:r>
        <w:t xml:space="preserve">. The antibodies were purchased from Beckton-Dickinson (Franklin Lakes, NJ), Thermo Fisher (Waltham. MA) or Biolegend (San Diego, CA).</w:t>
      </w:r>
    </w:p>
    <w:p>
      <w:pPr>
        <w:pStyle w:val="TextBody"/>
      </w:pPr>
      <w:r>
        <w:t xml:space="preserve">Whole blood was subjected to RBC depletion with ACK (Ammonium-Chloride-Potassium) buffer, followed by extensive washing with FACS buffer (1% fetal calf serum, 0.5 mM EDTA in PBS) and staining with the backbone antibody mix (dilutions: 1:20 - 1:200 in BD Horizon™ Brilliant Stain Buffer, Beckton-Dickinson) for 10 minutes at 4</w:t>
      </w:r>
      <w:r>
        <w:t xml:space="preserve"> </w:t>
      </w:r>
      <w:r>
        <w:rPr>
          <w:vertAlign w:val="superscript"/>
        </w:rPr>
        <w:t xml:space="preserve">o</w:t>
      </w:r>
      <w:r>
        <w:t xml:space="preserve">C. Next, the sample was washed, split and stained with the separate isotype or test antibody mixes (1:200 dilution in BD Horizon™ Brilliant Stain Buffer) for additional 10 minutes at 4</w:t>
      </w:r>
      <w:r>
        <w:t xml:space="preserve"> </w:t>
      </w:r>
      <w:r>
        <w:rPr>
          <w:vertAlign w:val="superscript"/>
        </w:rPr>
        <w:t xml:space="preserve">o</w:t>
      </w:r>
      <w:r>
        <w:t xml:space="preserve">C. The samples were measured with a Cytoflex S device (Beckman Coulter, Brea, CA) and analyzed with FlowJo 10.7 software (Beckton-Dickinson).</w:t>
      </w:r>
    </w:p>
    <w:p>
      <w:pPr>
        <w:pStyle w:val="TextBody"/>
      </w:pPr>
      <w:r>
        <w:t xml:space="preserve">The cytometry data was analyzed by an experienced operator blinded to the study group assignment with a strategy depicted in</w:t>
      </w:r>
      <w:r>
        <w:t xml:space="preserve"> </w:t>
      </w:r>
      <w:r>
        <w:rPr>
          <w:b/>
        </w:rPr>
        <w:t xml:space="preserve">Supplementary Figures S1</w:t>
      </w:r>
      <w:r>
        <w:t xml:space="preserve"> </w:t>
      </w:r>
      <w:r>
        <w:t xml:space="preserve">and</w:t>
      </w:r>
      <w:r>
        <w:t xml:space="preserve"> </w:t>
      </w:r>
      <w:r>
        <w:rPr>
          <w:b/>
        </w:rPr>
        <w:t xml:space="preserve">S2</w:t>
      </w:r>
      <w:r>
        <w:t xml:space="preserve">.</w:t>
      </w:r>
      <w:r>
        <w:t xml:space="preserve"> </w:t>
      </w:r>
      <w:r>
        <w:rPr>
          <w:rStyle w:val="Revision"/>
        </w:rPr>
        <w:t xml:space="preserve">Neutrophils were identified within the lineage-negative leukocytes (CD3</w:t>
      </w:r>
      <w:r>
        <w:rPr>
          <w:vertAlign w:val="superscript"/>
          <w:rStyle w:val="Revision"/>
        </w:rPr>
        <w:t xml:space="preserve">-</w:t>
      </w:r>
      <w:r>
        <w:rPr>
          <w:rStyle w:val="Revision"/>
        </w:rPr>
        <w:t xml:space="preserve"> </w:t>
      </w:r>
      <w:r>
        <w:rPr>
          <w:rStyle w:val="Revision"/>
        </w:rPr>
        <w:t xml:space="preserve">CD19</w:t>
      </w:r>
      <w:r>
        <w:rPr>
          <w:vertAlign w:val="superscript"/>
          <w:rStyle w:val="Revision"/>
        </w:rPr>
        <w:t xml:space="preserve">-</w:t>
      </w:r>
      <w:r>
        <w:rPr>
          <w:rStyle w:val="Revision"/>
        </w:rPr>
        <w:t xml:space="preserve"> </w:t>
      </w:r>
      <w:r>
        <w:rPr>
          <w:rStyle w:val="Revision"/>
        </w:rPr>
        <w:t xml:space="preserve">CD56</w:t>
      </w:r>
      <w:r>
        <w:rPr>
          <w:vertAlign w:val="superscript"/>
          <w:rStyle w:val="Revision"/>
        </w:rPr>
        <w:t xml:space="preserve">-</w:t>
      </w:r>
      <w:r>
        <w:rPr>
          <w:rStyle w:val="Revision"/>
        </w:rPr>
        <w:t xml:space="preserve">) by logical gating (AND) of CD11b</w:t>
      </w:r>
      <w:r>
        <w:rPr>
          <w:vertAlign w:val="superscript"/>
          <w:rStyle w:val="Revision"/>
        </w:rPr>
        <w:t xml:space="preserve">+</w:t>
      </w:r>
      <w:r>
        <w:rPr>
          <w:rStyle w:val="Revision"/>
        </w:rPr>
        <w:t xml:space="preserve">, CD16</w:t>
      </w:r>
      <w:r>
        <w:rPr>
          <w:vertAlign w:val="superscript"/>
          <w:rStyle w:val="Revision"/>
        </w:rPr>
        <w:t xml:space="preserve">+</w:t>
      </w:r>
      <w:r>
        <w:rPr>
          <w:rStyle w:val="Revision"/>
        </w:rPr>
        <w:t xml:space="preserve">, CD62L</w:t>
      </w:r>
      <w:r>
        <w:rPr>
          <w:vertAlign w:val="superscript"/>
          <w:rStyle w:val="Revision"/>
        </w:rPr>
        <w:t xml:space="preserve">+</w:t>
      </w:r>
      <w:r>
        <w:rPr>
          <w:rStyle w:val="Revision"/>
        </w:rPr>
        <w:t xml:space="preserve"> </w:t>
      </w:r>
      <w:r>
        <w:rPr>
          <w:rStyle w:val="Revision"/>
        </w:rPr>
        <w:t xml:space="preserve">and SSC</w:t>
      </w:r>
      <w:r>
        <w:rPr>
          <w:vertAlign w:val="superscript"/>
          <w:rStyle w:val="Revision"/>
        </w:rPr>
        <w:t xml:space="preserve">lo</w:t>
      </w:r>
      <w:r>
        <w:rPr>
          <w:rStyle w:val="Revision"/>
        </w:rPr>
        <w:t xml:space="preserve"> </w:t>
      </w:r>
      <w:r>
        <w:rPr>
          <w:rStyle w:val="Revision"/>
        </w:rPr>
        <w:t xml:space="preserve">events. Monocytes were defined within the non-neutrophil gate (logical NOT gating) by UMAP</w:t>
      </w:r>
      <w:r>
        <w:rPr>
          <w:rStyle w:val="Revision"/>
        </w:rPr>
        <w:t xml:space="preserve"> </w:t>
      </w:r>
      <w:r>
        <w:rPr>
          <w:rStyle w:val="Revision"/>
        </w:rPr>
        <w:t xml:space="preserve">[41]</w:t>
      </w:r>
      <w:r>
        <w:rPr>
          <w:rStyle w:val="Revision"/>
        </w:rPr>
        <w:t xml:space="preserve"> </w:t>
      </w:r>
      <w:r>
        <w:rPr>
          <w:rStyle w:val="Revision"/>
        </w:rPr>
        <w:t xml:space="preserve">in respect to CD11b, CD14, C15, CD16, CD62L, CCR2, CX3CR1 and HLA-DR expression. The monocyte cluster was identified by high CD14, CCR2, CX3CR1 and HLA-DR levels. Classical, intermediate and non-classical monocytes were identified within the monocyte UMAP cluster by differences in CD14, CD16, CCR2, CX3CR1, CD62L and HLA-DR expression</w:t>
      </w:r>
      <w:r>
        <w:rPr>
          <w:rStyle w:val="Revision"/>
        </w:rPr>
        <w:t xml:space="preserve"> </w:t>
      </w:r>
      <w:r>
        <w:rPr>
          <w:rStyle w:val="Revision"/>
        </w:rPr>
        <w:t xml:space="preserve">[28]</w:t>
      </w:r>
      <w:r>
        <w:rPr>
          <w:rStyle w:val="Revision"/>
        </w:rPr>
        <w:t xml:space="preserve">.</w:t>
      </w:r>
      <w:r>
        <w:t xml:space="preserve"> </w:t>
      </w:r>
      <w:r>
        <w:t xml:space="preserve">Surface expression was expressed as a difference in median signal intensity (</w:t>
      </w:r>
      <m:oMath>
        <m:r>
          <m:t>Δ</m:t>
        </m:r>
      </m:oMath>
      <w:r>
        <w:t xml:space="preserve">MFI) between the specific staining and the isotype. Neutrophil CD71 and CD163 as well as CD80 staining in neutrophils and monocytes were excluded from the downstream analysis due to low and virtually invariant expression levels. Monocyte: lymphocyte ratio was calculated as a ratio of the CD45</w:t>
      </w:r>
      <w:r>
        <w:rPr>
          <w:vertAlign w:val="superscript"/>
        </w:rPr>
        <w:t xml:space="preserve">+</w:t>
      </w:r>
      <w:r>
        <w:t xml:space="preserve"> </w:t>
      </w:r>
      <w:r>
        <w:t xml:space="preserve">percents of HLA-DR</w:t>
      </w:r>
      <w:r>
        <w:rPr>
          <w:vertAlign w:val="superscript"/>
        </w:rPr>
        <w:t xml:space="preserve">+</w:t>
      </w:r>
      <w:r>
        <w:t xml:space="preserve"> </w:t>
      </w:r>
      <w:r>
        <w:t xml:space="preserve">pan-monocytes to Lineage</w:t>
      </w:r>
      <w:r>
        <w:rPr>
          <w:vertAlign w:val="superscript"/>
        </w:rPr>
        <w:t xml:space="preserve">+</w:t>
      </w:r>
      <w:r>
        <w:t xml:space="preserve"> </w:t>
      </w:r>
      <w:r>
        <w:t xml:space="preserve">(CD3, CD19, CD56) cells. Neutrophil: lymphocyte ratio was calculated as a ratio of the CD45</w:t>
      </w:r>
      <w:r>
        <w:rPr>
          <w:vertAlign w:val="superscript"/>
        </w:rPr>
        <w:t xml:space="preserve">+</w:t>
      </w:r>
      <w:r>
        <w:t xml:space="preserve"> </w:t>
      </w:r>
      <w:r>
        <w:t xml:space="preserve">percent of CD15</w:t>
      </w:r>
      <w:r>
        <w:rPr>
          <w:vertAlign w:val="superscript"/>
        </w:rPr>
        <w:t xml:space="preserve">+</w:t>
      </w:r>
      <w:r>
        <w:t xml:space="preserve"> </w:t>
      </w:r>
      <w:r>
        <w:t xml:space="preserve">SSC</w:t>
      </w:r>
      <w:r>
        <w:rPr>
          <w:vertAlign w:val="superscript"/>
        </w:rPr>
        <w:t xml:space="preserve">hi</w:t>
      </w:r>
      <w:r>
        <w:t xml:space="preserve"> </w:t>
      </w:r>
      <w:r>
        <w:t xml:space="preserve">neutrophils to Lineage</w:t>
      </w:r>
      <w:r>
        <w:rPr>
          <w:vertAlign w:val="superscript"/>
        </w:rPr>
        <w:t xml:space="preserve">+</w:t>
      </w:r>
      <w:r>
        <w:t xml:space="preserve"> </w:t>
      </w:r>
      <w:r>
        <w:t xml:space="preserve">cells.</w:t>
      </w:r>
    </w:p>
    <w:p>
      <w:pPr>
        <w:pStyle w:val="Heading2"/>
      </w:pPr>
      <w:bookmarkStart w:id="42" w:name="statistical-analysis"/>
      <w:r>
        <w:t xml:space="preserve">Statistical analysis</w:t>
      </w:r>
      <w:bookmarkEnd w:id="42"/>
    </w:p>
    <w:p>
      <w:pPr>
        <w:pStyle w:val="FirstParagraph"/>
      </w:pPr>
      <w:r>
        <w:t xml:space="preserve">Statistical analysis was done with R version 4.0.5 and packages,</w:t>
      </w:r>
      <w:r>
        <w:t xml:space="preserve"> </w:t>
      </w:r>
      <w:r>
        <w:rPr>
          <w:i/>
        </w:rPr>
        <w:t xml:space="preserve">tidyverse</w:t>
      </w:r>
      <w:r>
        <w:t xml:space="preserve">,</w:t>
      </w:r>
      <w:r>
        <w:t xml:space="preserve"> </w:t>
      </w:r>
      <w:r>
        <w:rPr>
          <w:i/>
          <w:rStyle w:val="Revision"/>
        </w:rPr>
        <w:t xml:space="preserve">DescTools</w:t>
      </w:r>
      <w:r>
        <w:rPr>
          <w:rStyle w:val="Revision"/>
        </w:rPr>
        <w:t xml:space="preserve">,</w:t>
      </w:r>
      <w:r>
        <w:rPr>
          <w:rStyle w:val="Revision"/>
        </w:rPr>
        <w:t xml:space="preserve"> </w:t>
      </w:r>
      <w:r>
        <w:rPr>
          <w:i/>
          <w:rStyle w:val="Revision"/>
        </w:rPr>
        <w:t xml:space="preserve">rstatix</w:t>
      </w:r>
      <w:r>
        <w:t xml:space="preserve"> </w:t>
      </w:r>
      <w:r>
        <w:t xml:space="preserve">and</w:t>
      </w:r>
      <w:r>
        <w:t xml:space="preserve"> </w:t>
      </w:r>
      <w:r>
        <w:rPr>
          <w:i/>
        </w:rPr>
        <w:t xml:space="preserve">cowplot</w:t>
      </w:r>
      <w:r>
        <w:t xml:space="preserve"> </w:t>
      </w:r>
      <w:r>
        <w:t xml:space="preserve">packages</w:t>
      </w:r>
      <w:r>
        <w:t xml:space="preserve"> </w:t>
      </w:r>
      <w:r>
        <w:t xml:space="preserve">[52],[53]</w:t>
      </w:r>
      <w:r>
        <w:t xml:space="preserve">,</w:t>
      </w:r>
      <w:r>
        <w:t xml:space="preserve"> </w:t>
      </w:r>
      <w:r>
        <w:rPr>
          <w:rStyle w:val="Revision"/>
        </w:rPr>
        <w:t xml:space="preserve">the in-house-developed packages</w:t>
      </w:r>
      <w:r>
        <w:rPr>
          <w:rStyle w:val="Revision"/>
        </w:rPr>
        <w:t xml:space="preserve"> </w:t>
      </w:r>
      <w:r>
        <w:rPr>
          <w:i/>
          <w:rStyle w:val="Revision"/>
        </w:rPr>
        <w:t xml:space="preserve">ExDA</w:t>
      </w:r>
      <w:r>
        <w:rPr>
          <w:rStyle w:val="Revision"/>
        </w:rPr>
        <w:t xml:space="preserve"> </w:t>
      </w:r>
      <w:r>
        <w:rPr>
          <w:rStyle w:val="Revision"/>
        </w:rPr>
        <w:t xml:space="preserve">(explorative data analysis and hypothesis testing,</w:t>
      </w:r>
      <w:r>
        <w:rPr>
          <w:rStyle w:val="Revision"/>
        </w:rPr>
        <w:t xml:space="preserve"> </w:t>
      </w:r>
      <w:hyperlink r:id="rId43">
        <w:r>
          <w:rPr>
            <w:rStyle w:val="InternetLink"/>
            <w:rStyle w:val="Revision"/>
          </w:rPr>
          <w:t xml:space="preserve">https://github.com/PiotrTymoszuk/ExDA</w:t>
        </w:r>
      </w:hyperlink>
      <w:r>
        <w:rPr>
          <w:rStyle w:val="Revision"/>
        </w:rPr>
        <w:t xml:space="preserve">) and</w:t>
      </w:r>
      <w:r>
        <w:rPr>
          <w:rStyle w:val="Revision"/>
        </w:rPr>
        <w:t xml:space="preserve"> </w:t>
      </w:r>
      <w:r>
        <w:rPr>
          <w:i/>
          <w:rStyle w:val="Revision"/>
        </w:rPr>
        <w:t xml:space="preserve">clustTools</w:t>
      </w:r>
      <w:r>
        <w:rPr>
          <w:rStyle w:val="Revision"/>
        </w:rPr>
        <w:t xml:space="preserve"> </w:t>
      </w:r>
      <w:r>
        <w:rPr>
          <w:rStyle w:val="Revision"/>
        </w:rPr>
        <w:t xml:space="preserve">(wrappers for clustering and self-organizing maps,</w:t>
      </w:r>
      <w:r>
        <w:rPr>
          <w:rStyle w:val="Revision"/>
        </w:rPr>
        <w:t xml:space="preserve"> </w:t>
      </w:r>
      <w:hyperlink r:id="rId44">
        <w:r>
          <w:rPr>
            <w:rStyle w:val="InternetLink"/>
            <w:rStyle w:val="Revision"/>
          </w:rPr>
          <w:t xml:space="preserve">https://github.com/PiotrTymoszuk/clustTools</w:t>
        </w:r>
      </w:hyperlink>
      <w:r>
        <w:rPr>
          <w:rStyle w:val="Revision"/>
        </w:rPr>
        <w:t xml:space="preserve">).</w:t>
      </w:r>
    </w:p>
    <w:p>
      <w:pPr>
        <w:pStyle w:val="TextBody"/>
      </w:pPr>
      <w:r>
        <w:t xml:space="preserve">Since most of the analyzed variables demonstrated non-normal distribution (Shapiro-Wilk test), non-parametric hypothesis tests were utilized in the downstream analyses. To search for cytometry features (</w:t>
      </w:r>
      <w:r>
        <w:rPr>
          <w:b/>
        </w:rPr>
        <w:t xml:space="preserve">Supplementary Table S3</w:t>
      </w:r>
      <w:r>
        <w:t xml:space="preserve">) significantly differing between</w:t>
      </w:r>
      <w:r>
        <w:t xml:space="preserve"> </w:t>
      </w:r>
      <w:r>
        <w:rPr>
          <w:rStyle w:val="Revision"/>
        </w:rPr>
        <w:t xml:space="preserve"> </w:t>
      </w:r>
      <w:r>
        <w:rPr>
          <w:rStyle w:val="Revision"/>
        </w:rPr>
        <w:t xml:space="preserve">healthy controls. moderate and severe COVID-19 patients, Kruskal-Wallis test with</w:t>
      </w:r>
      <w:r>
        <w:rPr>
          <w:rStyle w:val="Revision"/>
        </w:rPr>
        <w:t xml:space="preserve"> </w:t>
      </w:r>
      <w:r>
        <w:t xml:space="preserve"> </w:t>
      </w:r>
      <w:r>
        <w:t xml:space="preserve">with Benjamini-Hochberg (FDR: False Discovery Rate) correction for multiple comparisons was applied</w:t>
      </w:r>
      <w:r>
        <w:t xml:space="preserve"> </w:t>
      </w:r>
      <w:r>
        <w:t xml:space="preserve">[54]</w:t>
      </w:r>
      <w:r>
        <w:t xml:space="preserve">.</w:t>
      </w:r>
      <w:r>
        <w:t xml:space="preserve"> </w:t>
      </w:r>
      <w:r>
        <w:rPr>
          <w:rStyle w:val="Revision"/>
        </w:rPr>
        <w:t xml:space="preserve"> </w:t>
      </w:r>
      <w:r>
        <w:rPr>
          <w:rStyle w:val="Revision"/>
        </w:rPr>
        <w:t xml:space="preserve">The significant variables were defined by the pFDR &lt; 0.05 cutoff. Post-hoc testing for pairwise differences between the groups was accomplished by Benjamini-Hochberg corrected Mann-Whitney U test.</w:t>
      </w:r>
      <w:r>
        <w:rPr>
          <w:rStyle w:val="Revision"/>
        </w:rPr>
        <w:t xml:space="preserve"> </w:t>
      </w:r>
      <w:r>
        <w:t xml:space="preserve"> </w:t>
      </w:r>
      <w:r>
        <w:rPr>
          <w:rStyle w:val="Revision"/>
        </w:rPr>
        <w:t xml:space="preserve"> </w:t>
      </w:r>
      <w:r>
        <w:rPr>
          <w:rStyle w:val="Revision"/>
        </w:rPr>
        <w:t xml:space="preserve">Clustering of the flow cytometry features (</w:t>
      </w:r>
      <w:r>
        <w:rPr>
          <w:b/>
          <w:rStyle w:val="Revision"/>
        </w:rPr>
        <w:t xml:space="preserve">Supplementary Table S3</w:t>
      </w:r>
      <w:r>
        <w:rPr>
          <w:rStyle w:val="Revision"/>
        </w:rPr>
        <w:t xml:space="preserve">) and of the healthy and COVID-19 study participants in respect to the flow cytometry features was done with a combined self-organizing map (SOM) and hierarchical clustering (HCl) procedure</w:t>
      </w:r>
      <w:r>
        <w:rPr>
          <w:rStyle w:val="Revision"/>
        </w:rPr>
        <w:t xml:space="preserve"> </w:t>
      </w:r>
      <w:r>
        <w:rPr>
          <w:rStyle w:val="Revision"/>
        </w:rPr>
        <w:t xml:space="preserve">[34],[35]</w:t>
      </w:r>
      <w:r>
        <w:rPr>
          <w:rStyle w:val="Revision"/>
        </w:rPr>
        <w:t xml:space="preserve">. The data were pre-processed by Z-score normalization and the participants with missing values eliminated. The cytometry features or participants were subjected to dimensionality reduction by SOM (5</w:t>
      </w:r>
      <w:r>
        <w:rPr>
          <w:rStyle w:val="Revision"/>
        </w:rPr>
        <w:t xml:space="preserve"> </w:t>
      </w:r>
      <m:oMath>
        <m:r>
          <m:t>×</m:t>
        </m:r>
      </m:oMath>
      <w:r>
        <w:rPr>
          <w:rStyle w:val="Revision"/>
        </w:rPr>
        <w:t xml:space="preserve"> </w:t>
      </w:r>
      <w:r>
        <w:rPr>
          <w:rStyle w:val="Revision"/>
        </w:rPr>
        <w:t xml:space="preserve">5 hexagonal grid, cosine distance between the features/participants) and, subsequently, the SOM nodes were clustered with the HCl (cosine distance between the nodes, Ward D2 algorithm). The choice of the SOM node cluster number was motivated by the bend of the within-cluster sum-of-square curve and a visual analysis of the dendrograms (</w:t>
      </w:r>
      <w:r>
        <w:rPr>
          <w:b/>
          <w:rStyle w:val="Revision"/>
        </w:rPr>
        <w:t xml:space="preserve">Supplementary Figure S9</w:t>
      </w:r>
      <w:r>
        <w:rPr>
          <w:rStyle w:val="Revision"/>
        </w:rPr>
        <w:t xml:space="preserve">). The fraction of clustering variance (ratio of the total within-cluster to total sum of squares) was 0.38 and 0.58 for the feature and participant clustering, respectively.</w:t>
      </w:r>
      <w:r>
        <w:rPr>
          <w:rStyle w:val="Revision"/>
        </w:rPr>
        <w:t xml:space="preserve"> </w:t>
      </w:r>
    </w:p>
    <w:p>
      <w:r>
        <w:br w:type="page"/>
      </w:r>
    </w:p>
    <w:p>
      <w:pPr>
        <w:pStyle w:val="Heading1"/>
      </w:pPr>
      <w:bookmarkStart w:id="45" w:name="data-availability"/>
      <w:r>
        <w:t xml:space="preserve">Data availability</w:t>
      </w:r>
      <w:bookmarkEnd w:id="45"/>
    </w:p>
    <w:p>
      <w:pPr>
        <w:pStyle w:val="FirstParagraph"/>
      </w:pPr>
      <w:r>
        <w:t xml:space="preserve">The data set with variables analyzed in the study is available as</w:t>
      </w:r>
      <w:r>
        <w:t xml:space="preserve"> </w:t>
      </w:r>
      <w:r>
        <w:rPr>
          <w:b/>
        </w:rPr>
        <w:t xml:space="preserve">Supplementary Table S5</w:t>
      </w:r>
      <w:r>
        <w:t xml:space="preserve">. The R analysis pipeline is available at</w:t>
      </w:r>
      <w:r>
        <w:t xml:space="preserve"> </w:t>
      </w:r>
      <w:hyperlink r:id="rId46">
        <w:r>
          <w:rPr>
            <w:rStyle w:val="InternetLink"/>
          </w:rPr>
          <w:t xml:space="preserve">https://github.com/PiotrTymoszuk/covFacs</w:t>
        </w:r>
      </w:hyperlink>
      <w:r>
        <w:t xml:space="preserve">.</w:t>
      </w:r>
    </w:p>
    <w:p>
      <w:pPr>
        <w:pStyle w:val="Heading1"/>
      </w:pPr>
      <w:bookmarkStart w:id="47" w:name="acknowledgments"/>
      <w:r>
        <w:t xml:space="preserve">Acknowledgments</w:t>
      </w:r>
      <w:bookmarkEnd w:id="47"/>
    </w:p>
    <w:p>
      <w:pPr>
        <w:pStyle w:val="FirstParagraph"/>
      </w:pPr>
      <w:r>
        <w:t xml:space="preserve">We would like to acknowledge the suffering and commitment of the study participants and the medical staff during the COVID-19 pandemic.</w:t>
      </w:r>
    </w:p>
    <w:p>
      <w:pPr>
        <w:pStyle w:val="Heading1"/>
      </w:pPr>
      <w:bookmarkStart w:id="48" w:name="author-contribution"/>
      <w:r>
        <w:t xml:space="preserve">Author contribution</w:t>
      </w:r>
      <w:bookmarkEnd w:id="48"/>
    </w:p>
    <w:p>
      <w:pPr>
        <w:pStyle w:val="FirstParagraph"/>
      </w:pPr>
      <w:r>
        <w:t xml:space="preserve">Conceptualization: DH, VP, DW, PT, GW; Data Curation: DH, VP; Formal Analysis: DH, PT;</w:t>
      </w:r>
      <w:r>
        <w:t xml:space="preserve"> </w:t>
      </w:r>
      <w:r>
        <w:t xml:space="preserve">Investigation: DH, VP, FB, GF, SW, RB, PT; Methodology: DH, VP, PT; Resources: DW, GW;</w:t>
      </w:r>
      <w:r>
        <w:t xml:space="preserve"> </w:t>
      </w:r>
      <w:r>
        <w:t xml:space="preserve">Visualization: DH, VP, PT; Original Draft Preparation: DH, PT; Review and Editing: DH, VP, FB, GF, SW, RB, DW, PT, GW.</w:t>
      </w:r>
    </w:p>
    <w:p>
      <w:pPr>
        <w:pStyle w:val="Heading1"/>
      </w:pPr>
      <w:bookmarkStart w:id="49" w:name="conflict-of-interest"/>
      <w:r>
        <w:t xml:space="preserve">Conflict of interest</w:t>
      </w:r>
      <w:bookmarkEnd w:id="49"/>
    </w:p>
    <w:p>
      <w:pPr>
        <w:pStyle w:val="FirstParagraph"/>
      </w:pPr>
      <w:r>
        <w:t xml:space="preserve">PT now owns his data science enterprise, Data Analytics as a Service Tirol. The author declares no other conflicts of interest. Other authors declare that non conflict of interest exists.</w:t>
      </w:r>
    </w:p>
    <w:p>
      <w:pPr>
        <w:pStyle w:val="Heading1"/>
      </w:pPr>
      <w:bookmarkStart w:id="50" w:name="funding-information"/>
      <w:r>
        <w:t xml:space="preserve">Funding information</w:t>
      </w:r>
      <w:bookmarkEnd w:id="50"/>
    </w:p>
    <w:p>
      <w:pPr>
        <w:pStyle w:val="FirstParagraph"/>
      </w:pPr>
      <w:r>
        <w:t xml:space="preserve">Support by the Christian Doppler Society (GW) and the Austrian Research Fund Doctoral Programm HOROS (FWF-W1253, GW, VP) and the Society for Funding Research and Education in Molecular Immunology and Infectiology (</w:t>
      </w:r>
      <w:r>
        <w:t xml:space="preserve">‘</w:t>
      </w:r>
      <w:r>
        <w:t xml:space="preserve">Verein zur Förderung von Forschung und Weiterbildung in Molekularer Immunologie und Infektiologie</w:t>
      </w:r>
      <w:r>
        <w:t xml:space="preserve">’</w:t>
      </w:r>
      <w:r>
        <w:t xml:space="preserve">) is gratefully acknowledged.</w:t>
      </w:r>
    </w:p>
    <w:p>
      <w:r>
        <w:br w:type="page"/>
      </w:r>
    </w:p>
    <w:p>
      <w:pPr>
        <w:pStyle w:val="Heading1"/>
      </w:pPr>
      <w:bookmarkStart w:id="51" w:name="figure-legends"/>
      <w:r>
        <w:t xml:space="preserve">Figure Legends</w:t>
      </w:r>
      <w:bookmarkEnd w:id="51"/>
    </w:p>
    <w:p>
      <w:pPr>
        <w:pStyle w:val="FirstParagraph"/>
      </w:pPr>
      <w:r>
        <w:rPr>
          <w:b/>
        </w:rPr>
        <w:t xml:space="preserve">Figure</w:t>
      </w:r>
      <w:r>
        <w:rPr>
          <w:b/>
        </w:rPr>
        <w:t xml:space="preserve"> </w:t>
      </w:r>
      <w:r>
        <w:rPr>
          <w:b/>
        </w:rPr>
        <w:t xml:space="preserve">1</w:t>
      </w:r>
      <w:r>
        <w:rPr>
          <w:b/>
        </w:rPr>
        <w:t xml:space="preserve">. Analysis inclusion scheme.</w:t>
      </w:r>
    </w:p>
    <w:p>
      <w:pPr>
        <w:pStyle w:val="TextBody"/>
      </w:pPr>
      <w:r>
        <w:rPr>
          <w:b/>
        </w:rPr>
        <w:t xml:space="preserve">Figure</w:t>
      </w:r>
      <w:r>
        <w:rPr>
          <w:b/>
        </w:rPr>
        <w:t xml:space="preserve"> </w:t>
      </w:r>
      <w:r>
        <w:rPr>
          <w:b/>
        </w:rPr>
        <w:t xml:space="preserve">2</w:t>
      </w:r>
      <w:r>
        <w:rPr>
          <w:b/>
        </w:rPr>
        <w:t xml:space="preserve">. Screening of the flow cytometry features for the differences between healthy controls, moderate and severe COVID-19.</w:t>
      </w:r>
    </w:p>
    <w:p>
      <w:pPr>
        <w:pStyle w:val="TextBody"/>
      </w:pPr>
      <w:r>
        <w:t xml:space="preserve">Levels of 40 parameters of monocytes and neutrophils were measured by flow cytometry in healthy controls, moderate and severe COVID-19 patients within 72 hours post hospital admission (</w:t>
      </w:r>
      <w:r>
        <w:rPr>
          <w:b/>
        </w:rPr>
        <w:t xml:space="preserve">Supplementary Table S3</w:t>
      </w:r>
      <w:r>
        <w:t xml:space="preserve">). The parameter levels were compared between healthy controls, moderate and severe COVID by Kruskal-Wallis test corrected for multiple testing with Benjamini-Hochberg method (False Discovery Rate, FDR). Significance and</w:t>
      </w:r>
      <w:r>
        <w:t xml:space="preserve"> </w:t>
      </w:r>
      <m:oMath>
        <m:sSup>
          <m:e>
            <m:r>
              <m:t>η</m:t>
            </m:r>
          </m:e>
          <m:sup>
            <m:r>
              <m:t>2</m:t>
            </m:r>
          </m:sup>
        </m:sSup>
      </m:oMath>
      <w:r>
        <w:t xml:space="preserve"> </w:t>
      </w:r>
      <w:r>
        <w:t xml:space="preserve">effect size statistic is presented in the plot. Each point represents a single flow cytometry feature. Significant features are highlighted in read and labeled with their names. The horizontal dashed line represented the significance cutoff (p = 0.05). Numbers of complete observations are presented under the plot.</w:t>
      </w:r>
    </w:p>
    <w:p>
      <w:pPr>
        <w:pStyle w:val="TextBody"/>
      </w:pPr>
      <w:r>
        <w:rPr>
          <w:b/>
        </w:rPr>
        <w:t xml:space="preserve">Figure</w:t>
      </w:r>
      <w:r>
        <w:rPr>
          <w:b/>
        </w:rPr>
        <w:t xml:space="preserve"> </w:t>
      </w:r>
      <w:r>
        <w:rPr>
          <w:b/>
        </w:rPr>
        <w:t xml:space="preserve">3</w:t>
      </w:r>
      <w:r>
        <w:rPr>
          <w:b/>
        </w:rPr>
        <w:t xml:space="preserve">. Monocyte subset distribution in healthy controls, moderate and severe COVID-19.</w:t>
      </w:r>
    </w:p>
    <w:p>
      <w:pPr>
        <w:pStyle w:val="TextBody"/>
      </w:pPr>
      <w:r>
        <w:t xml:space="preserve">Percentages of classical, intermediate and non-classical monocytes within the monocyte cluster cells (</w:t>
      </w:r>
      <w:r>
        <w:rPr>
          <w:b/>
        </w:rPr>
        <w:t xml:space="preserve">Supplementary Figure S1</w:t>
      </w:r>
      <w:r>
        <w:t xml:space="preserve"> </w:t>
      </w:r>
      <w:r>
        <w:t xml:space="preserve">-</w:t>
      </w:r>
      <w:r>
        <w:t xml:space="preserve"> </w:t>
      </w:r>
      <w:r>
        <w:rPr>
          <w:b/>
        </w:rPr>
        <w:t xml:space="preserve">S2</w:t>
      </w:r>
      <w:r>
        <w:t xml:space="preserve">) were measured in healthy controls, moderate and severe COVID-19 patients. Statistical significance was determined by Kruskal-Wallis test with Mann-Whitney post-hoc test. Testing results were adjusted for multiple comparisons with Benjamini-Hochberg method.</w:t>
      </w:r>
    </w:p>
    <w:p>
      <w:pPr>
        <w:pStyle w:val="TextBody"/>
      </w:pPr>
      <w:r>
        <w:rPr>
          <w:b/>
        </w:rPr>
        <w:t xml:space="preserve">(A)</w:t>
      </w:r>
      <w:r>
        <w:t xml:space="preserve"> </w:t>
      </w:r>
      <w:r>
        <w:t xml:space="preserve">Representative cytometry results. Monocyte cluster cells are presented.</w:t>
      </w:r>
    </w:p>
    <w:p>
      <w:pPr>
        <w:pStyle w:val="TextBody"/>
      </w:pPr>
      <w:r>
        <w:rPr>
          <w:b/>
        </w:rPr>
        <w:t xml:space="preserve">(B)</w:t>
      </w:r>
      <w:r>
        <w:t xml:space="preserve"> </w:t>
      </w:r>
      <w:r>
        <w:t xml:space="preserve">Summary plots. Kruskal-Wallis p values are indicated in the plot sub-heading, post-hoc test results are shown in the plot, numbers fo complete observations are presented next to the plot. Each point represents a single observation, boxes represent medians with interquartile range (IQR), whiskers span over the 150% IQR range.</w:t>
      </w:r>
    </w:p>
    <w:p>
      <w:pPr>
        <w:pStyle w:val="TextBody"/>
      </w:pPr>
      <w:r>
        <w:rPr>
          <w:b/>
        </w:rPr>
        <w:t xml:space="preserve">Figure</w:t>
      </w:r>
      <w:r>
        <w:rPr>
          <w:b/>
        </w:rPr>
        <w:t xml:space="preserve"> </w:t>
      </w:r>
      <w:r>
        <w:rPr>
          <w:b/>
        </w:rPr>
        <w:t xml:space="preserve">4</w:t>
      </w:r>
      <w:r>
        <w:rPr>
          <w:b/>
        </w:rPr>
        <w:t xml:space="preserve">. Unsupervised clustering of healthy controls and COVID-19 individuals by myeloid leukocyte cytometry features.</w:t>
      </w:r>
    </w:p>
    <w:p>
      <w:pPr>
        <w:pStyle w:val="TextBody"/>
      </w:pPr>
      <w:r>
        <w:t xml:space="preserve">Flow cytometry features (n = 40,</w:t>
      </w:r>
      <w:r>
        <w:t xml:space="preserve"> </w:t>
      </w:r>
      <w:r>
        <w:rPr>
          <w:b/>
        </w:rPr>
        <w:t xml:space="preserve">Supplementary Table S3</w:t>
      </w:r>
      <w:r>
        <w:t xml:space="preserve">) and study participants (n numbers presented in</w:t>
      </w:r>
      <w:r>
        <w:t xml:space="preserve"> </w:t>
      </w:r>
      <w:r>
        <w:rPr>
          <w:b/>
        </w:rPr>
        <w:t xml:space="preserve">B</w:t>
      </w:r>
      <w:r>
        <w:t xml:space="preserve">) were subjected to clustering analysis with a combined self-organizing map (SOM) - hierarchical clustering (HCl) algorithm (</w:t>
      </w:r>
      <w:r>
        <w:rPr>
          <w:b/>
        </w:rPr>
        <w:t xml:space="preserve">Supplementary Figure S9</w:t>
      </w:r>
      <w:r>
        <w:t xml:space="preserve">). Three clusters of cytometry features termed after the most characteristic features (neutrophil, CD40, CD64, CD71, CD86 and CD163) and four participant clusters were identified.</w:t>
      </w:r>
    </w:p>
    <w:p>
      <w:pPr>
        <w:pStyle w:val="TextBody"/>
      </w:pPr>
      <w:r>
        <w:rPr>
          <w:b/>
        </w:rPr>
        <w:t xml:space="preserve">(A)</w:t>
      </w:r>
      <w:r>
        <w:t xml:space="preserve"> </w:t>
      </w:r>
      <w:r>
        <w:t xml:space="preserve">Normalized levels of flow cytometry parameters (Z-score) in the participant (horizontal) and cytometry feature clusters (vertical plot facets) presented as a heat map.</w:t>
      </w:r>
    </w:p>
    <w:p>
      <w:pPr>
        <w:pStyle w:val="TextBody"/>
      </w:pPr>
      <w:r>
        <w:rPr>
          <w:b/>
        </w:rPr>
        <w:t xml:space="preserve">(B)</w:t>
      </w:r>
      <w:r>
        <w:t xml:space="preserve"> </w:t>
      </w:r>
      <w:r>
        <w:t xml:space="preserve">Percentages of healthy controls, moderate and severe COVID-19 participants in the participant clusters. Statistical significance was determined by</w:t>
      </w:r>
      <w:r>
        <w:t xml:space="preserve"> </w:t>
      </w:r>
      <m:oMath>
        <m:sSup>
          <m:e>
            <m:r>
              <m:t>χ</m:t>
            </m:r>
          </m:e>
          <m:sup>
            <m:r>
              <m:t>2</m:t>
            </m:r>
          </m:sup>
        </m:sSup>
      </m:oMath>
      <w:r>
        <w:t xml:space="preserve"> </w:t>
      </w:r>
      <w:r>
        <w:t xml:space="preserve">test.</w:t>
      </w:r>
    </w:p>
    <w:p>
      <w:pPr>
        <w:pStyle w:val="TextBody"/>
      </w:pPr>
      <w:r>
        <w:rPr>
          <w:b/>
        </w:rPr>
        <w:t xml:space="preserve">Figure</w:t>
      </w:r>
      <w:r>
        <w:rPr>
          <w:b/>
        </w:rPr>
        <w:t xml:space="preserve"> </w:t>
      </w:r>
      <w:r>
        <w:rPr>
          <w:b/>
        </w:rPr>
        <w:t xml:space="preserve">5</w:t>
      </w:r>
      <w:r>
        <w:rPr>
          <w:b/>
        </w:rPr>
        <w:t xml:space="preserve">. Differences in systemic inflammation status between the clusters of study participants.</w:t>
      </w:r>
    </w:p>
    <w:p>
      <w:pPr>
        <w:pStyle w:val="TextBody"/>
      </w:pPr>
      <w:r>
        <w:t xml:space="preserve">Blood levels of markers of inflammation (IL6: interleukin 6, C-reactive protein: CRP, neopterin) and iron turnover (ferritin, plasma iron, TF-Sat: transferrin saturation) were compared in COVID-19 patients assigned to the participant clusters (</w:t>
      </w:r>
      <w:r>
        <w:rPr>
          <w:b/>
        </w:rPr>
        <w:t xml:space="preserve">Figure</w:t>
      </w:r>
      <w:r>
        <w:rPr>
          <w:b/>
        </w:rPr>
        <w:t xml:space="preserve"> </w:t>
      </w:r>
      <w:r>
        <w:rPr>
          <w:b/>
        </w:rPr>
        <w:t xml:space="preserve">4</w:t>
      </w:r>
      <w:r>
        <w:rPr>
          <w:b/>
        </w:rPr>
        <w:t xml:space="preserve">A</w:t>
      </w:r>
      <w:r>
        <w:t xml:space="preserve">,</w:t>
      </w:r>
      <w:r>
        <w:t xml:space="preserve"> </w:t>
      </w:r>
      <w:r>
        <w:rPr>
          <w:b/>
        </w:rPr>
        <w:t xml:space="preserve">Supplementary Figure S9</w:t>
      </w:r>
      <w:r>
        <w:t xml:space="preserve">). Statistical significance was determined by Kruskal-Wallis test with Mann-Whitney post-hoc test. Testing results were adjusted for multiple comparisons with Benjamini-Hochberg method. Numbers of participants assigned to the clusters are indicated under the plots.</w:t>
      </w:r>
    </w:p>
    <w:p>
      <w:r>
        <w:br w:type="page"/>
      </w:r>
    </w:p>
    <w:p>
      <w:pPr>
        <w:pStyle w:val="Heading1"/>
      </w:pPr>
      <w:bookmarkStart w:id="52" w:name="figures"/>
      <w:r>
        <w:t xml:space="preserve">Figures</w:t>
      </w:r>
      <w:bookmarkEnd w:id="52"/>
    </w:p>
    <w:p>
      <w:pPr>
        <w:pStyle w:val="CaptionedFigure"/>
      </w:pPr>
      <w:r>
        <w:drawing>
          <wp:inline>
            <wp:extent cx="5943600" cy="4953000"/>
            <wp:effectExtent b="0" l="0" r="0" t="0"/>
            <wp:docPr descr="Figure 1: Analysis inclusion scheme." title="" id="1" name="Picture"/>
            <a:graphic>
              <a:graphicData uri="http://schemas.openxmlformats.org/drawingml/2006/picture">
                <pic:pic>
                  <pic:nvPicPr>
                    <pic:cNvPr descr="main_manuscript_revision_files/figure-docx/fig-consort-1.pdf" id="0" name="Picture"/>
                    <pic:cNvPicPr>
                      <a:picLocks noChangeArrowheads="1" noChangeAspect="1"/>
                    </pic:cNvPicPr>
                  </pic:nvPicPr>
                  <pic:blipFill>
                    <a:blip r:embed="rId5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1: Analysis inclusion scheme.</w:t>
      </w:r>
    </w:p>
    <w:p>
      <w:r>
        <w:br w:type="page"/>
      </w:r>
    </w:p>
    <w:p>
      <w:pPr>
        <w:pStyle w:val="CaptionedFigure"/>
      </w:pPr>
      <w:r>
        <w:drawing>
          <wp:inline>
            <wp:extent cx="5943600" cy="3962400"/>
            <wp:effectExtent b="0" l="0" r="0" t="0"/>
            <wp:docPr descr="Figure 2: Screening of the flow cytometry features for the differences between healthy controls, moderate and severe COVID-19." title="" id="1" name="Picture"/>
            <a:graphic>
              <a:graphicData uri="http://schemas.openxmlformats.org/drawingml/2006/picture">
                <pic:pic>
                  <pic:nvPicPr>
                    <pic:cNvPr descr="main_manuscript_revision_files/figure-docx/fig-cyto-screen-1.pdf" id="0" name="Picture"/>
                    <pic:cNvPicPr>
                      <a:picLocks noChangeArrowheads="1" noChangeAspect="1"/>
                    </pic:cNvPicPr>
                  </pic:nvPicPr>
                  <pic:blipFill>
                    <a:blip r:embed="rId5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Screening of the flow cytometry features for the differences between healthy controls, moderate and severe COVID-19.</w:t>
      </w:r>
    </w:p>
    <w:p>
      <w:r>
        <w:br w:type="page"/>
      </w:r>
    </w:p>
    <w:p>
      <w:pPr>
        <w:pStyle w:val="CaptionedFigure"/>
      </w:pPr>
      <w:r>
        <w:drawing>
          <wp:inline>
            <wp:extent cx="5943600" cy="7260515"/>
            <wp:effectExtent b="0" l="0" r="0" t="0"/>
            <wp:docPr descr="Figure 3: Monocyte subset distribution in healthy controls, moderate and severe COVID-19." title="" id="1" name="Picture"/>
            <a:graphic>
              <a:graphicData uri="http://schemas.openxmlformats.org/drawingml/2006/picture">
                <pic:pic>
                  <pic:nvPicPr>
                    <pic:cNvPr descr="main_manuscript_revision_files/figure-docx/fig-subset-distribution-1.pdf" id="0" name="Picture"/>
                    <pic:cNvPicPr>
                      <a:picLocks noChangeArrowheads="1" noChangeAspect="1"/>
                    </pic:cNvPicPr>
                  </pic:nvPicPr>
                  <pic:blipFill>
                    <a:blip r:embed="rId55"/>
                    <a:stretch>
                      <a:fillRect/>
                    </a:stretch>
                  </pic:blipFill>
                  <pic:spPr bwMode="auto">
                    <a:xfrm>
                      <a:off x="0" y="0"/>
                      <a:ext cx="5943600" cy="7260515"/>
                    </a:xfrm>
                    <a:prstGeom prst="rect">
                      <a:avLst/>
                    </a:prstGeom>
                    <a:noFill/>
                    <a:ln w="9525">
                      <a:noFill/>
                      <a:headEnd/>
                      <a:tailEnd/>
                    </a:ln>
                  </pic:spPr>
                </pic:pic>
              </a:graphicData>
            </a:graphic>
          </wp:inline>
        </w:drawing>
      </w:r>
    </w:p>
    <w:p>
      <w:pPr>
        <w:pStyle w:val="ImageCaption"/>
      </w:pPr>
      <w:r>
        <w:t xml:space="preserve">Figure 3: Monocyte subset distribution in healthy controls, moderate and severe COVID-19.</w:t>
      </w:r>
    </w:p>
    <w:p>
      <w:r>
        <w:br w:type="page"/>
      </w:r>
    </w:p>
    <w:p>
      <w:pPr>
        <w:pStyle w:val="CaptionedFigure"/>
      </w:pPr>
      <w:r>
        <w:drawing>
          <wp:inline>
            <wp:extent cx="5943600" cy="4953000"/>
            <wp:effectExtent b="0" l="0" r="0" t="0"/>
            <wp:docPr descr="Figure 4: Unsupervised clustering of healthy controls and COVID-19 individuals by myeloid leukocyte cytometry features." title="" id="1" name="Picture"/>
            <a:graphic>
              <a:graphicData uri="http://schemas.openxmlformats.org/drawingml/2006/picture">
                <pic:pic>
                  <pic:nvPicPr>
                    <pic:cNvPr descr="main_manuscript_revision_files/figure-docx/fig-clustering-1.pdf" id="0" name="Picture"/>
                    <pic:cNvPicPr>
                      <a:picLocks noChangeArrowheads="1" noChangeAspect="1"/>
                    </pic:cNvPicPr>
                  </pic:nvPicPr>
                  <pic:blipFill>
                    <a:blip r:embed="rId56"/>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4: Unsupervised clustering of healthy controls and COVID-19 individuals by myeloid leukocyte cytometry features.</w:t>
      </w:r>
    </w:p>
    <w:p>
      <w:r>
        <w:br w:type="page"/>
      </w:r>
    </w:p>
    <w:p>
      <w:pPr>
        <w:pStyle w:val="CaptionedFigure"/>
      </w:pPr>
      <w:r>
        <w:drawing>
          <wp:inline>
            <wp:extent cx="5943600" cy="7260515"/>
            <wp:effectExtent b="0" l="0" r="0" t="0"/>
            <wp:docPr descr="Figure 5: Differences in systemic inflammation status between the clusters of study participants." title="" id="1" name="Picture"/>
            <a:graphic>
              <a:graphicData uri="http://schemas.openxmlformats.org/drawingml/2006/picture">
                <pic:pic>
                  <pic:nvPicPr>
                    <pic:cNvPr descr="main_manuscript_revision_files/figure-docx/fig-clust-inflammation-1.pdf" id="0" name="Picture"/>
                    <pic:cNvPicPr>
                      <a:picLocks noChangeArrowheads="1" noChangeAspect="1"/>
                    </pic:cNvPicPr>
                  </pic:nvPicPr>
                  <pic:blipFill>
                    <a:blip r:embed="rId57"/>
                    <a:stretch>
                      <a:fillRect/>
                    </a:stretch>
                  </pic:blipFill>
                  <pic:spPr bwMode="auto">
                    <a:xfrm>
                      <a:off x="0" y="0"/>
                      <a:ext cx="5943600" cy="7260515"/>
                    </a:xfrm>
                    <a:prstGeom prst="rect">
                      <a:avLst/>
                    </a:prstGeom>
                    <a:noFill/>
                    <a:ln w="9525">
                      <a:noFill/>
                      <a:headEnd/>
                      <a:tailEnd/>
                    </a:ln>
                  </pic:spPr>
                </pic:pic>
              </a:graphicData>
            </a:graphic>
          </wp:inline>
        </w:drawing>
      </w:r>
    </w:p>
    <w:p>
      <w:pPr>
        <w:pStyle w:val="ImageCaption"/>
      </w:pPr>
      <w:r>
        <w:t xml:space="preserve">Figure 5: Differences in systemic inflammation status between the clusters of study participants.</w:t>
      </w:r>
    </w:p>
    <w:p>
      <w:r>
        <w:br w:type="page"/>
      </w:r>
    </w:p>
    <w:p>
      <w:pPr>
        <w:pStyle w:val="Heading1"/>
      </w:pPr>
      <w:bookmarkStart w:id="58" w:name="references"/>
      <w:r>
        <w:t xml:space="preserve">References</w:t>
      </w:r>
      <w:bookmarkEnd w:id="58"/>
    </w:p>
    <w:bookmarkStart w:id="211" w:name="refs"/>
    <w:bookmarkStart w:id="60" w:name="ref-WHO2021"/>
    <w:p>
      <w:pPr>
        <w:pStyle w:val="Bibliography"/>
      </w:pPr>
      <w:r>
        <w:t xml:space="preserve">1.</w:t>
      </w:r>
      <w:r>
        <w:t xml:space="preserve"> </w:t>
      </w:r>
      <w:r>
        <w:rPr>
          <w:b/>
        </w:rPr>
        <w:t xml:space="preserve">WHO</w:t>
      </w:r>
      <w:r>
        <w:t xml:space="preserve">. Weekly Operational Update on COVID-19.</w:t>
      </w:r>
      <w:r>
        <w:t xml:space="preserve"> </w:t>
      </w:r>
      <w:r>
        <w:rPr>
          <w:i/>
        </w:rPr>
        <w:t xml:space="preserve">Emergency Situational Updates</w:t>
      </w:r>
      <w:r>
        <w:t xml:space="preserve">. 2021:1–10. Available at:</w:t>
      </w:r>
      <w:r>
        <w:t xml:space="preserve"> </w:t>
      </w:r>
      <w:hyperlink r:id="rId59">
        <w:r>
          <w:rPr>
            <w:rStyle w:val="InternetLink"/>
          </w:rPr>
          <w:t xml:space="preserve">https://www.who.int/publications/m/item/weekly-operational-update-on-covid-19---22-february-2022</w:t>
        </w:r>
      </w:hyperlink>
      <w:r>
        <w:t xml:space="preserve">.</w:t>
      </w:r>
    </w:p>
    <w:bookmarkEnd w:id="60"/>
    <w:bookmarkStart w:id="63" w:name="ref-Burkert2021"/>
    <w:p>
      <w:pPr>
        <w:pStyle w:val="Bibliography"/>
      </w:pPr>
      <w:r>
        <w:t xml:space="preserve">2.</w:t>
      </w:r>
      <w:r>
        <w:t xml:space="preserve"> </w:t>
      </w:r>
      <w:r>
        <w:rPr>
          <w:b/>
        </w:rPr>
        <w:t xml:space="preserve">Burkert FR</w:t>
      </w:r>
      <w:r>
        <w:t xml:space="preserve">,</w:t>
      </w:r>
      <w:r>
        <w:t xml:space="preserve"> </w:t>
      </w:r>
      <w:r>
        <w:rPr>
          <w:b/>
        </w:rPr>
        <w:t xml:space="preserve">Lanser L</w:t>
      </w:r>
      <w:r>
        <w:t xml:space="preserve">,</w:t>
      </w:r>
      <w:r>
        <w:t xml:space="preserve"> </w:t>
      </w:r>
      <w:r>
        <w:rPr>
          <w:b/>
        </w:rPr>
        <w:t xml:space="preserve">Bellmann-Weiler R</w:t>
      </w:r>
      <w:r>
        <w:t xml:space="preserve">,</w:t>
      </w:r>
      <w:r>
        <w:t xml:space="preserve"> </w:t>
      </w:r>
      <w:r>
        <w:rPr>
          <w:b/>
        </w:rPr>
        <w:t xml:space="preserve">Weiss G</w:t>
      </w:r>
      <w:r>
        <w:t xml:space="preserve">. Coronavirus Disease 2019: Clinics, Treatment, and Prevention.</w:t>
      </w:r>
      <w:r>
        <w:t xml:space="preserve"> </w:t>
      </w:r>
      <w:r>
        <w:rPr>
          <w:i/>
        </w:rPr>
        <w:t xml:space="preserve">Frontiers in microbiology</w:t>
      </w:r>
      <w:r>
        <w:t xml:space="preserve">. 2021;</w:t>
      </w:r>
      <w:r>
        <w:t xml:space="preserve"> </w:t>
      </w:r>
      <w:r>
        <w:rPr>
          <w:b/>
        </w:rPr>
        <w:t xml:space="preserve">12</w:t>
      </w:r>
      <w:r>
        <w:t xml:space="preserve">. Available at:</w:t>
      </w:r>
      <w:r>
        <w:t xml:space="preserve"> </w:t>
      </w:r>
      <w:hyperlink r:id="rId61">
        <w:r>
          <w:rPr>
            <w:rStyle w:val="InternetLink"/>
          </w:rPr>
          <w:t xml:space="preserve">https://pubmed.ncbi.nlm.nih.gov/34858373/</w:t>
        </w:r>
      </w:hyperlink>
      <w:r>
        <w:t xml:space="preserve">.DOI:</w:t>
      </w:r>
      <w:r>
        <w:t xml:space="preserve"> </w:t>
      </w:r>
      <w:hyperlink r:id="rId62">
        <w:r>
          <w:rPr>
            <w:rStyle w:val="InternetLink"/>
          </w:rPr>
          <w:t xml:space="preserve">10.3389/FMICB.2021.761887</w:t>
        </w:r>
      </w:hyperlink>
      <w:r>
        <w:t xml:space="preserve">.</w:t>
      </w:r>
    </w:p>
    <w:bookmarkEnd w:id="63"/>
    <w:bookmarkStart w:id="66" w:name="ref-Sahanic2021"/>
    <w:p>
      <w:pPr>
        <w:pStyle w:val="Bibliography"/>
      </w:pPr>
      <w:r>
        <w:t xml:space="preserve">3.</w:t>
      </w:r>
      <w:r>
        <w:t xml:space="preserve"> </w:t>
      </w:r>
      <w:r>
        <w:rPr>
          <w:b/>
        </w:rPr>
        <w:t xml:space="preserve">Sahanic S</w:t>
      </w:r>
      <w:r>
        <w:t xml:space="preserve">,</w:t>
      </w:r>
      <w:r>
        <w:t xml:space="preserve"> </w:t>
      </w:r>
      <w:r>
        <w:rPr>
          <w:b/>
        </w:rPr>
        <w:t xml:space="preserve">Tymoszuk P</w:t>
      </w:r>
      <w:r>
        <w:t xml:space="preserve">,</w:t>
      </w:r>
      <w:r>
        <w:t xml:space="preserve"> </w:t>
      </w:r>
      <w:r>
        <w:rPr>
          <w:b/>
        </w:rPr>
        <w:t xml:space="preserve">Ausserhofer D</w:t>
      </w:r>
      <w:r>
        <w:t xml:space="preserve">,</w:t>
      </w:r>
      <w:r>
        <w:t xml:space="preserve"> </w:t>
      </w:r>
      <w:r>
        <w:rPr>
          <w:b/>
        </w:rPr>
        <w:t xml:space="preserve">Rass V</w:t>
      </w:r>
      <w:r>
        <w:t xml:space="preserve">,</w:t>
      </w:r>
      <w:r>
        <w:t xml:space="preserve"> </w:t>
      </w:r>
      <w:r>
        <w:rPr>
          <w:b/>
        </w:rPr>
        <w:t xml:space="preserve">Pizzini A</w:t>
      </w:r>
      <w:r>
        <w:t xml:space="preserve">,</w:t>
      </w:r>
      <w:r>
        <w:t xml:space="preserve"> </w:t>
      </w:r>
      <w:r>
        <w:rPr>
          <w:b/>
        </w:rPr>
        <w:t xml:space="preserve">Nordmeyer G</w:t>
      </w:r>
      <w:r>
        <w:t xml:space="preserve">,</w:t>
      </w:r>
      <w:r>
        <w:t xml:space="preserve"> </w:t>
      </w:r>
      <w:r>
        <w:rPr>
          <w:b/>
        </w:rPr>
        <w:t xml:space="preserve">Hüfner K</w:t>
      </w:r>
      <w:r>
        <w:t xml:space="preserve"> </w:t>
      </w:r>
      <w:r>
        <w:rPr>
          <w:i/>
        </w:rPr>
        <w:t xml:space="preserve">et al.</w:t>
      </w:r>
      <w:r>
        <w:t xml:space="preserve"> </w:t>
      </w:r>
      <w:r>
        <w:t xml:space="preserve">Phenotyping of acute and persistent COVID-19 features in the outpatient setting: exploratory analysis of an international cross-sectional online survey.</w:t>
      </w:r>
      <w:r>
        <w:t xml:space="preserve"> </w:t>
      </w:r>
      <w:r>
        <w:rPr>
          <w:i/>
        </w:rPr>
        <w:t xml:space="preserve">Clinical Infectious Diseases</w:t>
      </w:r>
      <w:r>
        <w:t xml:space="preserve">. 2021. Available at:</w:t>
      </w:r>
      <w:r>
        <w:t xml:space="preserve"> </w:t>
      </w:r>
      <w:hyperlink r:id="rId64">
        <w:r>
          <w:rPr>
            <w:rStyle w:val="InternetLink"/>
          </w:rPr>
          <w:t xml:space="preserve">https://academic.oup.com/cid/advance-article/doi/10.1093/cid/ciab978/6440836</w:t>
        </w:r>
      </w:hyperlink>
      <w:r>
        <w:t xml:space="preserve">.DOI:</w:t>
      </w:r>
      <w:r>
        <w:t xml:space="preserve"> </w:t>
      </w:r>
      <w:hyperlink r:id="rId65">
        <w:r>
          <w:rPr>
            <w:rStyle w:val="InternetLink"/>
          </w:rPr>
          <w:t xml:space="preserve">10.1093/CID/CIAB978</w:t>
        </w:r>
      </w:hyperlink>
      <w:r>
        <w:t xml:space="preserve">.</w:t>
      </w:r>
    </w:p>
    <w:bookmarkEnd w:id="66"/>
    <w:bookmarkStart w:id="69" w:name="ref-Oberfeld2020"/>
    <w:p>
      <w:pPr>
        <w:pStyle w:val="Bibliography"/>
      </w:pPr>
      <w:r>
        <w:t xml:space="preserve">4.</w:t>
      </w:r>
      <w:r>
        <w:t xml:space="preserve"> </w:t>
      </w:r>
      <w:r>
        <w:rPr>
          <w:b/>
        </w:rPr>
        <w:t xml:space="preserve">Oberfeld B</w:t>
      </w:r>
      <w:r>
        <w:t xml:space="preserve">,</w:t>
      </w:r>
      <w:r>
        <w:t xml:space="preserve"> </w:t>
      </w:r>
      <w:r>
        <w:rPr>
          <w:b/>
        </w:rPr>
        <w:t xml:space="preserve">Achanta A</w:t>
      </w:r>
      <w:r>
        <w:t xml:space="preserve">,</w:t>
      </w:r>
      <w:r>
        <w:t xml:space="preserve"> </w:t>
      </w:r>
      <w:r>
        <w:rPr>
          <w:b/>
        </w:rPr>
        <w:t xml:space="preserve">Carpenter K</w:t>
      </w:r>
      <w:r>
        <w:t xml:space="preserve">,</w:t>
      </w:r>
      <w:r>
        <w:t xml:space="preserve"> </w:t>
      </w:r>
      <w:r>
        <w:rPr>
          <w:b/>
        </w:rPr>
        <w:t xml:space="preserve">Chen P</w:t>
      </w:r>
      <w:r>
        <w:t xml:space="preserve">,</w:t>
      </w:r>
      <w:r>
        <w:t xml:space="preserve"> </w:t>
      </w:r>
      <w:r>
        <w:rPr>
          <w:b/>
        </w:rPr>
        <w:t xml:space="preserve">Gilette NM</w:t>
      </w:r>
      <w:r>
        <w:t xml:space="preserve">,</w:t>
      </w:r>
      <w:r>
        <w:t xml:space="preserve"> </w:t>
      </w:r>
      <w:r>
        <w:rPr>
          <w:b/>
        </w:rPr>
        <w:t xml:space="preserve">Langat P</w:t>
      </w:r>
      <w:r>
        <w:t xml:space="preserve">,</w:t>
      </w:r>
      <w:r>
        <w:t xml:space="preserve"> </w:t>
      </w:r>
      <w:r>
        <w:rPr>
          <w:b/>
        </w:rPr>
        <w:t xml:space="preserve">Said JT</w:t>
      </w:r>
      <w:r>
        <w:t xml:space="preserve"> </w:t>
      </w:r>
      <w:r>
        <w:rPr>
          <w:i/>
        </w:rPr>
        <w:t xml:space="preserve">et al.</w:t>
      </w:r>
      <w:r>
        <w:t xml:space="preserve"> </w:t>
      </w:r>
      <w:r>
        <w:t xml:space="preserve">SnapShot: COVID-19.</w:t>
      </w:r>
      <w:r>
        <w:t xml:space="preserve"> </w:t>
      </w:r>
      <w:r>
        <w:rPr>
          <w:i/>
        </w:rPr>
        <w:t xml:space="preserve">Cell</w:t>
      </w:r>
      <w:r>
        <w:t xml:space="preserve">. 2020;</w:t>
      </w:r>
      <w:r>
        <w:t xml:space="preserve"> </w:t>
      </w:r>
      <w:r>
        <w:rPr>
          <w:b/>
        </w:rPr>
        <w:t xml:space="preserve">181</w:t>
      </w:r>
      <w:r>
        <w:t xml:space="preserve">:954–954.e1. Available at:</w:t>
      </w:r>
      <w:r>
        <w:t xml:space="preserve"> </w:t>
      </w:r>
      <w:hyperlink r:id="rId67">
        <w:r>
          <w:rPr>
            <w:rStyle w:val="InternetLink"/>
          </w:rPr>
          <w:t xml:space="preserve">https://pubmed.ncbi.nlm.nih.gov/32413300/</w:t>
        </w:r>
      </w:hyperlink>
      <w:r>
        <w:t xml:space="preserve">.DOI:</w:t>
      </w:r>
      <w:r>
        <w:t xml:space="preserve"> </w:t>
      </w:r>
      <w:hyperlink r:id="rId68">
        <w:r>
          <w:rPr>
            <w:rStyle w:val="InternetLink"/>
          </w:rPr>
          <w:t xml:space="preserve">10.1016/j.cell.2020.04.013</w:t>
        </w:r>
      </w:hyperlink>
      <w:r>
        <w:t xml:space="preserve">.</w:t>
      </w:r>
    </w:p>
    <w:bookmarkEnd w:id="69"/>
    <w:bookmarkStart w:id="71" w:name="ref-Riva2020"/>
    <w:p>
      <w:pPr>
        <w:pStyle w:val="Bibliography"/>
      </w:pPr>
      <w:r>
        <w:t xml:space="preserve">5.</w:t>
      </w:r>
      <w:r>
        <w:t xml:space="preserve"> </w:t>
      </w:r>
      <w:r>
        <w:rPr>
          <w:b/>
        </w:rPr>
        <w:t xml:space="preserve">Riva G</w:t>
      </w:r>
      <w:r>
        <w:t xml:space="preserve">,</w:t>
      </w:r>
      <w:r>
        <w:t xml:space="preserve"> </w:t>
      </w:r>
      <w:r>
        <w:rPr>
          <w:b/>
        </w:rPr>
        <w:t xml:space="preserve">Nasillo V</w:t>
      </w:r>
      <w:r>
        <w:t xml:space="preserve">,</w:t>
      </w:r>
      <w:r>
        <w:t xml:space="preserve"> </w:t>
      </w:r>
      <w:r>
        <w:rPr>
          <w:b/>
        </w:rPr>
        <w:t xml:space="preserve">Tagliafico E</w:t>
      </w:r>
      <w:r>
        <w:t xml:space="preserve">,</w:t>
      </w:r>
      <w:r>
        <w:t xml:space="preserve"> </w:t>
      </w:r>
      <w:r>
        <w:rPr>
          <w:b/>
        </w:rPr>
        <w:t xml:space="preserve">Trenti T</w:t>
      </w:r>
      <w:r>
        <w:t xml:space="preserve">,</w:t>
      </w:r>
      <w:r>
        <w:t xml:space="preserve"> </w:t>
      </w:r>
      <w:r>
        <w:rPr>
          <w:b/>
        </w:rPr>
        <w:t xml:space="preserve">Comoli P</w:t>
      </w:r>
      <w:r>
        <w:t xml:space="preserve">,</w:t>
      </w:r>
      <w:r>
        <w:t xml:space="preserve"> </w:t>
      </w:r>
      <w:r>
        <w:rPr>
          <w:b/>
        </w:rPr>
        <w:t xml:space="preserve">Luppi M</w:t>
      </w:r>
      <w:r>
        <w:t xml:space="preserve">. COVID-19: more than a cytokine storm.</w:t>
      </w:r>
      <w:r>
        <w:t xml:space="preserve"> </w:t>
      </w:r>
      <w:r>
        <w:rPr>
          <w:i/>
        </w:rPr>
        <w:t xml:space="preserve">Critical Care</w:t>
      </w:r>
      <w:r>
        <w:t xml:space="preserve">. 2020;</w:t>
      </w:r>
      <w:r>
        <w:t xml:space="preserve"> </w:t>
      </w:r>
      <w:r>
        <w:rPr>
          <w:b/>
        </w:rPr>
        <w:t xml:space="preserve">24</w:t>
      </w:r>
      <w:r>
        <w:t xml:space="preserve">:549. Available at:</w:t>
      </w:r>
      <w:r>
        <w:t xml:space="preserve"> </w:t>
      </w:r>
      <w:hyperlink r:id="rId70">
        <w:r>
          <w:rPr>
            <w:rStyle w:val="InternetLink"/>
          </w:rPr>
          <w:t xml:space="preserve">https://doi.org/10.1186/s13054-020-03267-w</w:t>
        </w:r>
      </w:hyperlink>
      <w:r>
        <w:t xml:space="preserve">.DOI:</w:t>
      </w:r>
      <w:r>
        <w:t xml:space="preserve"> </w:t>
      </w:r>
      <w:hyperlink r:id="rId70">
        <w:r>
          <w:rPr>
            <w:rStyle w:val="InternetLink"/>
          </w:rPr>
          <w:t xml:space="preserve">10.1186/s13054-020-03267-w</w:t>
        </w:r>
      </w:hyperlink>
      <w:r>
        <w:t xml:space="preserve">.</w:t>
      </w:r>
    </w:p>
    <w:bookmarkEnd w:id="71"/>
    <w:bookmarkStart w:id="74" w:name="ref-Fajgenbaum2020"/>
    <w:p>
      <w:pPr>
        <w:pStyle w:val="Bibliography"/>
      </w:pPr>
      <w:r>
        <w:t xml:space="preserve">6.</w:t>
      </w:r>
      <w:r>
        <w:t xml:space="preserve"> </w:t>
      </w:r>
      <w:r>
        <w:rPr>
          <w:b/>
        </w:rPr>
        <w:t xml:space="preserve">Fajgenbaum DC</w:t>
      </w:r>
      <w:r>
        <w:t xml:space="preserve">,</w:t>
      </w:r>
      <w:r>
        <w:t xml:space="preserve"> </w:t>
      </w:r>
      <w:r>
        <w:rPr>
          <w:b/>
        </w:rPr>
        <w:t xml:space="preserve">June CH</w:t>
      </w:r>
      <w:r>
        <w:t xml:space="preserve">. Cytokine Storm Longo DL, ed.</w:t>
      </w:r>
      <w:r>
        <w:t xml:space="preserve"> </w:t>
      </w:r>
      <w:r>
        <w:rPr>
          <w:i/>
        </w:rPr>
        <w:t xml:space="preserve">New England Journal of Medicine</w:t>
      </w:r>
      <w:r>
        <w:t xml:space="preserve">. 2020;</w:t>
      </w:r>
      <w:r>
        <w:t xml:space="preserve"> </w:t>
      </w:r>
      <w:r>
        <w:rPr>
          <w:b/>
        </w:rPr>
        <w:t xml:space="preserve">383</w:t>
      </w:r>
      <w:r>
        <w:t xml:space="preserve">:2255–2273. Available at:</w:t>
      </w:r>
      <w:r>
        <w:t xml:space="preserve"> </w:t>
      </w:r>
      <w:hyperlink r:id="rId72">
        <w:r>
          <w:rPr>
            <w:rStyle w:val="InternetLink"/>
          </w:rPr>
          <w:t xml:space="preserve">http://www.nejm.org/doi/10.1056/NEJMra2026131</w:t>
        </w:r>
      </w:hyperlink>
      <w:r>
        <w:t xml:space="preserve">.DOI:</w:t>
      </w:r>
      <w:r>
        <w:t xml:space="preserve"> </w:t>
      </w:r>
      <w:hyperlink r:id="rId73">
        <w:r>
          <w:rPr>
            <w:rStyle w:val="InternetLink"/>
          </w:rPr>
          <w:t xml:space="preserve">10.1056/NEJMra2026131</w:t>
        </w:r>
      </w:hyperlink>
      <w:r>
        <w:t xml:space="preserve">.</w:t>
      </w:r>
    </w:p>
    <w:bookmarkEnd w:id="74"/>
    <w:bookmarkStart w:id="77" w:name="ref-Ellinghaus2020"/>
    <w:p>
      <w:pPr>
        <w:pStyle w:val="Bibliography"/>
      </w:pPr>
      <w:r>
        <w:t xml:space="preserve">7.</w:t>
      </w:r>
      <w:r>
        <w:t xml:space="preserve"> </w:t>
      </w:r>
      <w:r>
        <w:rPr>
          <w:b/>
        </w:rPr>
        <w:t xml:space="preserve">Ellinghaus D</w:t>
      </w:r>
      <w:r>
        <w:t xml:space="preserve">,</w:t>
      </w:r>
      <w:r>
        <w:t xml:space="preserve"> </w:t>
      </w:r>
      <w:r>
        <w:rPr>
          <w:b/>
        </w:rPr>
        <w:t xml:space="preserve">Degenhardt F</w:t>
      </w:r>
      <w:r>
        <w:t xml:space="preserve">,</w:t>
      </w:r>
      <w:r>
        <w:t xml:space="preserve"> </w:t>
      </w:r>
      <w:r>
        <w:rPr>
          <w:b/>
        </w:rPr>
        <w:t xml:space="preserve">Bujanda L</w:t>
      </w:r>
      <w:r>
        <w:t xml:space="preserve">,</w:t>
      </w:r>
      <w:r>
        <w:t xml:space="preserve"> </w:t>
      </w:r>
      <w:r>
        <w:rPr>
          <w:b/>
        </w:rPr>
        <w:t xml:space="preserve">Buti M</w:t>
      </w:r>
      <w:r>
        <w:t xml:space="preserve">,</w:t>
      </w:r>
      <w:r>
        <w:t xml:space="preserve"> </w:t>
      </w:r>
      <w:r>
        <w:rPr>
          <w:b/>
        </w:rPr>
        <w:t xml:space="preserve">Albillos A</w:t>
      </w:r>
      <w:r>
        <w:t xml:space="preserve">,</w:t>
      </w:r>
      <w:r>
        <w:t xml:space="preserve"> </w:t>
      </w:r>
      <w:r>
        <w:rPr>
          <w:b/>
        </w:rPr>
        <w:t xml:space="preserve">Invernizzi P</w:t>
      </w:r>
      <w:r>
        <w:t xml:space="preserve">,</w:t>
      </w:r>
      <w:r>
        <w:t xml:space="preserve"> </w:t>
      </w:r>
      <w:r>
        <w:rPr>
          <w:b/>
        </w:rPr>
        <w:t xml:space="preserve">Fernández J</w:t>
      </w:r>
      <w:r>
        <w:t xml:space="preserve"> </w:t>
      </w:r>
      <w:r>
        <w:rPr>
          <w:i/>
        </w:rPr>
        <w:t xml:space="preserve">et al.</w:t>
      </w:r>
      <w:r>
        <w:t xml:space="preserve"> </w:t>
      </w:r>
      <w:r>
        <w:t xml:space="preserve">Genomewide Association Study of Severe Covid-19 with Respiratory Failure.</w:t>
      </w:r>
      <w:r>
        <w:t xml:space="preserve"> </w:t>
      </w:r>
      <w:r>
        <w:rPr>
          <w:i/>
        </w:rPr>
        <w:t xml:space="preserve">The New England journal of medicine</w:t>
      </w:r>
      <w:r>
        <w:t xml:space="preserve">. 2020;</w:t>
      </w:r>
      <w:r>
        <w:t xml:space="preserve"> </w:t>
      </w:r>
      <w:r>
        <w:rPr>
          <w:b/>
        </w:rPr>
        <w:t xml:space="preserve">383</w:t>
      </w:r>
      <w:r>
        <w:t xml:space="preserve">:1522–1534. Available at:</w:t>
      </w:r>
      <w:r>
        <w:t xml:space="preserve"> </w:t>
      </w:r>
      <w:hyperlink r:id="rId75">
        <w:r>
          <w:rPr>
            <w:rStyle w:val="InternetLink"/>
          </w:rPr>
          <w:t xml:space="preserve">https://pubmed.ncbi.nlm.nih.gov/32558485 https://www.ncbi.nlm.nih.gov/pmc/articles/PMC7315890/</w:t>
        </w:r>
      </w:hyperlink>
      <w:r>
        <w:t xml:space="preserve">.DOI:</w:t>
      </w:r>
      <w:r>
        <w:t xml:space="preserve"> </w:t>
      </w:r>
      <w:hyperlink r:id="rId76">
        <w:r>
          <w:rPr>
            <w:rStyle w:val="InternetLink"/>
          </w:rPr>
          <w:t xml:space="preserve">10.1056/NEJMoa2020283</w:t>
        </w:r>
      </w:hyperlink>
      <w:r>
        <w:t xml:space="preserve">.</w:t>
      </w:r>
    </w:p>
    <w:bookmarkEnd w:id="77"/>
    <w:bookmarkStart w:id="80" w:name="ref-Zhang2020a"/>
    <w:p>
      <w:pPr>
        <w:pStyle w:val="Bibliography"/>
      </w:pPr>
      <w:r>
        <w:t xml:space="preserve">8.</w:t>
      </w:r>
      <w:r>
        <w:t xml:space="preserve"> </w:t>
      </w:r>
      <w:r>
        <w:rPr>
          <w:b/>
        </w:rPr>
        <w:t xml:space="preserve">Zhang Q</w:t>
      </w:r>
      <w:r>
        <w:t xml:space="preserve">,</w:t>
      </w:r>
      <w:r>
        <w:t xml:space="preserve"> </w:t>
      </w:r>
      <w:r>
        <w:rPr>
          <w:b/>
        </w:rPr>
        <w:t xml:space="preserve">Liu Z</w:t>
      </w:r>
      <w:r>
        <w:t xml:space="preserve">,</w:t>
      </w:r>
      <w:r>
        <w:t xml:space="preserve"> </w:t>
      </w:r>
      <w:r>
        <w:rPr>
          <w:b/>
        </w:rPr>
        <w:t xml:space="preserve">Moncada-Velez M</w:t>
      </w:r>
      <w:r>
        <w:t xml:space="preserve">,</w:t>
      </w:r>
      <w:r>
        <w:t xml:space="preserve"> </w:t>
      </w:r>
      <w:r>
        <w:rPr>
          <w:b/>
        </w:rPr>
        <w:t xml:space="preserve">Chen J</w:t>
      </w:r>
      <w:r>
        <w:t xml:space="preserve">,</w:t>
      </w:r>
      <w:r>
        <w:t xml:space="preserve"> </w:t>
      </w:r>
      <w:r>
        <w:rPr>
          <w:b/>
        </w:rPr>
        <w:t xml:space="preserve">Ogishi M</w:t>
      </w:r>
      <w:r>
        <w:t xml:space="preserve">,</w:t>
      </w:r>
      <w:r>
        <w:t xml:space="preserve"> </w:t>
      </w:r>
      <w:r>
        <w:rPr>
          <w:b/>
        </w:rPr>
        <w:t xml:space="preserve">Bigio B</w:t>
      </w:r>
      <w:r>
        <w:t xml:space="preserve">,</w:t>
      </w:r>
      <w:r>
        <w:t xml:space="preserve"> </w:t>
      </w:r>
      <w:r>
        <w:rPr>
          <w:b/>
        </w:rPr>
        <w:t xml:space="preserve">Yang R</w:t>
      </w:r>
      <w:r>
        <w:t xml:space="preserve"> </w:t>
      </w:r>
      <w:r>
        <w:rPr>
          <w:i/>
        </w:rPr>
        <w:t xml:space="preserve">et al.</w:t>
      </w:r>
      <w:r>
        <w:t xml:space="preserve"> </w:t>
      </w:r>
      <w:r>
        <w:t xml:space="preserve">Inborn errors of type I IFN immunity in patients with life-threatening COVID-19.</w:t>
      </w:r>
      <w:r>
        <w:t xml:space="preserve"> </w:t>
      </w:r>
      <w:r>
        <w:rPr>
          <w:i/>
        </w:rPr>
        <w:t xml:space="preserve">Science</w:t>
      </w:r>
      <w:r>
        <w:t xml:space="preserve">. 2020;</w:t>
      </w:r>
      <w:r>
        <w:t xml:space="preserve"> </w:t>
      </w:r>
      <w:r>
        <w:rPr>
          <w:b/>
        </w:rPr>
        <w:t xml:space="preserve">370</w:t>
      </w:r>
      <w:r>
        <w:t xml:space="preserve">. Available at:</w:t>
      </w:r>
      <w:r>
        <w:t xml:space="preserve"> </w:t>
      </w:r>
      <w:hyperlink r:id="rId78">
        <w:r>
          <w:rPr>
            <w:rStyle w:val="InternetLink"/>
          </w:rPr>
          <w:t xml:space="preserve">https://pubmed.ncbi.nlm.nih.gov/32972995/</w:t>
        </w:r>
      </w:hyperlink>
      <w:r>
        <w:t xml:space="preserve">.DOI:</w:t>
      </w:r>
      <w:r>
        <w:t xml:space="preserve"> </w:t>
      </w:r>
      <w:hyperlink r:id="rId79">
        <w:r>
          <w:rPr>
            <w:rStyle w:val="InternetLink"/>
          </w:rPr>
          <w:t xml:space="preserve">10.1126/science.abd4570</w:t>
        </w:r>
      </w:hyperlink>
      <w:r>
        <w:t xml:space="preserve">.</w:t>
      </w:r>
    </w:p>
    <w:bookmarkEnd w:id="80"/>
    <w:bookmarkStart w:id="82" w:name="ref-Zhang2020c"/>
    <w:p>
      <w:pPr>
        <w:pStyle w:val="Bibliography"/>
      </w:pPr>
      <w:r>
        <w:t xml:space="preserve">9.</w:t>
      </w:r>
      <w:r>
        <w:t xml:space="preserve"> </w:t>
      </w:r>
      <w:r>
        <w:rPr>
          <w:b/>
        </w:rPr>
        <w:t xml:space="preserve">Zhang X</w:t>
      </w:r>
      <w:r>
        <w:t xml:space="preserve">,</w:t>
      </w:r>
      <w:r>
        <w:t xml:space="preserve"> </w:t>
      </w:r>
      <w:r>
        <w:rPr>
          <w:b/>
        </w:rPr>
        <w:t xml:space="preserve">Tan Y</w:t>
      </w:r>
      <w:r>
        <w:t xml:space="preserve">,</w:t>
      </w:r>
      <w:r>
        <w:t xml:space="preserve"> </w:t>
      </w:r>
      <w:r>
        <w:rPr>
          <w:b/>
        </w:rPr>
        <w:t xml:space="preserve">Ling Y</w:t>
      </w:r>
      <w:r>
        <w:t xml:space="preserve">,</w:t>
      </w:r>
      <w:r>
        <w:t xml:space="preserve"> </w:t>
      </w:r>
      <w:r>
        <w:rPr>
          <w:b/>
        </w:rPr>
        <w:t xml:space="preserve">Lu G</w:t>
      </w:r>
      <w:r>
        <w:t xml:space="preserve">,</w:t>
      </w:r>
      <w:r>
        <w:t xml:space="preserve"> </w:t>
      </w:r>
      <w:r>
        <w:rPr>
          <w:b/>
        </w:rPr>
        <w:t xml:space="preserve">Liu F</w:t>
      </w:r>
      <w:r>
        <w:t xml:space="preserve">,</w:t>
      </w:r>
      <w:r>
        <w:t xml:space="preserve"> </w:t>
      </w:r>
      <w:r>
        <w:rPr>
          <w:b/>
        </w:rPr>
        <w:t xml:space="preserve">Yi Z</w:t>
      </w:r>
      <w:r>
        <w:t xml:space="preserve">,</w:t>
      </w:r>
      <w:r>
        <w:t xml:space="preserve"> </w:t>
      </w:r>
      <w:r>
        <w:rPr>
          <w:b/>
        </w:rPr>
        <w:t xml:space="preserve">Jia X</w:t>
      </w:r>
      <w:r>
        <w:t xml:space="preserve"> </w:t>
      </w:r>
      <w:r>
        <w:rPr>
          <w:i/>
        </w:rPr>
        <w:t xml:space="preserve">et al.</w:t>
      </w:r>
      <w:r>
        <w:t xml:space="preserve"> </w:t>
      </w:r>
      <w:r>
        <w:t xml:space="preserve">Viral and host factors related to the clinical outcome of COVID-19.</w:t>
      </w:r>
      <w:r>
        <w:t xml:space="preserve"> </w:t>
      </w:r>
      <w:r>
        <w:rPr>
          <w:i/>
        </w:rPr>
        <w:t xml:space="preserve">Nature</w:t>
      </w:r>
      <w:r>
        <w:t xml:space="preserve">. 2020;</w:t>
      </w:r>
      <w:r>
        <w:t xml:space="preserve"> </w:t>
      </w:r>
      <w:r>
        <w:rPr>
          <w:b/>
        </w:rPr>
        <w:t xml:space="preserve">583</w:t>
      </w:r>
      <w:r>
        <w:t xml:space="preserve">:437–440. Available at:</w:t>
      </w:r>
      <w:r>
        <w:t xml:space="preserve"> </w:t>
      </w:r>
      <w:hyperlink r:id="rId81">
        <w:r>
          <w:rPr>
            <w:rStyle w:val="InternetLink"/>
          </w:rPr>
          <w:t xml:space="preserve">https://doi.org/10.1038/s41586-020-2355-0</w:t>
        </w:r>
      </w:hyperlink>
      <w:r>
        <w:t xml:space="preserve">.DOI:</w:t>
      </w:r>
      <w:r>
        <w:t xml:space="preserve"> </w:t>
      </w:r>
      <w:hyperlink r:id="rId81">
        <w:r>
          <w:rPr>
            <w:rStyle w:val="InternetLink"/>
          </w:rPr>
          <w:t xml:space="preserve">10.1038/s41586-020-2355-0</w:t>
        </w:r>
      </w:hyperlink>
      <w:r>
        <w:t xml:space="preserve">.</w:t>
      </w:r>
    </w:p>
    <w:bookmarkEnd w:id="82"/>
    <w:bookmarkStart w:id="85" w:name="ref-VanDerMade2020"/>
    <w:p>
      <w:pPr>
        <w:pStyle w:val="Bibliography"/>
      </w:pPr>
      <w:r>
        <w:t xml:space="preserve">10.</w:t>
      </w:r>
      <w:r>
        <w:t xml:space="preserve"> </w:t>
      </w:r>
      <w:r>
        <w:rPr>
          <w:b/>
        </w:rPr>
        <w:t xml:space="preserve">Van Der Made CI</w:t>
      </w:r>
      <w:r>
        <w:t xml:space="preserve">,</w:t>
      </w:r>
      <w:r>
        <w:t xml:space="preserve"> </w:t>
      </w:r>
      <w:r>
        <w:rPr>
          <w:b/>
        </w:rPr>
        <w:t xml:space="preserve">Simons A</w:t>
      </w:r>
      <w:r>
        <w:t xml:space="preserve">,</w:t>
      </w:r>
      <w:r>
        <w:t xml:space="preserve"> </w:t>
      </w:r>
      <w:r>
        <w:rPr>
          <w:b/>
        </w:rPr>
        <w:t xml:space="preserve">Schuurs-Hoeijmakers J</w:t>
      </w:r>
      <w:r>
        <w:t xml:space="preserve">,</w:t>
      </w:r>
      <w:r>
        <w:t xml:space="preserve"> </w:t>
      </w:r>
      <w:r>
        <w:rPr>
          <w:b/>
        </w:rPr>
        <w:t xml:space="preserve">Van Den Heuvel G</w:t>
      </w:r>
      <w:r>
        <w:t xml:space="preserve">,</w:t>
      </w:r>
      <w:r>
        <w:t xml:space="preserve"> </w:t>
      </w:r>
      <w:r>
        <w:rPr>
          <w:b/>
        </w:rPr>
        <w:t xml:space="preserve">Mantere T</w:t>
      </w:r>
      <w:r>
        <w:t xml:space="preserve">,</w:t>
      </w:r>
      <w:r>
        <w:t xml:space="preserve"> </w:t>
      </w:r>
      <w:r>
        <w:rPr>
          <w:b/>
        </w:rPr>
        <w:t xml:space="preserve">Kersten S</w:t>
      </w:r>
      <w:r>
        <w:t xml:space="preserve">,</w:t>
      </w:r>
      <w:r>
        <w:t xml:space="preserve"> </w:t>
      </w:r>
      <w:r>
        <w:rPr>
          <w:b/>
        </w:rPr>
        <w:t xml:space="preserve">Van Deuren RC</w:t>
      </w:r>
      <w:r>
        <w:t xml:space="preserve"> </w:t>
      </w:r>
      <w:r>
        <w:rPr>
          <w:i/>
        </w:rPr>
        <w:t xml:space="preserve">et al.</w:t>
      </w:r>
      <w:r>
        <w:t xml:space="preserve"> </w:t>
      </w:r>
      <w:r>
        <w:t xml:space="preserve">Presence of Genetic Variants among Young Men with Severe COVID-19.</w:t>
      </w:r>
      <w:r>
        <w:t xml:space="preserve"> </w:t>
      </w:r>
      <w:r>
        <w:rPr>
          <w:i/>
        </w:rPr>
        <w:t xml:space="preserve">JAMA - Journal of the American Medical Association</w:t>
      </w:r>
      <w:r>
        <w:t xml:space="preserve">. 2020;</w:t>
      </w:r>
      <w:r>
        <w:t xml:space="preserve"> </w:t>
      </w:r>
      <w:r>
        <w:rPr>
          <w:b/>
        </w:rPr>
        <w:t xml:space="preserve">324</w:t>
      </w:r>
      <w:r>
        <w:t xml:space="preserve">:663–673. Available at:</w:t>
      </w:r>
      <w:r>
        <w:t xml:space="preserve"> </w:t>
      </w:r>
      <w:hyperlink r:id="rId83">
        <w:r>
          <w:rPr>
            <w:rStyle w:val="InternetLink"/>
          </w:rPr>
          <w:t xml:space="preserve">https://pubmed.ncbi.nlm.nih.gov/32706371/</w:t>
        </w:r>
      </w:hyperlink>
      <w:r>
        <w:t xml:space="preserve">.DOI:</w:t>
      </w:r>
      <w:r>
        <w:t xml:space="preserve"> </w:t>
      </w:r>
      <w:hyperlink r:id="rId84">
        <w:r>
          <w:rPr>
            <w:rStyle w:val="InternetLink"/>
          </w:rPr>
          <w:t xml:space="preserve">10.1001/jama.2020.13719</w:t>
        </w:r>
      </w:hyperlink>
      <w:r>
        <w:t xml:space="preserve">.</w:t>
      </w:r>
    </w:p>
    <w:bookmarkEnd w:id="85"/>
    <w:bookmarkStart w:id="88" w:name="ref-Schulte-Schrepping2020"/>
    <w:p>
      <w:pPr>
        <w:pStyle w:val="Bibliography"/>
      </w:pPr>
      <w:r>
        <w:t xml:space="preserve">11.</w:t>
      </w:r>
      <w:r>
        <w:t xml:space="preserve"> </w:t>
      </w:r>
      <w:r>
        <w:rPr>
          <w:b/>
        </w:rPr>
        <w:t xml:space="preserve">Schulte-Schrepping J</w:t>
      </w:r>
      <w:r>
        <w:t xml:space="preserve">,</w:t>
      </w:r>
      <w:r>
        <w:t xml:space="preserve"> </w:t>
      </w:r>
      <w:r>
        <w:rPr>
          <w:b/>
        </w:rPr>
        <w:t xml:space="preserve">Reusch N</w:t>
      </w:r>
      <w:r>
        <w:t xml:space="preserve">,</w:t>
      </w:r>
      <w:r>
        <w:t xml:space="preserve"> </w:t>
      </w:r>
      <w:r>
        <w:rPr>
          <w:b/>
        </w:rPr>
        <w:t xml:space="preserve">Paclik D</w:t>
      </w:r>
      <w:r>
        <w:t xml:space="preserve">,</w:t>
      </w:r>
      <w:r>
        <w:t xml:space="preserve"> </w:t>
      </w:r>
      <w:r>
        <w:rPr>
          <w:b/>
        </w:rPr>
        <w:t xml:space="preserve">Baßler K</w:t>
      </w:r>
      <w:r>
        <w:t xml:space="preserve">,</w:t>
      </w:r>
      <w:r>
        <w:t xml:space="preserve"> </w:t>
      </w:r>
      <w:r>
        <w:rPr>
          <w:b/>
        </w:rPr>
        <w:t xml:space="preserve">Schlickeiser S</w:t>
      </w:r>
      <w:r>
        <w:t xml:space="preserve">,</w:t>
      </w:r>
      <w:r>
        <w:t xml:space="preserve"> </w:t>
      </w:r>
      <w:r>
        <w:rPr>
          <w:b/>
        </w:rPr>
        <w:t xml:space="preserve">Zhang B</w:t>
      </w:r>
      <w:r>
        <w:t xml:space="preserve">,</w:t>
      </w:r>
      <w:r>
        <w:t xml:space="preserve"> </w:t>
      </w:r>
      <w:r>
        <w:rPr>
          <w:b/>
        </w:rPr>
        <w:t xml:space="preserve">Krämer B</w:t>
      </w:r>
      <w:r>
        <w:t xml:space="preserve"> </w:t>
      </w:r>
      <w:r>
        <w:rPr>
          <w:i/>
        </w:rPr>
        <w:t xml:space="preserve">et al.</w:t>
      </w:r>
      <w:r>
        <w:t xml:space="preserve"> </w:t>
      </w:r>
      <w:r>
        <w:t xml:space="preserve">Severe COVID-19 Is Marked by a Dysregulated Myeloid Cell Compartment.</w:t>
      </w:r>
      <w:r>
        <w:t xml:space="preserve"> </w:t>
      </w:r>
      <w:r>
        <w:rPr>
          <w:i/>
        </w:rPr>
        <w:t xml:space="preserve">Cell</w:t>
      </w:r>
      <w:r>
        <w:t xml:space="preserve">. 2020;</w:t>
      </w:r>
      <w:r>
        <w:t xml:space="preserve"> </w:t>
      </w:r>
      <w:r>
        <w:rPr>
          <w:b/>
        </w:rPr>
        <w:t xml:space="preserve">182</w:t>
      </w:r>
      <w:r>
        <w:t xml:space="preserve">:1419–1440.e23. Available at:</w:t>
      </w:r>
      <w:r>
        <w:t xml:space="preserve"> </w:t>
      </w:r>
      <w:hyperlink r:id="rId86">
        <w:r>
          <w:rPr>
            <w:rStyle w:val="InternetLink"/>
          </w:rPr>
          <w:t xml:space="preserve">https://pubmed.ncbi.nlm.nih.gov/32810438/</w:t>
        </w:r>
      </w:hyperlink>
      <w:r>
        <w:t xml:space="preserve">.DOI:</w:t>
      </w:r>
      <w:r>
        <w:t xml:space="preserve"> </w:t>
      </w:r>
      <w:hyperlink r:id="rId87">
        <w:r>
          <w:rPr>
            <w:rStyle w:val="InternetLink"/>
          </w:rPr>
          <w:t xml:space="preserve">10.1016/j.cell.2020.08.001</w:t>
        </w:r>
      </w:hyperlink>
      <w:r>
        <w:t xml:space="preserve">.</w:t>
      </w:r>
    </w:p>
    <w:bookmarkEnd w:id="88"/>
    <w:bookmarkStart w:id="91" w:name="ref-Bellmann-Weiler2021"/>
    <w:p>
      <w:pPr>
        <w:pStyle w:val="Bibliography"/>
      </w:pPr>
      <w:r>
        <w:t xml:space="preserve">12.</w:t>
      </w:r>
      <w:r>
        <w:t xml:space="preserve"> </w:t>
      </w:r>
      <w:r>
        <w:rPr>
          <w:b/>
        </w:rPr>
        <w:t xml:space="preserve">Bellmann-Weiler R</w:t>
      </w:r>
      <w:r>
        <w:t xml:space="preserve">,</w:t>
      </w:r>
      <w:r>
        <w:t xml:space="preserve"> </w:t>
      </w:r>
      <w:r>
        <w:rPr>
          <w:b/>
        </w:rPr>
        <w:t xml:space="preserve">Lanser L</w:t>
      </w:r>
      <w:r>
        <w:t xml:space="preserve">,</w:t>
      </w:r>
      <w:r>
        <w:t xml:space="preserve"> </w:t>
      </w:r>
      <w:r>
        <w:rPr>
          <w:b/>
        </w:rPr>
        <w:t xml:space="preserve">Burkert F</w:t>
      </w:r>
      <w:r>
        <w:t xml:space="preserve">,</w:t>
      </w:r>
      <w:r>
        <w:t xml:space="preserve"> </w:t>
      </w:r>
      <w:r>
        <w:rPr>
          <w:b/>
        </w:rPr>
        <w:t xml:space="preserve">Seiwald S</w:t>
      </w:r>
      <w:r>
        <w:t xml:space="preserve">,</w:t>
      </w:r>
      <w:r>
        <w:t xml:space="preserve"> </w:t>
      </w:r>
      <w:r>
        <w:rPr>
          <w:b/>
        </w:rPr>
        <w:t xml:space="preserve">Fritsche G</w:t>
      </w:r>
      <w:r>
        <w:t xml:space="preserve">,</w:t>
      </w:r>
      <w:r>
        <w:t xml:space="preserve"> </w:t>
      </w:r>
      <w:r>
        <w:rPr>
          <w:b/>
        </w:rPr>
        <w:t xml:space="preserve">Wildner S</w:t>
      </w:r>
      <w:r>
        <w:t xml:space="preserve">,</w:t>
      </w:r>
      <w:r>
        <w:t xml:space="preserve"> </w:t>
      </w:r>
      <w:r>
        <w:rPr>
          <w:b/>
        </w:rPr>
        <w:t xml:space="preserve">Schroll A</w:t>
      </w:r>
      <w:r>
        <w:t xml:space="preserve"> </w:t>
      </w:r>
      <w:r>
        <w:rPr>
          <w:i/>
        </w:rPr>
        <w:t xml:space="preserve">et al.</w:t>
      </w:r>
      <w:r>
        <w:t xml:space="preserve"> </w:t>
      </w:r>
      <w:r>
        <w:t xml:space="preserve">Neopterin predicts disease severity in hospitalized patients with COVID-19.</w:t>
      </w:r>
      <w:r>
        <w:t xml:space="preserve"> </w:t>
      </w:r>
      <w:r>
        <w:rPr>
          <w:i/>
        </w:rPr>
        <w:t xml:space="preserve">Open Forum Infectious Diseases</w:t>
      </w:r>
      <w:r>
        <w:t xml:space="preserve">. 2021;</w:t>
      </w:r>
      <w:r>
        <w:t xml:space="preserve"> </w:t>
      </w:r>
      <w:r>
        <w:rPr>
          <w:b/>
        </w:rPr>
        <w:t xml:space="preserve">8</w:t>
      </w:r>
      <w:r>
        <w:t xml:space="preserve">. Available at:</w:t>
      </w:r>
      <w:r>
        <w:t xml:space="preserve"> </w:t>
      </w:r>
      <w:hyperlink r:id="rId89">
        <w:r>
          <w:rPr>
            <w:rStyle w:val="InternetLink"/>
          </w:rPr>
          <w:t xml:space="preserve">https://pubmed.ncbi.nlm.nih.gov/33442554/</w:t>
        </w:r>
      </w:hyperlink>
      <w:r>
        <w:t xml:space="preserve">.DOI:</w:t>
      </w:r>
      <w:r>
        <w:t xml:space="preserve"> </w:t>
      </w:r>
      <w:hyperlink r:id="rId90">
        <w:r>
          <w:rPr>
            <w:rStyle w:val="InternetLink"/>
          </w:rPr>
          <w:t xml:space="preserve">10.1093/ofid/ofaa521</w:t>
        </w:r>
      </w:hyperlink>
      <w:r>
        <w:t xml:space="preserve">.</w:t>
      </w:r>
    </w:p>
    <w:bookmarkEnd w:id="91"/>
    <w:bookmarkStart w:id="94" w:name="ref-Merad2020"/>
    <w:p>
      <w:pPr>
        <w:pStyle w:val="Bibliography"/>
      </w:pPr>
      <w:r>
        <w:t xml:space="preserve">13.</w:t>
      </w:r>
      <w:r>
        <w:t xml:space="preserve"> </w:t>
      </w:r>
      <w:r>
        <w:rPr>
          <w:b/>
        </w:rPr>
        <w:t xml:space="preserve">Merad M</w:t>
      </w:r>
      <w:r>
        <w:t xml:space="preserve">,</w:t>
      </w:r>
      <w:r>
        <w:t xml:space="preserve"> </w:t>
      </w:r>
      <w:r>
        <w:rPr>
          <w:b/>
        </w:rPr>
        <w:t xml:space="preserve">Martin JC</w:t>
      </w:r>
      <w:r>
        <w:t xml:space="preserve">. Pathological inflammation in patients with COVID-19: a key role for monocytes and macrophages. 2020;</w:t>
      </w:r>
      <w:r>
        <w:t xml:space="preserve"> </w:t>
      </w:r>
      <w:r>
        <w:rPr>
          <w:b/>
        </w:rPr>
        <w:t xml:space="preserve">20</w:t>
      </w:r>
      <w:r>
        <w:t xml:space="preserve">:355–362. Available at:</w:t>
      </w:r>
      <w:r>
        <w:t xml:space="preserve"> </w:t>
      </w:r>
      <w:hyperlink r:id="rId92">
        <w:r>
          <w:rPr>
            <w:rStyle w:val="InternetLink"/>
          </w:rPr>
          <w:t xml:space="preserve">www.nature.com/nri</w:t>
        </w:r>
      </w:hyperlink>
      <w:r>
        <w:t xml:space="preserve">.DOI:</w:t>
      </w:r>
      <w:r>
        <w:t xml:space="preserve"> </w:t>
      </w:r>
      <w:hyperlink r:id="rId93">
        <w:r>
          <w:rPr>
            <w:rStyle w:val="InternetLink"/>
          </w:rPr>
          <w:t xml:space="preserve">10.1038/s41577-020-0331-4</w:t>
        </w:r>
      </w:hyperlink>
      <w:r>
        <w:t xml:space="preserve">.</w:t>
      </w:r>
    </w:p>
    <w:bookmarkEnd w:id="94"/>
    <w:bookmarkStart w:id="96" w:name="ref-Laing2020"/>
    <w:p>
      <w:pPr>
        <w:pStyle w:val="Bibliography"/>
      </w:pPr>
      <w:r>
        <w:t xml:space="preserve">14.</w:t>
      </w:r>
      <w:r>
        <w:t xml:space="preserve"> </w:t>
      </w:r>
      <w:r>
        <w:rPr>
          <w:b/>
        </w:rPr>
        <w:t xml:space="preserve">Laing AG</w:t>
      </w:r>
      <w:r>
        <w:t xml:space="preserve">,</w:t>
      </w:r>
      <w:r>
        <w:t xml:space="preserve"> </w:t>
      </w:r>
      <w:r>
        <w:rPr>
          <w:b/>
        </w:rPr>
        <w:t xml:space="preserve">Lorenc A</w:t>
      </w:r>
      <w:r>
        <w:t xml:space="preserve">,</w:t>
      </w:r>
      <w:r>
        <w:t xml:space="preserve"> </w:t>
      </w:r>
      <w:r>
        <w:rPr>
          <w:b/>
        </w:rPr>
        <w:t xml:space="preserve">del Molino del Barrio I</w:t>
      </w:r>
      <w:r>
        <w:t xml:space="preserve">,</w:t>
      </w:r>
      <w:r>
        <w:t xml:space="preserve"> </w:t>
      </w:r>
      <w:r>
        <w:rPr>
          <w:b/>
        </w:rPr>
        <w:t xml:space="preserve">Das A</w:t>
      </w:r>
      <w:r>
        <w:t xml:space="preserve">,</w:t>
      </w:r>
      <w:r>
        <w:t xml:space="preserve"> </w:t>
      </w:r>
      <w:r>
        <w:rPr>
          <w:b/>
        </w:rPr>
        <w:t xml:space="preserve">Fish M</w:t>
      </w:r>
      <w:r>
        <w:t xml:space="preserve">,</w:t>
      </w:r>
      <w:r>
        <w:t xml:space="preserve"> </w:t>
      </w:r>
      <w:r>
        <w:rPr>
          <w:b/>
        </w:rPr>
        <w:t xml:space="preserve">Monin L</w:t>
      </w:r>
      <w:r>
        <w:t xml:space="preserve">,</w:t>
      </w:r>
      <w:r>
        <w:t xml:space="preserve"> </w:t>
      </w:r>
      <w:r>
        <w:rPr>
          <w:b/>
        </w:rPr>
        <w:t xml:space="preserve">Muñoz-Ruiz M</w:t>
      </w:r>
      <w:r>
        <w:t xml:space="preserve"> </w:t>
      </w:r>
      <w:r>
        <w:rPr>
          <w:i/>
        </w:rPr>
        <w:t xml:space="preserve">et al.</w:t>
      </w:r>
      <w:r>
        <w:t xml:space="preserve"> </w:t>
      </w:r>
      <w:r>
        <w:t xml:space="preserve">A dynamic COVID-19 immune signature includes associations with poor prognosis.</w:t>
      </w:r>
      <w:r>
        <w:t xml:space="preserve"> </w:t>
      </w:r>
      <w:r>
        <w:rPr>
          <w:i/>
        </w:rPr>
        <w:t xml:space="preserve">Nature Medicine</w:t>
      </w:r>
      <w:r>
        <w:t xml:space="preserve">. 2020;</w:t>
      </w:r>
      <w:r>
        <w:t xml:space="preserve"> </w:t>
      </w:r>
      <w:r>
        <w:rPr>
          <w:b/>
        </w:rPr>
        <w:t xml:space="preserve">26</w:t>
      </w:r>
      <w:r>
        <w:t xml:space="preserve">:1623–1635. Available at:</w:t>
      </w:r>
      <w:r>
        <w:t xml:space="preserve"> </w:t>
      </w:r>
      <w:hyperlink r:id="rId95">
        <w:r>
          <w:rPr>
            <w:rStyle w:val="InternetLink"/>
          </w:rPr>
          <w:t xml:space="preserve">https://doi.org/10.1038/s41591-020-1038-6</w:t>
        </w:r>
      </w:hyperlink>
      <w:r>
        <w:t xml:space="preserve">.DOI:</w:t>
      </w:r>
      <w:r>
        <w:t xml:space="preserve"> </w:t>
      </w:r>
      <w:hyperlink r:id="rId95">
        <w:r>
          <w:rPr>
            <w:rStyle w:val="InternetLink"/>
          </w:rPr>
          <w:t xml:space="preserve">10.1038/s41591-020-1038-6</w:t>
        </w:r>
      </w:hyperlink>
      <w:r>
        <w:t xml:space="preserve">.</w:t>
      </w:r>
    </w:p>
    <w:bookmarkEnd w:id="96"/>
    <w:bookmarkStart w:id="99" w:name="ref-Lucas2020"/>
    <w:p>
      <w:pPr>
        <w:pStyle w:val="Bibliography"/>
      </w:pPr>
      <w:r>
        <w:t xml:space="preserve">15.</w:t>
      </w:r>
      <w:r>
        <w:t xml:space="preserve"> </w:t>
      </w:r>
      <w:r>
        <w:rPr>
          <w:b/>
        </w:rPr>
        <w:t xml:space="preserve">Lucas C</w:t>
      </w:r>
      <w:r>
        <w:t xml:space="preserve">,</w:t>
      </w:r>
      <w:r>
        <w:t xml:space="preserve"> </w:t>
      </w:r>
      <w:r>
        <w:rPr>
          <w:b/>
        </w:rPr>
        <w:t xml:space="preserve">Wong P</w:t>
      </w:r>
      <w:r>
        <w:t xml:space="preserve">,</w:t>
      </w:r>
      <w:r>
        <w:t xml:space="preserve"> </w:t>
      </w:r>
      <w:r>
        <w:rPr>
          <w:b/>
        </w:rPr>
        <w:t xml:space="preserve">Klein J</w:t>
      </w:r>
      <w:r>
        <w:t xml:space="preserve">,</w:t>
      </w:r>
      <w:r>
        <w:t xml:space="preserve"> </w:t>
      </w:r>
      <w:r>
        <w:rPr>
          <w:b/>
        </w:rPr>
        <w:t xml:space="preserve">Castro TBR</w:t>
      </w:r>
      <w:r>
        <w:t xml:space="preserve">,</w:t>
      </w:r>
      <w:r>
        <w:t xml:space="preserve"> </w:t>
      </w:r>
      <w:r>
        <w:rPr>
          <w:b/>
        </w:rPr>
        <w:t xml:space="preserve">Silva J</w:t>
      </w:r>
      <w:r>
        <w:t xml:space="preserve">,</w:t>
      </w:r>
      <w:r>
        <w:t xml:space="preserve"> </w:t>
      </w:r>
      <w:r>
        <w:rPr>
          <w:b/>
        </w:rPr>
        <w:t xml:space="preserve">Sundaram M</w:t>
      </w:r>
      <w:r>
        <w:t xml:space="preserve">,</w:t>
      </w:r>
      <w:r>
        <w:t xml:space="preserve"> </w:t>
      </w:r>
      <w:r>
        <w:rPr>
          <w:b/>
        </w:rPr>
        <w:t xml:space="preserve">Ellingson MK</w:t>
      </w:r>
      <w:r>
        <w:t xml:space="preserve"> </w:t>
      </w:r>
      <w:r>
        <w:rPr>
          <w:i/>
        </w:rPr>
        <w:t xml:space="preserve">et al.</w:t>
      </w:r>
      <w:r>
        <w:t xml:space="preserve"> </w:t>
      </w:r>
      <w:r>
        <w:t xml:space="preserve">Longitudinal analyses reveal immunological misfiring in severe COVID-19.</w:t>
      </w:r>
      <w:r>
        <w:t xml:space="preserve"> </w:t>
      </w:r>
      <w:r>
        <w:rPr>
          <w:i/>
        </w:rPr>
        <w:t xml:space="preserve">Nature</w:t>
      </w:r>
      <w:r>
        <w:t xml:space="preserve">. 2020;</w:t>
      </w:r>
      <w:r>
        <w:t xml:space="preserve"> </w:t>
      </w:r>
      <w:r>
        <w:rPr>
          <w:b/>
        </w:rPr>
        <w:t xml:space="preserve">584</w:t>
      </w:r>
      <w:r>
        <w:t xml:space="preserve">:463–469. Available at:</w:t>
      </w:r>
      <w:r>
        <w:t xml:space="preserve"> </w:t>
      </w:r>
      <w:hyperlink r:id="rId97">
        <w:r>
          <w:rPr>
            <w:rStyle w:val="InternetLink"/>
          </w:rPr>
          <w:t xml:space="preserve">https://pubmed.ncbi.nlm.nih.gov/32717743/</w:t>
        </w:r>
      </w:hyperlink>
      <w:r>
        <w:t xml:space="preserve">.DOI:</w:t>
      </w:r>
      <w:r>
        <w:t xml:space="preserve"> </w:t>
      </w:r>
      <w:hyperlink r:id="rId98">
        <w:r>
          <w:rPr>
            <w:rStyle w:val="InternetLink"/>
          </w:rPr>
          <w:t xml:space="preserve">10.1038/s41586-020-2588-y</w:t>
        </w:r>
      </w:hyperlink>
      <w:r>
        <w:t xml:space="preserve">.</w:t>
      </w:r>
    </w:p>
    <w:bookmarkEnd w:id="99"/>
    <w:bookmarkStart w:id="102" w:name="ref-Christensen2021"/>
    <w:p>
      <w:pPr>
        <w:pStyle w:val="Bibliography"/>
      </w:pPr>
      <w:r>
        <w:t xml:space="preserve">16.</w:t>
      </w:r>
      <w:r>
        <w:t xml:space="preserve"> </w:t>
      </w:r>
      <w:r>
        <w:rPr>
          <w:b/>
        </w:rPr>
        <w:t xml:space="preserve">Christensen EE</w:t>
      </w:r>
      <w:r>
        <w:t xml:space="preserve">,</w:t>
      </w:r>
      <w:r>
        <w:t xml:space="preserve"> </w:t>
      </w:r>
      <w:r>
        <w:rPr>
          <w:b/>
        </w:rPr>
        <w:t xml:space="preserve">Jørgensen MJ</w:t>
      </w:r>
      <w:r>
        <w:t xml:space="preserve">,</w:t>
      </w:r>
      <w:r>
        <w:t xml:space="preserve"> </w:t>
      </w:r>
      <w:r>
        <w:rPr>
          <w:b/>
        </w:rPr>
        <w:t xml:space="preserve">Nore KG</w:t>
      </w:r>
      <w:r>
        <w:t xml:space="preserve">,</w:t>
      </w:r>
      <w:r>
        <w:t xml:space="preserve"> </w:t>
      </w:r>
      <w:r>
        <w:rPr>
          <w:b/>
        </w:rPr>
        <w:t xml:space="preserve">Dahl TB</w:t>
      </w:r>
      <w:r>
        <w:t xml:space="preserve">,</w:t>
      </w:r>
      <w:r>
        <w:t xml:space="preserve"> </w:t>
      </w:r>
      <w:r>
        <w:rPr>
          <w:b/>
        </w:rPr>
        <w:t xml:space="preserve">Yang K</w:t>
      </w:r>
      <w:r>
        <w:t xml:space="preserve">,</w:t>
      </w:r>
      <w:r>
        <w:t xml:space="preserve"> </w:t>
      </w:r>
      <w:r>
        <w:rPr>
          <w:b/>
        </w:rPr>
        <w:t xml:space="preserve">Ranheim T</w:t>
      </w:r>
      <w:r>
        <w:t xml:space="preserve">,</w:t>
      </w:r>
      <w:r>
        <w:t xml:space="preserve"> </w:t>
      </w:r>
      <w:r>
        <w:rPr>
          <w:b/>
        </w:rPr>
        <w:t xml:space="preserve">Huse C</w:t>
      </w:r>
      <w:r>
        <w:t xml:space="preserve"> </w:t>
      </w:r>
      <w:r>
        <w:rPr>
          <w:i/>
        </w:rPr>
        <w:t xml:space="preserve">et al.</w:t>
      </w:r>
      <w:r>
        <w:t xml:space="preserve"> </w:t>
      </w:r>
      <w:r>
        <w:t xml:space="preserve">Critical COVID‐19 is associated with distinct leukocyte phenotypes and transcriptome patterns.</w:t>
      </w:r>
      <w:r>
        <w:t xml:space="preserve"> </w:t>
      </w:r>
      <w:r>
        <w:rPr>
          <w:i/>
        </w:rPr>
        <w:t xml:space="preserve">Journal of Internal Medicine</w:t>
      </w:r>
      <w:r>
        <w:t xml:space="preserve">. 2021:joim.13310. Available at:</w:t>
      </w:r>
      <w:r>
        <w:t xml:space="preserve"> </w:t>
      </w:r>
      <w:hyperlink r:id="rId100">
        <w:r>
          <w:rPr>
            <w:rStyle w:val="InternetLink"/>
          </w:rPr>
          <w:t xml:space="preserve">https://onlinelibrary.wiley.com/doi/10.1111/joim.13310</w:t>
        </w:r>
      </w:hyperlink>
      <w:r>
        <w:t xml:space="preserve">.DOI:</w:t>
      </w:r>
      <w:r>
        <w:t xml:space="preserve"> </w:t>
      </w:r>
      <w:hyperlink r:id="rId101">
        <w:r>
          <w:rPr>
            <w:rStyle w:val="InternetLink"/>
          </w:rPr>
          <w:t xml:space="preserve">10.1111/joim.13310</w:t>
        </w:r>
      </w:hyperlink>
      <w:r>
        <w:t xml:space="preserve">.</w:t>
      </w:r>
    </w:p>
    <w:bookmarkEnd w:id="102"/>
    <w:bookmarkStart w:id="105" w:name="ref-Silvin2020"/>
    <w:p>
      <w:pPr>
        <w:pStyle w:val="Bibliography"/>
      </w:pPr>
      <w:r>
        <w:t xml:space="preserve">17.</w:t>
      </w:r>
      <w:r>
        <w:t xml:space="preserve"> </w:t>
      </w:r>
      <w:r>
        <w:rPr>
          <w:b/>
        </w:rPr>
        <w:t xml:space="preserve">Silvin A</w:t>
      </w:r>
      <w:r>
        <w:t xml:space="preserve">,</w:t>
      </w:r>
      <w:r>
        <w:t xml:space="preserve"> </w:t>
      </w:r>
      <w:r>
        <w:rPr>
          <w:b/>
        </w:rPr>
        <w:t xml:space="preserve">Chapuis N</w:t>
      </w:r>
      <w:r>
        <w:t xml:space="preserve">,</w:t>
      </w:r>
      <w:r>
        <w:t xml:space="preserve"> </w:t>
      </w:r>
      <w:r>
        <w:rPr>
          <w:b/>
        </w:rPr>
        <w:t xml:space="preserve">Dunsmore G</w:t>
      </w:r>
      <w:r>
        <w:t xml:space="preserve">,</w:t>
      </w:r>
      <w:r>
        <w:t xml:space="preserve"> </w:t>
      </w:r>
      <w:r>
        <w:rPr>
          <w:b/>
        </w:rPr>
        <w:t xml:space="preserve">Goubet AG</w:t>
      </w:r>
      <w:r>
        <w:t xml:space="preserve">,</w:t>
      </w:r>
      <w:r>
        <w:t xml:space="preserve"> </w:t>
      </w:r>
      <w:r>
        <w:rPr>
          <w:b/>
        </w:rPr>
        <w:t xml:space="preserve">Dubuisson A</w:t>
      </w:r>
      <w:r>
        <w:t xml:space="preserve">,</w:t>
      </w:r>
      <w:r>
        <w:t xml:space="preserve"> </w:t>
      </w:r>
      <w:r>
        <w:rPr>
          <w:b/>
        </w:rPr>
        <w:t xml:space="preserve">Derosa L</w:t>
      </w:r>
      <w:r>
        <w:t xml:space="preserve">,</w:t>
      </w:r>
      <w:r>
        <w:t xml:space="preserve"> </w:t>
      </w:r>
      <w:r>
        <w:rPr>
          <w:b/>
        </w:rPr>
        <w:t xml:space="preserve">Almire C</w:t>
      </w:r>
      <w:r>
        <w:t xml:space="preserve"> </w:t>
      </w:r>
      <w:r>
        <w:rPr>
          <w:i/>
        </w:rPr>
        <w:t xml:space="preserve">et al.</w:t>
      </w:r>
      <w:r>
        <w:t xml:space="preserve"> </w:t>
      </w:r>
      <w:r>
        <w:t xml:space="preserve">Elevated Calprotectin and Abnormal Myeloid Cell Subsets Discriminate Severe from Mild COVID-19.</w:t>
      </w:r>
      <w:r>
        <w:t xml:space="preserve"> </w:t>
      </w:r>
      <w:r>
        <w:rPr>
          <w:i/>
        </w:rPr>
        <w:t xml:space="preserve">Cell</w:t>
      </w:r>
      <w:r>
        <w:t xml:space="preserve">. 2020;</w:t>
      </w:r>
      <w:r>
        <w:t xml:space="preserve"> </w:t>
      </w:r>
      <w:r>
        <w:rPr>
          <w:b/>
        </w:rPr>
        <w:t xml:space="preserve">182</w:t>
      </w:r>
      <w:r>
        <w:t xml:space="preserve">:1401–1418.e18. Available at:</w:t>
      </w:r>
      <w:r>
        <w:t xml:space="preserve"> </w:t>
      </w:r>
      <w:hyperlink r:id="rId103">
        <w:r>
          <w:rPr>
            <w:rStyle w:val="InternetLink"/>
          </w:rPr>
          <w:t xml:space="preserve">/pmc/articles/PMC7405878/ /pmc/articles/PMC7405878/?report=abstract https://www.ncbi.nlm.nih.gov/pmc/articles/PMC7405878/</w:t>
        </w:r>
      </w:hyperlink>
      <w:r>
        <w:t xml:space="preserve">.DOI:</w:t>
      </w:r>
      <w:r>
        <w:t xml:space="preserve"> </w:t>
      </w:r>
      <w:hyperlink r:id="rId104">
        <w:r>
          <w:rPr>
            <w:rStyle w:val="InternetLink"/>
          </w:rPr>
          <w:t xml:space="preserve">10.1016/j.cell.2020.08.002</w:t>
        </w:r>
      </w:hyperlink>
      <w:r>
        <w:t xml:space="preserve">.</w:t>
      </w:r>
    </w:p>
    <w:bookmarkEnd w:id="105"/>
    <w:bookmarkStart w:id="108" w:name="ref-Penttila2021"/>
    <w:p>
      <w:pPr>
        <w:pStyle w:val="Bibliography"/>
      </w:pPr>
      <w:r>
        <w:t xml:space="preserve">18.</w:t>
      </w:r>
      <w:r>
        <w:t xml:space="preserve"> </w:t>
      </w:r>
      <w:r>
        <w:rPr>
          <w:b/>
        </w:rPr>
        <w:t xml:space="preserve">Penttilä PA</w:t>
      </w:r>
      <w:r>
        <w:t xml:space="preserve">,</w:t>
      </w:r>
      <w:r>
        <w:t xml:space="preserve"> </w:t>
      </w:r>
      <w:r>
        <w:rPr>
          <w:b/>
        </w:rPr>
        <w:t xml:space="preserve">Van Gassen S</w:t>
      </w:r>
      <w:r>
        <w:t xml:space="preserve">,</w:t>
      </w:r>
      <w:r>
        <w:t xml:space="preserve"> </w:t>
      </w:r>
      <w:r>
        <w:rPr>
          <w:b/>
        </w:rPr>
        <w:t xml:space="preserve">Panovska D</w:t>
      </w:r>
      <w:r>
        <w:t xml:space="preserve">,</w:t>
      </w:r>
      <w:r>
        <w:t xml:space="preserve"> </w:t>
      </w:r>
      <w:r>
        <w:rPr>
          <w:b/>
        </w:rPr>
        <w:t xml:space="preserve">Vanderbeke L</w:t>
      </w:r>
      <w:r>
        <w:t xml:space="preserve">,</w:t>
      </w:r>
      <w:r>
        <w:t xml:space="preserve"> </w:t>
      </w:r>
      <w:r>
        <w:rPr>
          <w:b/>
        </w:rPr>
        <w:t xml:space="preserve">Van Herck Y</w:t>
      </w:r>
      <w:r>
        <w:t xml:space="preserve">,</w:t>
      </w:r>
      <w:r>
        <w:t xml:space="preserve"> </w:t>
      </w:r>
      <w:r>
        <w:rPr>
          <w:b/>
        </w:rPr>
        <w:t xml:space="preserve">Quintelier K</w:t>
      </w:r>
      <w:r>
        <w:t xml:space="preserve">,</w:t>
      </w:r>
      <w:r>
        <w:t xml:space="preserve"> </w:t>
      </w:r>
      <w:r>
        <w:rPr>
          <w:b/>
        </w:rPr>
        <w:t xml:space="preserve">Emmaneel A</w:t>
      </w:r>
      <w:r>
        <w:t xml:space="preserve"> </w:t>
      </w:r>
      <w:r>
        <w:rPr>
          <w:i/>
        </w:rPr>
        <w:t xml:space="preserve">et al.</w:t>
      </w:r>
      <w:r>
        <w:t xml:space="preserve"> </w:t>
      </w:r>
      <w:r>
        <w:t xml:space="preserve">High dimensional profiling identifies specific immune types along the recovery trajectories of critically ill COVID19 patients.</w:t>
      </w:r>
      <w:r>
        <w:t xml:space="preserve"> </w:t>
      </w:r>
      <w:r>
        <w:rPr>
          <w:i/>
        </w:rPr>
        <w:t xml:space="preserve">Cellular and Molecular Life Sciences</w:t>
      </w:r>
      <w:r>
        <w:t xml:space="preserve">. 2021;</w:t>
      </w:r>
      <w:r>
        <w:t xml:space="preserve"> </w:t>
      </w:r>
      <w:r>
        <w:rPr>
          <w:b/>
        </w:rPr>
        <w:t xml:space="preserve">78</w:t>
      </w:r>
      <w:r>
        <w:t xml:space="preserve">:3987–4002. Available at:</w:t>
      </w:r>
      <w:r>
        <w:t xml:space="preserve"> </w:t>
      </w:r>
      <w:hyperlink r:id="rId106">
        <w:r>
          <w:rPr>
            <w:rStyle w:val="InternetLink"/>
          </w:rPr>
          <w:t xml:space="preserve">/pmc/articles/PMC7955698/ /pmc/articles/PMC7955698/?report=abstract https://www.ncbi.nlm.nih.gov/pmc/articles/PMC7955698/</w:t>
        </w:r>
      </w:hyperlink>
      <w:r>
        <w:t xml:space="preserve">.DOI:</w:t>
      </w:r>
      <w:r>
        <w:t xml:space="preserve"> </w:t>
      </w:r>
      <w:hyperlink r:id="rId107">
        <w:r>
          <w:rPr>
            <w:rStyle w:val="InternetLink"/>
          </w:rPr>
          <w:t xml:space="preserve">10.1007/s00018-021-03808-8</w:t>
        </w:r>
      </w:hyperlink>
      <w:r>
        <w:t xml:space="preserve">.</w:t>
      </w:r>
    </w:p>
    <w:bookmarkEnd w:id="108"/>
    <w:bookmarkStart w:id="111" w:name="ref-Vitte2020"/>
    <w:p>
      <w:pPr>
        <w:pStyle w:val="Bibliography"/>
      </w:pPr>
      <w:r>
        <w:t xml:space="preserve">19.</w:t>
      </w:r>
      <w:r>
        <w:t xml:space="preserve"> </w:t>
      </w:r>
      <w:r>
        <w:rPr>
          <w:b/>
        </w:rPr>
        <w:t xml:space="preserve">Vitte J</w:t>
      </w:r>
      <w:r>
        <w:t xml:space="preserve">,</w:t>
      </w:r>
      <w:r>
        <w:t xml:space="preserve"> </w:t>
      </w:r>
      <w:r>
        <w:rPr>
          <w:b/>
        </w:rPr>
        <w:t xml:space="preserve">Diallo AB</w:t>
      </w:r>
      <w:r>
        <w:t xml:space="preserve">,</w:t>
      </w:r>
      <w:r>
        <w:t xml:space="preserve"> </w:t>
      </w:r>
      <w:r>
        <w:rPr>
          <w:b/>
        </w:rPr>
        <w:t xml:space="preserve">Boumaza A</w:t>
      </w:r>
      <w:r>
        <w:t xml:space="preserve">,</w:t>
      </w:r>
      <w:r>
        <w:t xml:space="preserve"> </w:t>
      </w:r>
      <w:r>
        <w:rPr>
          <w:b/>
        </w:rPr>
        <w:t xml:space="preserve">Lopez A</w:t>
      </w:r>
      <w:r>
        <w:t xml:space="preserve">,</w:t>
      </w:r>
      <w:r>
        <w:t xml:space="preserve"> </w:t>
      </w:r>
      <w:r>
        <w:rPr>
          <w:b/>
        </w:rPr>
        <w:t xml:space="preserve">Michel M</w:t>
      </w:r>
      <w:r>
        <w:t xml:space="preserve">,</w:t>
      </w:r>
      <w:r>
        <w:t xml:space="preserve"> </w:t>
      </w:r>
      <w:r>
        <w:rPr>
          <w:b/>
        </w:rPr>
        <w:t xml:space="preserve">Allardet-Servent J</w:t>
      </w:r>
      <w:r>
        <w:t xml:space="preserve">,</w:t>
      </w:r>
      <w:r>
        <w:t xml:space="preserve"> </w:t>
      </w:r>
      <w:r>
        <w:rPr>
          <w:b/>
        </w:rPr>
        <w:t xml:space="preserve">Mezouar S</w:t>
      </w:r>
      <w:r>
        <w:t xml:space="preserve"> </w:t>
      </w:r>
      <w:r>
        <w:rPr>
          <w:i/>
        </w:rPr>
        <w:t xml:space="preserve">et al.</w:t>
      </w:r>
      <w:r>
        <w:t xml:space="preserve"> </w:t>
      </w:r>
      <w:r>
        <w:t xml:space="preserve">A granulocytic signature identifies COVID-19 and its severity.</w:t>
      </w:r>
      <w:r>
        <w:t xml:space="preserve"> </w:t>
      </w:r>
      <w:r>
        <w:rPr>
          <w:i/>
        </w:rPr>
        <w:t xml:space="preserve">Journal of Infectious Diseases</w:t>
      </w:r>
      <w:r>
        <w:t xml:space="preserve">. 2020;</w:t>
      </w:r>
      <w:r>
        <w:t xml:space="preserve"> </w:t>
      </w:r>
      <w:r>
        <w:rPr>
          <w:b/>
        </w:rPr>
        <w:t xml:space="preserve">222</w:t>
      </w:r>
      <w:r>
        <w:t xml:space="preserve">:1985–1996. Available at:</w:t>
      </w:r>
      <w:r>
        <w:t xml:space="preserve"> </w:t>
      </w:r>
      <w:hyperlink r:id="rId109">
        <w:r>
          <w:rPr>
            <w:rStyle w:val="InternetLink"/>
          </w:rPr>
          <w:t xml:space="preserve">https://pubmed.ncbi.nlm.nih.gov/32941618/</w:t>
        </w:r>
      </w:hyperlink>
      <w:r>
        <w:t xml:space="preserve">.DOI:</w:t>
      </w:r>
      <w:r>
        <w:t xml:space="preserve"> </w:t>
      </w:r>
      <w:hyperlink r:id="rId110">
        <w:r>
          <w:rPr>
            <w:rStyle w:val="InternetLink"/>
          </w:rPr>
          <w:t xml:space="preserve">10.1093/infdis/jiaa591</w:t>
        </w:r>
      </w:hyperlink>
      <w:r>
        <w:t xml:space="preserve">.</w:t>
      </w:r>
    </w:p>
    <w:bookmarkEnd w:id="111"/>
    <w:bookmarkStart w:id="114" w:name="ref-Bellmann-Weiler2020"/>
    <w:p>
      <w:pPr>
        <w:pStyle w:val="Bibliography"/>
      </w:pPr>
      <w:r>
        <w:t xml:space="preserve">20.</w:t>
      </w:r>
      <w:r>
        <w:t xml:space="preserve"> </w:t>
      </w:r>
      <w:r>
        <w:rPr>
          <w:b/>
        </w:rPr>
        <w:t xml:space="preserve">Bellmann-Weiler R</w:t>
      </w:r>
      <w:r>
        <w:t xml:space="preserve">,</w:t>
      </w:r>
      <w:r>
        <w:t xml:space="preserve"> </w:t>
      </w:r>
      <w:r>
        <w:rPr>
          <w:b/>
        </w:rPr>
        <w:t xml:space="preserve">Lanser L</w:t>
      </w:r>
      <w:r>
        <w:t xml:space="preserve">,</w:t>
      </w:r>
      <w:r>
        <w:t xml:space="preserve"> </w:t>
      </w:r>
      <w:r>
        <w:rPr>
          <w:b/>
        </w:rPr>
        <w:t xml:space="preserve">Barket R</w:t>
      </w:r>
      <w:r>
        <w:t xml:space="preserve">,</w:t>
      </w:r>
      <w:r>
        <w:t xml:space="preserve"> </w:t>
      </w:r>
      <w:r>
        <w:rPr>
          <w:b/>
        </w:rPr>
        <w:t xml:space="preserve">Rangger L</w:t>
      </w:r>
      <w:r>
        <w:t xml:space="preserve">,</w:t>
      </w:r>
      <w:r>
        <w:t xml:space="preserve"> </w:t>
      </w:r>
      <w:r>
        <w:rPr>
          <w:b/>
        </w:rPr>
        <w:t xml:space="preserve">Schapfl A</w:t>
      </w:r>
      <w:r>
        <w:t xml:space="preserve">,</w:t>
      </w:r>
      <w:r>
        <w:t xml:space="preserve"> </w:t>
      </w:r>
      <w:r>
        <w:rPr>
          <w:b/>
        </w:rPr>
        <w:t xml:space="preserve">Schaber M</w:t>
      </w:r>
      <w:r>
        <w:t xml:space="preserve">,</w:t>
      </w:r>
      <w:r>
        <w:t xml:space="preserve"> </w:t>
      </w:r>
      <w:r>
        <w:rPr>
          <w:b/>
        </w:rPr>
        <w:t xml:space="preserve">Fritsche G</w:t>
      </w:r>
      <w:r>
        <w:t xml:space="preserve"> </w:t>
      </w:r>
      <w:r>
        <w:rPr>
          <w:i/>
        </w:rPr>
        <w:t xml:space="preserve">et al.</w:t>
      </w:r>
      <w:r>
        <w:t xml:space="preserve"> </w:t>
      </w:r>
      <w:r>
        <w:t xml:space="preserve">Prevalence and Predictive Value of Anemia and Dysregulated Iron Homeostasis in Patients with COVID-19 Infection.</w:t>
      </w:r>
      <w:r>
        <w:t xml:space="preserve"> </w:t>
      </w:r>
      <w:r>
        <w:rPr>
          <w:i/>
        </w:rPr>
        <w:t xml:space="preserve">Journal of Clinical Medicine</w:t>
      </w:r>
      <w:r>
        <w:t xml:space="preserve">. 2020;</w:t>
      </w:r>
      <w:r>
        <w:t xml:space="preserve"> </w:t>
      </w:r>
      <w:r>
        <w:rPr>
          <w:b/>
        </w:rPr>
        <w:t xml:space="preserve">9</w:t>
      </w:r>
      <w:r>
        <w:t xml:space="preserve">:2429. Available at:</w:t>
      </w:r>
      <w:r>
        <w:t xml:space="preserve"> </w:t>
      </w:r>
      <w:hyperlink r:id="rId112">
        <w:r>
          <w:rPr>
            <w:rStyle w:val="InternetLink"/>
          </w:rPr>
          <w:t xml:space="preserve">https://pubmed.ncbi.nlm.nih.gov/32751400/</w:t>
        </w:r>
      </w:hyperlink>
      <w:r>
        <w:t xml:space="preserve">.DOI:</w:t>
      </w:r>
      <w:r>
        <w:t xml:space="preserve"> </w:t>
      </w:r>
      <w:hyperlink r:id="rId113">
        <w:r>
          <w:rPr>
            <w:rStyle w:val="InternetLink"/>
          </w:rPr>
          <w:t xml:space="preserve">10.3390/jcm9082429</w:t>
        </w:r>
      </w:hyperlink>
      <w:r>
        <w:t xml:space="preserve">.</w:t>
      </w:r>
    </w:p>
    <w:bookmarkEnd w:id="114"/>
    <w:bookmarkStart w:id="117" w:name="ref-Mueller2021"/>
    <w:p>
      <w:pPr>
        <w:pStyle w:val="Bibliography"/>
      </w:pPr>
      <w:r>
        <w:t xml:space="preserve">21.</w:t>
      </w:r>
      <w:r>
        <w:t xml:space="preserve"> </w:t>
      </w:r>
      <w:r>
        <w:rPr>
          <w:b/>
        </w:rPr>
        <w:t xml:space="preserve">Mueller KAL</w:t>
      </w:r>
      <w:r>
        <w:t xml:space="preserve">,</w:t>
      </w:r>
      <w:r>
        <w:t xml:space="preserve"> </w:t>
      </w:r>
      <w:r>
        <w:rPr>
          <w:b/>
        </w:rPr>
        <w:t xml:space="preserve">Langnau C</w:t>
      </w:r>
      <w:r>
        <w:t xml:space="preserve">,</w:t>
      </w:r>
      <w:r>
        <w:t xml:space="preserve"> </w:t>
      </w:r>
      <w:r>
        <w:rPr>
          <w:b/>
        </w:rPr>
        <w:t xml:space="preserve">Günter M</w:t>
      </w:r>
      <w:r>
        <w:t xml:space="preserve">,</w:t>
      </w:r>
      <w:r>
        <w:t xml:space="preserve"> </w:t>
      </w:r>
      <w:r>
        <w:rPr>
          <w:b/>
        </w:rPr>
        <w:t xml:space="preserve">Pöschel S</w:t>
      </w:r>
      <w:r>
        <w:t xml:space="preserve">,</w:t>
      </w:r>
      <w:r>
        <w:t xml:space="preserve"> </w:t>
      </w:r>
      <w:r>
        <w:rPr>
          <w:b/>
        </w:rPr>
        <w:t xml:space="preserve">Gekeler S</w:t>
      </w:r>
      <w:r>
        <w:t xml:space="preserve">,</w:t>
      </w:r>
      <w:r>
        <w:t xml:space="preserve"> </w:t>
      </w:r>
      <w:r>
        <w:rPr>
          <w:b/>
        </w:rPr>
        <w:t xml:space="preserve">Petersen-Uribe Á</w:t>
      </w:r>
      <w:r>
        <w:t xml:space="preserve">,</w:t>
      </w:r>
      <w:r>
        <w:t xml:space="preserve"> </w:t>
      </w:r>
      <w:r>
        <w:rPr>
          <w:b/>
        </w:rPr>
        <w:t xml:space="preserve">Kreisselmeier K-P</w:t>
      </w:r>
      <w:r>
        <w:t xml:space="preserve"> </w:t>
      </w:r>
      <w:r>
        <w:rPr>
          <w:i/>
        </w:rPr>
        <w:t xml:space="preserve">et al.</w:t>
      </w:r>
      <w:r>
        <w:t xml:space="preserve"> </w:t>
      </w:r>
      <w:r>
        <w:t xml:space="preserve">Numbers and phenotype of non-classical CD14dimCD16+ monocytes are predictors of adverse clinical outcome in patients with coronary artery disease and severe SARS-CoV-2 infection.</w:t>
      </w:r>
      <w:r>
        <w:t xml:space="preserve"> </w:t>
      </w:r>
      <w:r>
        <w:rPr>
          <w:i/>
        </w:rPr>
        <w:t xml:space="preserve">Cardiovascular Research</w:t>
      </w:r>
      <w:r>
        <w:t xml:space="preserve">. 2021;</w:t>
      </w:r>
      <w:r>
        <w:t xml:space="preserve"> </w:t>
      </w:r>
      <w:r>
        <w:rPr>
          <w:b/>
        </w:rPr>
        <w:t xml:space="preserve">117</w:t>
      </w:r>
      <w:r>
        <w:t xml:space="preserve">:224–239. Available at:</w:t>
      </w:r>
      <w:r>
        <w:t xml:space="preserve"> </w:t>
      </w:r>
      <w:hyperlink r:id="rId115">
        <w:r>
          <w:rPr>
            <w:rStyle w:val="InternetLink"/>
          </w:rPr>
          <w:t xml:space="preserve">https://academic.oup.com/cardiovascres/article/117/1/224/5952675</w:t>
        </w:r>
      </w:hyperlink>
      <w:r>
        <w:t xml:space="preserve">.DOI:</w:t>
      </w:r>
      <w:r>
        <w:t xml:space="preserve"> </w:t>
      </w:r>
      <w:hyperlink r:id="rId116">
        <w:r>
          <w:rPr>
            <w:rStyle w:val="InternetLink"/>
          </w:rPr>
          <w:t xml:space="preserve">10.1093/cvr/cvaa328</w:t>
        </w:r>
      </w:hyperlink>
      <w:r>
        <w:t xml:space="preserve">.</w:t>
      </w:r>
    </w:p>
    <w:bookmarkEnd w:id="117"/>
    <w:bookmarkStart w:id="120" w:name="ref-Trombetta2021"/>
    <w:p>
      <w:pPr>
        <w:pStyle w:val="Bibliography"/>
      </w:pPr>
      <w:r>
        <w:t xml:space="preserve">22.</w:t>
      </w:r>
      <w:r>
        <w:t xml:space="preserve"> </w:t>
      </w:r>
      <w:r>
        <w:rPr>
          <w:b/>
        </w:rPr>
        <w:t xml:space="preserve">Trombetta AC</w:t>
      </w:r>
      <w:r>
        <w:t xml:space="preserve">,</w:t>
      </w:r>
      <w:r>
        <w:t xml:space="preserve"> </w:t>
      </w:r>
      <w:r>
        <w:rPr>
          <w:b/>
        </w:rPr>
        <w:t xml:space="preserve">Farias GB</w:t>
      </w:r>
      <w:r>
        <w:t xml:space="preserve">,</w:t>
      </w:r>
      <w:r>
        <w:t xml:space="preserve"> </w:t>
      </w:r>
      <w:r>
        <w:rPr>
          <w:b/>
        </w:rPr>
        <w:t xml:space="preserve">Gomes AMC</w:t>
      </w:r>
      <w:r>
        <w:t xml:space="preserve">,</w:t>
      </w:r>
      <w:r>
        <w:t xml:space="preserve"> </w:t>
      </w:r>
      <w:r>
        <w:rPr>
          <w:b/>
        </w:rPr>
        <w:t xml:space="preserve">Godinho-Santos A</w:t>
      </w:r>
      <w:r>
        <w:t xml:space="preserve">,</w:t>
      </w:r>
      <w:r>
        <w:t xml:space="preserve"> </w:t>
      </w:r>
      <w:r>
        <w:rPr>
          <w:b/>
        </w:rPr>
        <w:t xml:space="preserve">Rosmaninho P</w:t>
      </w:r>
      <w:r>
        <w:t xml:space="preserve">,</w:t>
      </w:r>
      <w:r>
        <w:t xml:space="preserve"> </w:t>
      </w:r>
      <w:r>
        <w:rPr>
          <w:b/>
        </w:rPr>
        <w:t xml:space="preserve">Conceição CM</w:t>
      </w:r>
      <w:r>
        <w:t xml:space="preserve">,</w:t>
      </w:r>
      <w:r>
        <w:t xml:space="preserve"> </w:t>
      </w:r>
      <w:r>
        <w:rPr>
          <w:b/>
        </w:rPr>
        <w:t xml:space="preserve">Laia J</w:t>
      </w:r>
      <w:r>
        <w:t xml:space="preserve"> </w:t>
      </w:r>
      <w:r>
        <w:rPr>
          <w:i/>
        </w:rPr>
        <w:t xml:space="preserve">et al.</w:t>
      </w:r>
      <w:r>
        <w:t xml:space="preserve"> </w:t>
      </w:r>
      <w:r>
        <w:t xml:space="preserve">Severe COVID-19 Recovery Is Associated with Timely Acquisition of a Myeloid Cell Immune-Regulatory Phenotype.</w:t>
      </w:r>
      <w:r>
        <w:t xml:space="preserve"> </w:t>
      </w:r>
      <w:r>
        <w:rPr>
          <w:i/>
        </w:rPr>
        <w:t xml:space="preserve">Frontiers in Immunology</w:t>
      </w:r>
      <w:r>
        <w:t xml:space="preserve">. 2021;</w:t>
      </w:r>
      <w:r>
        <w:t xml:space="preserve"> </w:t>
      </w:r>
      <w:r>
        <w:rPr>
          <w:b/>
        </w:rPr>
        <w:t xml:space="preserve">12</w:t>
      </w:r>
      <w:r>
        <w:t xml:space="preserve">:2346. Available at:</w:t>
      </w:r>
      <w:r>
        <w:t xml:space="preserve"> </w:t>
      </w:r>
      <w:hyperlink r:id="rId118">
        <w:r>
          <w:rPr>
            <w:rStyle w:val="InternetLink"/>
          </w:rPr>
          <w:t xml:space="preserve">https://www.frontiersin.org/articles/10.3389/fimmu.2021.691725/full</w:t>
        </w:r>
      </w:hyperlink>
      <w:r>
        <w:t xml:space="preserve">.DOI:</w:t>
      </w:r>
      <w:r>
        <w:t xml:space="preserve"> </w:t>
      </w:r>
      <w:hyperlink r:id="rId119">
        <w:r>
          <w:rPr>
            <w:rStyle w:val="InternetLink"/>
          </w:rPr>
          <w:t xml:space="preserve">10.3389/fimmu.2021.691725</w:t>
        </w:r>
      </w:hyperlink>
      <w:r>
        <w:t xml:space="preserve">.</w:t>
      </w:r>
    </w:p>
    <w:bookmarkEnd w:id="120"/>
    <w:bookmarkStart w:id="123" w:name="ref-Vasse2021"/>
    <w:p>
      <w:pPr>
        <w:pStyle w:val="Bibliography"/>
      </w:pPr>
      <w:r>
        <w:t xml:space="preserve">23.</w:t>
      </w:r>
      <w:r>
        <w:t xml:space="preserve"> </w:t>
      </w:r>
      <w:r>
        <w:rPr>
          <w:b/>
        </w:rPr>
        <w:t xml:space="preserve">Vasse M</w:t>
      </w:r>
      <w:r>
        <w:t xml:space="preserve">,</w:t>
      </w:r>
      <w:r>
        <w:t xml:space="preserve"> </w:t>
      </w:r>
      <w:r>
        <w:rPr>
          <w:b/>
        </w:rPr>
        <w:t xml:space="preserve">Zuber B</w:t>
      </w:r>
      <w:r>
        <w:t xml:space="preserve">,</w:t>
      </w:r>
      <w:r>
        <w:t xml:space="preserve"> </w:t>
      </w:r>
      <w:r>
        <w:rPr>
          <w:b/>
        </w:rPr>
        <w:t xml:space="preserve">Goubeau L</w:t>
      </w:r>
      <w:r>
        <w:t xml:space="preserve">,</w:t>
      </w:r>
      <w:r>
        <w:t xml:space="preserve"> </w:t>
      </w:r>
      <w:r>
        <w:rPr>
          <w:b/>
        </w:rPr>
        <w:t xml:space="preserve">Ballester MC</w:t>
      </w:r>
      <w:r>
        <w:t xml:space="preserve">,</w:t>
      </w:r>
      <w:r>
        <w:t xml:space="preserve"> </w:t>
      </w:r>
      <w:r>
        <w:rPr>
          <w:b/>
        </w:rPr>
        <w:t xml:space="preserve">Roumier M</w:t>
      </w:r>
      <w:r>
        <w:t xml:space="preserve">,</w:t>
      </w:r>
      <w:r>
        <w:t xml:space="preserve"> </w:t>
      </w:r>
      <w:r>
        <w:rPr>
          <w:b/>
        </w:rPr>
        <w:t xml:space="preserve">Delcominette F</w:t>
      </w:r>
      <w:r>
        <w:t xml:space="preserve">,</w:t>
      </w:r>
      <w:r>
        <w:t xml:space="preserve"> </w:t>
      </w:r>
      <w:r>
        <w:rPr>
          <w:b/>
        </w:rPr>
        <w:t xml:space="preserve">Habarou F</w:t>
      </w:r>
      <w:r>
        <w:t xml:space="preserve"> </w:t>
      </w:r>
      <w:r>
        <w:rPr>
          <w:i/>
        </w:rPr>
        <w:t xml:space="preserve">et al.</w:t>
      </w:r>
      <w:r>
        <w:t xml:space="preserve"> </w:t>
      </w:r>
      <w:r>
        <w:t xml:space="preserve">A low level of CD16pos monocytes in SARS-CoV-2 infected patients is a marker of severity.</w:t>
      </w:r>
      <w:r>
        <w:t xml:space="preserve"> </w:t>
      </w:r>
      <w:r>
        <w:rPr>
          <w:i/>
        </w:rPr>
        <w:t xml:space="preserve">Clinical Chemistry and Laboratory Medicine</w:t>
      </w:r>
      <w:r>
        <w:t xml:space="preserve">. 2021;</w:t>
      </w:r>
      <w:r>
        <w:t xml:space="preserve"> </w:t>
      </w:r>
      <w:r>
        <w:rPr>
          <w:b/>
        </w:rPr>
        <w:t xml:space="preserve">59</w:t>
      </w:r>
      <w:r>
        <w:t xml:space="preserve">:1315–1322. Available at:</w:t>
      </w:r>
      <w:r>
        <w:t xml:space="preserve"> </w:t>
      </w:r>
      <w:hyperlink r:id="rId121">
        <w:r>
          <w:rPr>
            <w:rStyle w:val="InternetLink"/>
          </w:rPr>
          <w:t xml:space="preserve">https://pubmed.ncbi.nlm.nih.gov/33606928/</w:t>
        </w:r>
      </w:hyperlink>
      <w:r>
        <w:t xml:space="preserve">.DOI:</w:t>
      </w:r>
      <w:r>
        <w:t xml:space="preserve"> </w:t>
      </w:r>
      <w:hyperlink r:id="rId122">
        <w:r>
          <w:rPr>
            <w:rStyle w:val="InternetLink"/>
          </w:rPr>
          <w:t xml:space="preserve">10.1515/cclm-2020-1801</w:t>
        </w:r>
      </w:hyperlink>
      <w:r>
        <w:t xml:space="preserve">.</w:t>
      </w:r>
    </w:p>
    <w:bookmarkEnd w:id="123"/>
    <w:bookmarkStart w:id="126" w:name="ref-Bost2021"/>
    <w:p>
      <w:pPr>
        <w:pStyle w:val="Bibliography"/>
      </w:pPr>
      <w:r>
        <w:t xml:space="preserve">24.</w:t>
      </w:r>
      <w:r>
        <w:t xml:space="preserve"> </w:t>
      </w:r>
      <w:r>
        <w:rPr>
          <w:b/>
        </w:rPr>
        <w:t xml:space="preserve">Bost P</w:t>
      </w:r>
      <w:r>
        <w:t xml:space="preserve">,</w:t>
      </w:r>
      <w:r>
        <w:t xml:space="preserve"> </w:t>
      </w:r>
      <w:r>
        <w:rPr>
          <w:b/>
        </w:rPr>
        <w:t xml:space="preserve">De Sanctis F</w:t>
      </w:r>
      <w:r>
        <w:t xml:space="preserve">,</w:t>
      </w:r>
      <w:r>
        <w:t xml:space="preserve"> </w:t>
      </w:r>
      <w:r>
        <w:rPr>
          <w:b/>
        </w:rPr>
        <w:t xml:space="preserve">Canè S</w:t>
      </w:r>
      <w:r>
        <w:t xml:space="preserve">,</w:t>
      </w:r>
      <w:r>
        <w:t xml:space="preserve"> </w:t>
      </w:r>
      <w:r>
        <w:rPr>
          <w:b/>
        </w:rPr>
        <w:t xml:space="preserve">Ugel S</w:t>
      </w:r>
      <w:r>
        <w:t xml:space="preserve">,</w:t>
      </w:r>
      <w:r>
        <w:t xml:space="preserve"> </w:t>
      </w:r>
      <w:r>
        <w:rPr>
          <w:b/>
        </w:rPr>
        <w:t xml:space="preserve">Donadello K</w:t>
      </w:r>
      <w:r>
        <w:t xml:space="preserve">,</w:t>
      </w:r>
      <w:r>
        <w:t xml:space="preserve"> </w:t>
      </w:r>
      <w:r>
        <w:rPr>
          <w:b/>
        </w:rPr>
        <w:t xml:space="preserve">Castellucci M</w:t>
      </w:r>
      <w:r>
        <w:t xml:space="preserve">,</w:t>
      </w:r>
      <w:r>
        <w:t xml:space="preserve"> </w:t>
      </w:r>
      <w:r>
        <w:rPr>
          <w:b/>
        </w:rPr>
        <w:t xml:space="preserve">Eyal D</w:t>
      </w:r>
      <w:r>
        <w:t xml:space="preserve"> </w:t>
      </w:r>
      <w:r>
        <w:rPr>
          <w:i/>
        </w:rPr>
        <w:t xml:space="preserve">et al.</w:t>
      </w:r>
      <w:r>
        <w:t xml:space="preserve"> </w:t>
      </w:r>
      <w:r>
        <w:t xml:space="preserve">Deciphering the state of immune silence in fatal COVID-19 patients.</w:t>
      </w:r>
      <w:r>
        <w:t xml:space="preserve"> </w:t>
      </w:r>
      <w:r>
        <w:rPr>
          <w:i/>
        </w:rPr>
        <w:t xml:space="preserve">Nature Communications</w:t>
      </w:r>
      <w:r>
        <w:t xml:space="preserve">. 2021;</w:t>
      </w:r>
      <w:r>
        <w:t xml:space="preserve"> </w:t>
      </w:r>
      <w:r>
        <w:rPr>
          <w:b/>
        </w:rPr>
        <w:t xml:space="preserve">12</w:t>
      </w:r>
      <w:r>
        <w:t xml:space="preserve">. Available at:</w:t>
      </w:r>
      <w:r>
        <w:t xml:space="preserve"> </w:t>
      </w:r>
      <w:hyperlink r:id="rId124">
        <w:r>
          <w:rPr>
            <w:rStyle w:val="InternetLink"/>
          </w:rPr>
          <w:t xml:space="preserve">/pmc/articles/PMC7935849/ /pmc/articles/PMC7935849/?report=abstract https://www.ncbi.nlm.nih.gov/pmc/articles/PMC7935849/</w:t>
        </w:r>
      </w:hyperlink>
      <w:r>
        <w:t xml:space="preserve">.DOI:</w:t>
      </w:r>
      <w:r>
        <w:t xml:space="preserve"> </w:t>
      </w:r>
      <w:hyperlink r:id="rId125">
        <w:r>
          <w:rPr>
            <w:rStyle w:val="InternetLink"/>
          </w:rPr>
          <w:t xml:space="preserve">10.1038/s41467-021-21702-6</w:t>
        </w:r>
      </w:hyperlink>
      <w:r>
        <w:t xml:space="preserve">.</w:t>
      </w:r>
    </w:p>
    <w:bookmarkEnd w:id="126"/>
    <w:bookmarkStart w:id="129" w:name="ref-Haschka2021"/>
    <w:p>
      <w:pPr>
        <w:pStyle w:val="Bibliography"/>
      </w:pPr>
      <w:r>
        <w:t xml:space="preserve">25.</w:t>
      </w:r>
      <w:r>
        <w:t xml:space="preserve"> </w:t>
      </w:r>
      <w:r>
        <w:rPr>
          <w:b/>
        </w:rPr>
        <w:t xml:space="preserve">Haschka D</w:t>
      </w:r>
      <w:r>
        <w:t xml:space="preserve">,</w:t>
      </w:r>
      <w:r>
        <w:t xml:space="preserve"> </w:t>
      </w:r>
      <w:r>
        <w:rPr>
          <w:b/>
        </w:rPr>
        <w:t xml:space="preserve">Hoffmann A</w:t>
      </w:r>
      <w:r>
        <w:t xml:space="preserve">,</w:t>
      </w:r>
      <w:r>
        <w:t xml:space="preserve"> </w:t>
      </w:r>
      <w:r>
        <w:rPr>
          <w:b/>
        </w:rPr>
        <w:t xml:space="preserve">Weiss G</w:t>
      </w:r>
      <w:r>
        <w:t xml:space="preserve">. Iron in immune cell function and host defense. 2021;</w:t>
      </w:r>
      <w:r>
        <w:t xml:space="preserve"> </w:t>
      </w:r>
      <w:r>
        <w:rPr>
          <w:b/>
        </w:rPr>
        <w:t xml:space="preserve">115</w:t>
      </w:r>
      <w:r>
        <w:t xml:space="preserve">:27–36. Available at:</w:t>
      </w:r>
      <w:r>
        <w:t xml:space="preserve"> </w:t>
      </w:r>
      <w:hyperlink r:id="rId127">
        <w:r>
          <w:rPr>
            <w:rStyle w:val="InternetLink"/>
          </w:rPr>
          <w:t xml:space="preserve">https://pubmed.ncbi.nlm.nih.gov/33386235/</w:t>
        </w:r>
      </w:hyperlink>
      <w:r>
        <w:t xml:space="preserve">.DOI:</w:t>
      </w:r>
      <w:r>
        <w:t xml:space="preserve"> </w:t>
      </w:r>
      <w:hyperlink r:id="rId128">
        <w:r>
          <w:rPr>
            <w:rStyle w:val="InternetLink"/>
          </w:rPr>
          <w:t xml:space="preserve">10.1016/j.semcdb.2020.12.005</w:t>
        </w:r>
      </w:hyperlink>
      <w:r>
        <w:t xml:space="preserve">.</w:t>
      </w:r>
    </w:p>
    <w:bookmarkEnd w:id="129"/>
    <w:bookmarkStart w:id="132" w:name="ref-Recalcati2012"/>
    <w:p>
      <w:pPr>
        <w:pStyle w:val="Bibliography"/>
      </w:pPr>
      <w:r>
        <w:t xml:space="preserve">26.</w:t>
      </w:r>
      <w:r>
        <w:t xml:space="preserve"> </w:t>
      </w:r>
      <w:r>
        <w:rPr>
          <w:b/>
        </w:rPr>
        <w:t xml:space="preserve">Recalcati S</w:t>
      </w:r>
      <w:r>
        <w:t xml:space="preserve">,</w:t>
      </w:r>
      <w:r>
        <w:t xml:space="preserve"> </w:t>
      </w:r>
      <w:r>
        <w:rPr>
          <w:b/>
        </w:rPr>
        <w:t xml:space="preserve">Locati M</w:t>
      </w:r>
      <w:r>
        <w:t xml:space="preserve">,</w:t>
      </w:r>
      <w:r>
        <w:t xml:space="preserve"> </w:t>
      </w:r>
      <w:r>
        <w:rPr>
          <w:b/>
        </w:rPr>
        <w:t xml:space="preserve">Cairo G</w:t>
      </w:r>
      <w:r>
        <w:t xml:space="preserve">. Systemic and cellular consequences of macrophage control of iron metabolism.</w:t>
      </w:r>
      <w:r>
        <w:t xml:space="preserve"> </w:t>
      </w:r>
      <w:r>
        <w:rPr>
          <w:i/>
        </w:rPr>
        <w:t xml:space="preserve">Seminars in Immunology</w:t>
      </w:r>
      <w:r>
        <w:t xml:space="preserve">. 2012;</w:t>
      </w:r>
      <w:r>
        <w:t xml:space="preserve"> </w:t>
      </w:r>
      <w:r>
        <w:rPr>
          <w:b/>
        </w:rPr>
        <w:t xml:space="preserve">24</w:t>
      </w:r>
      <w:r>
        <w:t xml:space="preserve">:393–398. Available at:</w:t>
      </w:r>
      <w:r>
        <w:t xml:space="preserve"> </w:t>
      </w:r>
      <w:hyperlink r:id="rId130">
        <w:r>
          <w:rPr>
            <w:rStyle w:val="InternetLink"/>
          </w:rPr>
          <w:t xml:space="preserve">http://www.sciencedirect.com/science/article/pii/S104453231300002X</w:t>
        </w:r>
      </w:hyperlink>
      <w:r>
        <w:t xml:space="preserve">.DOI:</w:t>
      </w:r>
      <w:r>
        <w:t xml:space="preserve"> </w:t>
      </w:r>
      <w:hyperlink r:id="rId131">
        <w:r>
          <w:rPr>
            <w:rStyle w:val="InternetLink"/>
          </w:rPr>
          <w:t xml:space="preserve">10.1016/j.smim.2013.01.001</w:t>
        </w:r>
      </w:hyperlink>
      <w:r>
        <w:t xml:space="preserve">.</w:t>
      </w:r>
    </w:p>
    <w:bookmarkEnd w:id="132"/>
    <w:bookmarkStart w:id="135" w:name="ref-Lanser2021"/>
    <w:p>
      <w:pPr>
        <w:pStyle w:val="Bibliography"/>
      </w:pPr>
      <w:r>
        <w:t xml:space="preserve">27.</w:t>
      </w:r>
      <w:r>
        <w:t xml:space="preserve"> </w:t>
      </w:r>
      <w:r>
        <w:rPr>
          <w:b/>
        </w:rPr>
        <w:t xml:space="preserve">Lanser L</w:t>
      </w:r>
      <w:r>
        <w:t xml:space="preserve">,</w:t>
      </w:r>
      <w:r>
        <w:t xml:space="preserve"> </w:t>
      </w:r>
      <w:r>
        <w:rPr>
          <w:b/>
        </w:rPr>
        <w:t xml:space="preserve">Fuchs D</w:t>
      </w:r>
      <w:r>
        <w:t xml:space="preserve">,</w:t>
      </w:r>
      <w:r>
        <w:t xml:space="preserve"> </w:t>
      </w:r>
      <w:r>
        <w:rPr>
          <w:b/>
        </w:rPr>
        <w:t xml:space="preserve">Kurz K</w:t>
      </w:r>
      <w:r>
        <w:t xml:space="preserve">,</w:t>
      </w:r>
      <w:r>
        <w:t xml:space="preserve"> </w:t>
      </w:r>
      <w:r>
        <w:rPr>
          <w:b/>
        </w:rPr>
        <w:t xml:space="preserve">Weiss G</w:t>
      </w:r>
      <w:r>
        <w:t xml:space="preserve">. Physiology and Inflammation Driven Pathophysiology of Iron Homeostasis—Mechanistic Insights into Anemia of Inflammation and Its Treatment.</w:t>
      </w:r>
      <w:r>
        <w:t xml:space="preserve"> </w:t>
      </w:r>
      <w:r>
        <w:rPr>
          <w:i/>
        </w:rPr>
        <w:t xml:space="preserve">Nutrients</w:t>
      </w:r>
      <w:r>
        <w:t xml:space="preserve">. 2021;</w:t>
      </w:r>
      <w:r>
        <w:t xml:space="preserve"> </w:t>
      </w:r>
      <w:r>
        <w:rPr>
          <w:b/>
        </w:rPr>
        <w:t xml:space="preserve">13</w:t>
      </w:r>
      <w:r>
        <w:t xml:space="preserve">. Available at:</w:t>
      </w:r>
      <w:r>
        <w:t xml:space="preserve"> </w:t>
      </w:r>
      <w:hyperlink r:id="rId133">
        <w:r>
          <w:rPr>
            <w:rStyle w:val="InternetLink"/>
          </w:rPr>
          <w:t xml:space="preserve">/pmc/articles/PMC8619077/ /pmc/articles/PMC8619077/?report=abstract https://www.ncbi.nlm.nih.gov/pmc/articles/PMC8619077/</w:t>
        </w:r>
      </w:hyperlink>
      <w:r>
        <w:t xml:space="preserve">.DOI:</w:t>
      </w:r>
      <w:r>
        <w:t xml:space="preserve"> </w:t>
      </w:r>
      <w:hyperlink r:id="rId134">
        <w:r>
          <w:rPr>
            <w:rStyle w:val="InternetLink"/>
          </w:rPr>
          <w:t xml:space="preserve">10.3390/NU13113732</w:t>
        </w:r>
      </w:hyperlink>
      <w:r>
        <w:t xml:space="preserve">.</w:t>
      </w:r>
    </w:p>
    <w:bookmarkEnd w:id="135"/>
    <w:bookmarkStart w:id="138" w:name="ref-Wong2012a"/>
    <w:p>
      <w:pPr>
        <w:pStyle w:val="Bibliography"/>
      </w:pPr>
      <w:r>
        <w:t xml:space="preserve">28.</w:t>
      </w:r>
      <w:r>
        <w:t xml:space="preserve"> </w:t>
      </w:r>
      <w:r>
        <w:rPr>
          <w:b/>
        </w:rPr>
        <w:t xml:space="preserve">Wong KL</w:t>
      </w:r>
      <w:r>
        <w:t xml:space="preserve">,</w:t>
      </w:r>
      <w:r>
        <w:t xml:space="preserve"> </w:t>
      </w:r>
      <w:r>
        <w:rPr>
          <w:b/>
        </w:rPr>
        <w:t xml:space="preserve">Yeap WH</w:t>
      </w:r>
      <w:r>
        <w:t xml:space="preserve">,</w:t>
      </w:r>
      <w:r>
        <w:t xml:space="preserve"> </w:t>
      </w:r>
      <w:r>
        <w:rPr>
          <w:b/>
        </w:rPr>
        <w:t xml:space="preserve">Tai JJY</w:t>
      </w:r>
      <w:r>
        <w:t xml:space="preserve">,</w:t>
      </w:r>
      <w:r>
        <w:t xml:space="preserve"> </w:t>
      </w:r>
      <w:r>
        <w:rPr>
          <w:b/>
        </w:rPr>
        <w:t xml:space="preserve">Ong SM</w:t>
      </w:r>
      <w:r>
        <w:t xml:space="preserve">,</w:t>
      </w:r>
      <w:r>
        <w:t xml:space="preserve"> </w:t>
      </w:r>
      <w:r>
        <w:rPr>
          <w:b/>
        </w:rPr>
        <w:t xml:space="preserve">Dang TM</w:t>
      </w:r>
      <w:r>
        <w:t xml:space="preserve">,</w:t>
      </w:r>
      <w:r>
        <w:t xml:space="preserve"> </w:t>
      </w:r>
      <w:r>
        <w:rPr>
          <w:b/>
        </w:rPr>
        <w:t xml:space="preserve">Wong SC</w:t>
      </w:r>
      <w:r>
        <w:t xml:space="preserve">. The three human monocyte subsets: implications for health and disease.</w:t>
      </w:r>
      <w:r>
        <w:t xml:space="preserve"> </w:t>
      </w:r>
      <w:r>
        <w:rPr>
          <w:i/>
        </w:rPr>
        <w:t xml:space="preserve">Immunologic Research</w:t>
      </w:r>
      <w:r>
        <w:t xml:space="preserve">. 2012;</w:t>
      </w:r>
      <w:r>
        <w:t xml:space="preserve"> </w:t>
      </w:r>
      <w:r>
        <w:rPr>
          <w:b/>
        </w:rPr>
        <w:t xml:space="preserve">53</w:t>
      </w:r>
      <w:r>
        <w:t xml:space="preserve">:41–57. Available at:</w:t>
      </w:r>
      <w:r>
        <w:t xml:space="preserve"> </w:t>
      </w:r>
      <w:hyperlink r:id="rId136">
        <w:r>
          <w:rPr>
            <w:rStyle w:val="InternetLink"/>
          </w:rPr>
          <w:t xml:space="preserve">http://www.ncbi.nlm.nih.gov/pubmed/22430559</w:t>
        </w:r>
      </w:hyperlink>
      <w:r>
        <w:t xml:space="preserve">.DOI:</w:t>
      </w:r>
      <w:r>
        <w:t xml:space="preserve"> </w:t>
      </w:r>
      <w:hyperlink r:id="rId137">
        <w:r>
          <w:rPr>
            <w:rStyle w:val="InternetLink"/>
          </w:rPr>
          <w:t xml:space="preserve">10.1007/s12026-012-8297-3</w:t>
        </w:r>
      </w:hyperlink>
      <w:r>
        <w:t xml:space="preserve">.</w:t>
      </w:r>
    </w:p>
    <w:bookmarkEnd w:id="138"/>
    <w:bookmarkStart w:id="141" w:name="ref-Haschka2020"/>
    <w:p>
      <w:pPr>
        <w:pStyle w:val="Bibliography"/>
      </w:pPr>
      <w:r>
        <w:t xml:space="preserve">29.</w:t>
      </w:r>
      <w:r>
        <w:t xml:space="preserve"> </w:t>
      </w:r>
      <w:r>
        <w:rPr>
          <w:b/>
        </w:rPr>
        <w:t xml:space="preserve">Haschka D</w:t>
      </w:r>
      <w:r>
        <w:t xml:space="preserve">,</w:t>
      </w:r>
      <w:r>
        <w:t xml:space="preserve"> </w:t>
      </w:r>
      <w:r>
        <w:rPr>
          <w:b/>
        </w:rPr>
        <w:t xml:space="preserve">Tymoszuk P</w:t>
      </w:r>
      <w:r>
        <w:t xml:space="preserve">,</w:t>
      </w:r>
      <w:r>
        <w:t xml:space="preserve"> </w:t>
      </w:r>
      <w:r>
        <w:rPr>
          <w:b/>
        </w:rPr>
        <w:t xml:space="preserve">Bsteh G</w:t>
      </w:r>
      <w:r>
        <w:t xml:space="preserve">,</w:t>
      </w:r>
      <w:r>
        <w:t xml:space="preserve"> </w:t>
      </w:r>
      <w:r>
        <w:rPr>
          <w:b/>
        </w:rPr>
        <w:t xml:space="preserve">Petzer V</w:t>
      </w:r>
      <w:r>
        <w:t xml:space="preserve">,</w:t>
      </w:r>
      <w:r>
        <w:t xml:space="preserve"> </w:t>
      </w:r>
      <w:r>
        <w:rPr>
          <w:b/>
        </w:rPr>
        <w:t xml:space="preserve">Berek K</w:t>
      </w:r>
      <w:r>
        <w:t xml:space="preserve">,</w:t>
      </w:r>
      <w:r>
        <w:t xml:space="preserve"> </w:t>
      </w:r>
      <w:r>
        <w:rPr>
          <w:b/>
        </w:rPr>
        <w:t xml:space="preserve">Theurl I</w:t>
      </w:r>
      <w:r>
        <w:t xml:space="preserve">,</w:t>
      </w:r>
      <w:r>
        <w:t xml:space="preserve"> </w:t>
      </w:r>
      <w:r>
        <w:rPr>
          <w:b/>
        </w:rPr>
        <w:t xml:space="preserve">Berger T</w:t>
      </w:r>
      <w:r>
        <w:t xml:space="preserve"> </w:t>
      </w:r>
      <w:r>
        <w:rPr>
          <w:i/>
        </w:rPr>
        <w:t xml:space="preserve">et al.</w:t>
      </w:r>
      <w:r>
        <w:t xml:space="preserve"> </w:t>
      </w:r>
      <w:r>
        <w:t xml:space="preserve">Expansion of Neutrophils and Classical and Nonclassical Monocytes as a Hallmark in Relapsing-Remitting Multiple Sclerosis.</w:t>
      </w:r>
      <w:r>
        <w:t xml:space="preserve"> </w:t>
      </w:r>
      <w:r>
        <w:rPr>
          <w:i/>
        </w:rPr>
        <w:t xml:space="preserve">Frontiers in Immunology</w:t>
      </w:r>
      <w:r>
        <w:t xml:space="preserve">. 2020;</w:t>
      </w:r>
      <w:r>
        <w:t xml:space="preserve"> </w:t>
      </w:r>
      <w:r>
        <w:rPr>
          <w:b/>
        </w:rPr>
        <w:t xml:space="preserve">11</w:t>
      </w:r>
      <w:r>
        <w:t xml:space="preserve">. Available at:</w:t>
      </w:r>
      <w:r>
        <w:t xml:space="preserve"> </w:t>
      </w:r>
      <w:hyperlink r:id="rId139">
        <w:r>
          <w:rPr>
            <w:rStyle w:val="InternetLink"/>
          </w:rPr>
          <w:t xml:space="preserve">https://pubmed.ncbi.nlm.nih.gov/32411125/</w:t>
        </w:r>
      </w:hyperlink>
      <w:r>
        <w:t xml:space="preserve">.DOI:</w:t>
      </w:r>
      <w:r>
        <w:t xml:space="preserve"> </w:t>
      </w:r>
      <w:hyperlink r:id="rId140">
        <w:r>
          <w:rPr>
            <w:rStyle w:val="InternetLink"/>
          </w:rPr>
          <w:t xml:space="preserve">10.3389/fimmu.2020.00594</w:t>
        </w:r>
      </w:hyperlink>
      <w:r>
        <w:t xml:space="preserve">.</w:t>
      </w:r>
    </w:p>
    <w:bookmarkEnd w:id="141"/>
    <w:bookmarkStart w:id="144" w:name="ref-Patel2017"/>
    <w:p>
      <w:pPr>
        <w:pStyle w:val="Bibliography"/>
      </w:pPr>
      <w:r>
        <w:t xml:space="preserve">30.</w:t>
      </w:r>
      <w:r>
        <w:t xml:space="preserve"> </w:t>
      </w:r>
      <w:r>
        <w:rPr>
          <w:b/>
        </w:rPr>
        <w:t xml:space="preserve">Patel AA</w:t>
      </w:r>
      <w:r>
        <w:t xml:space="preserve">,</w:t>
      </w:r>
      <w:r>
        <w:t xml:space="preserve"> </w:t>
      </w:r>
      <w:r>
        <w:rPr>
          <w:b/>
        </w:rPr>
        <w:t xml:space="preserve">Zhang Y</w:t>
      </w:r>
      <w:r>
        <w:t xml:space="preserve">,</w:t>
      </w:r>
      <w:r>
        <w:t xml:space="preserve"> </w:t>
      </w:r>
      <w:r>
        <w:rPr>
          <w:b/>
        </w:rPr>
        <w:t xml:space="preserve">Fullerton JN</w:t>
      </w:r>
      <w:r>
        <w:t xml:space="preserve">,</w:t>
      </w:r>
      <w:r>
        <w:t xml:space="preserve"> </w:t>
      </w:r>
      <w:r>
        <w:rPr>
          <w:b/>
        </w:rPr>
        <w:t xml:space="preserve">Boelen L</w:t>
      </w:r>
      <w:r>
        <w:t xml:space="preserve">,</w:t>
      </w:r>
      <w:r>
        <w:t xml:space="preserve"> </w:t>
      </w:r>
      <w:r>
        <w:rPr>
          <w:b/>
        </w:rPr>
        <w:t xml:space="preserve">Rongvaux A</w:t>
      </w:r>
      <w:r>
        <w:t xml:space="preserve">,</w:t>
      </w:r>
      <w:r>
        <w:t xml:space="preserve"> </w:t>
      </w:r>
      <w:r>
        <w:rPr>
          <w:b/>
        </w:rPr>
        <w:t xml:space="preserve">Maini AA</w:t>
      </w:r>
      <w:r>
        <w:t xml:space="preserve">,</w:t>
      </w:r>
      <w:r>
        <w:t xml:space="preserve"> </w:t>
      </w:r>
      <w:r>
        <w:rPr>
          <w:b/>
        </w:rPr>
        <w:t xml:space="preserve">Bigley V</w:t>
      </w:r>
      <w:r>
        <w:t xml:space="preserve"> </w:t>
      </w:r>
      <w:r>
        <w:rPr>
          <w:i/>
        </w:rPr>
        <w:t xml:space="preserve">et al.</w:t>
      </w:r>
      <w:r>
        <w:t xml:space="preserve"> </w:t>
      </w:r>
      <w:r>
        <w:t xml:space="preserve">The fate and lifespan of human monocyte subsets in steady state and systemic inflammation.</w:t>
      </w:r>
      <w:r>
        <w:t xml:space="preserve"> </w:t>
      </w:r>
      <w:r>
        <w:rPr>
          <w:i/>
        </w:rPr>
        <w:t xml:space="preserve">The Journal of Experimental Medicine</w:t>
      </w:r>
      <w:r>
        <w:t xml:space="preserve">. 2017;</w:t>
      </w:r>
      <w:r>
        <w:t xml:space="preserve"> </w:t>
      </w:r>
      <w:r>
        <w:rPr>
          <w:b/>
        </w:rPr>
        <w:t xml:space="preserve">214</w:t>
      </w:r>
      <w:r>
        <w:t xml:space="preserve">:1913–1923. Available at:</w:t>
      </w:r>
      <w:r>
        <w:t xml:space="preserve"> </w:t>
      </w:r>
      <w:hyperlink r:id="rId142">
        <w:r>
          <w:rPr>
            <w:rStyle w:val="InternetLink"/>
          </w:rPr>
          <w:t xml:space="preserve">http://www.jem.org/lookup/doi/10.1084/jem.20170355 http://www.ncbi.nlm.nih.gov/pubmed/28606987 http://www.pubmedcentral.nih.gov/articlerender.fcgi?artid=PMC5502436</w:t>
        </w:r>
      </w:hyperlink>
      <w:r>
        <w:t xml:space="preserve">.DOI:</w:t>
      </w:r>
      <w:r>
        <w:t xml:space="preserve"> </w:t>
      </w:r>
      <w:hyperlink r:id="rId143">
        <w:r>
          <w:rPr>
            <w:rStyle w:val="InternetLink"/>
          </w:rPr>
          <w:t xml:space="preserve">10.1084/jem.20170355</w:t>
        </w:r>
      </w:hyperlink>
      <w:r>
        <w:t xml:space="preserve">.</w:t>
      </w:r>
    </w:p>
    <w:bookmarkEnd w:id="144"/>
    <w:bookmarkStart w:id="147" w:name="ref-Gatti2020"/>
    <w:p>
      <w:pPr>
        <w:pStyle w:val="Bibliography"/>
      </w:pPr>
      <w:r>
        <w:t xml:space="preserve">31.</w:t>
      </w:r>
      <w:r>
        <w:t xml:space="preserve"> </w:t>
      </w:r>
      <w:r>
        <w:rPr>
          <w:b/>
        </w:rPr>
        <w:t xml:space="preserve">Gatti A</w:t>
      </w:r>
      <w:r>
        <w:t xml:space="preserve">,</w:t>
      </w:r>
      <w:r>
        <w:t xml:space="preserve"> </w:t>
      </w:r>
      <w:r>
        <w:rPr>
          <w:b/>
        </w:rPr>
        <w:t xml:space="preserve">Radrizzani D</w:t>
      </w:r>
      <w:r>
        <w:t xml:space="preserve">,</w:t>
      </w:r>
      <w:r>
        <w:t xml:space="preserve"> </w:t>
      </w:r>
      <w:r>
        <w:rPr>
          <w:b/>
        </w:rPr>
        <w:t xml:space="preserve">Viganò P</w:t>
      </w:r>
      <w:r>
        <w:t xml:space="preserve">,</w:t>
      </w:r>
      <w:r>
        <w:t xml:space="preserve"> </w:t>
      </w:r>
      <w:r>
        <w:rPr>
          <w:b/>
        </w:rPr>
        <w:t xml:space="preserve">Mazzone A</w:t>
      </w:r>
      <w:r>
        <w:t xml:space="preserve">,</w:t>
      </w:r>
      <w:r>
        <w:t xml:space="preserve"> </w:t>
      </w:r>
      <w:r>
        <w:rPr>
          <w:b/>
        </w:rPr>
        <w:t xml:space="preserve">Brando B</w:t>
      </w:r>
      <w:r>
        <w:t xml:space="preserve">. Decrease of Non-Classical and Intermediate Monocyte Subsets in Severe Acute SARS-CoV-2 Infection.</w:t>
      </w:r>
      <w:r>
        <w:t xml:space="preserve"> </w:t>
      </w:r>
      <w:r>
        <w:rPr>
          <w:i/>
        </w:rPr>
        <w:t xml:space="preserve">Cytometry Part A</w:t>
      </w:r>
      <w:r>
        <w:t xml:space="preserve">. 2020;</w:t>
      </w:r>
      <w:r>
        <w:t xml:space="preserve"> </w:t>
      </w:r>
      <w:r>
        <w:rPr>
          <w:b/>
        </w:rPr>
        <w:t xml:space="preserve">97</w:t>
      </w:r>
      <w:r>
        <w:t xml:space="preserve">:887–890. Available at:</w:t>
      </w:r>
      <w:r>
        <w:t xml:space="preserve"> </w:t>
      </w:r>
      <w:hyperlink r:id="rId145">
        <w:r>
          <w:rPr>
            <w:rStyle w:val="InternetLink"/>
          </w:rPr>
          <w:t xml:space="preserve">https://onlinelibrary.wiley.com/doi/10.1002/cyto.a.24188</w:t>
        </w:r>
      </w:hyperlink>
      <w:r>
        <w:t xml:space="preserve">.DOI:</w:t>
      </w:r>
      <w:r>
        <w:t xml:space="preserve"> </w:t>
      </w:r>
      <w:hyperlink r:id="rId146">
        <w:r>
          <w:rPr>
            <w:rStyle w:val="InternetLink"/>
          </w:rPr>
          <w:t xml:space="preserve">10.1002/cyto.a.24188</w:t>
        </w:r>
      </w:hyperlink>
      <w:r>
        <w:t xml:space="preserve">.</w:t>
      </w:r>
    </w:p>
    <w:bookmarkEnd w:id="147"/>
    <w:bookmarkStart w:id="150" w:name="ref-Geanon2021"/>
    <w:p>
      <w:pPr>
        <w:pStyle w:val="Bibliography"/>
      </w:pPr>
      <w:r>
        <w:t xml:space="preserve">32.</w:t>
      </w:r>
      <w:r>
        <w:t xml:space="preserve"> </w:t>
      </w:r>
      <w:r>
        <w:rPr>
          <w:b/>
        </w:rPr>
        <w:t xml:space="preserve">Geanon D</w:t>
      </w:r>
      <w:r>
        <w:t xml:space="preserve">,</w:t>
      </w:r>
      <w:r>
        <w:t xml:space="preserve"> </w:t>
      </w:r>
      <w:r>
        <w:rPr>
          <w:b/>
        </w:rPr>
        <w:t xml:space="preserve">Lee B</w:t>
      </w:r>
      <w:r>
        <w:t xml:space="preserve">,</w:t>
      </w:r>
      <w:r>
        <w:t xml:space="preserve"> </w:t>
      </w:r>
      <w:r>
        <w:rPr>
          <w:b/>
        </w:rPr>
        <w:t xml:space="preserve">Gonzalez-Kozlova E</w:t>
      </w:r>
      <w:r>
        <w:t xml:space="preserve">,</w:t>
      </w:r>
      <w:r>
        <w:t xml:space="preserve"> </w:t>
      </w:r>
      <w:r>
        <w:rPr>
          <w:b/>
        </w:rPr>
        <w:t xml:space="preserve">Kelly G</w:t>
      </w:r>
      <w:r>
        <w:t xml:space="preserve">,</w:t>
      </w:r>
      <w:r>
        <w:t xml:space="preserve"> </w:t>
      </w:r>
      <w:r>
        <w:rPr>
          <w:b/>
        </w:rPr>
        <w:t xml:space="preserve">Handler D</w:t>
      </w:r>
      <w:r>
        <w:t xml:space="preserve">,</w:t>
      </w:r>
      <w:r>
        <w:t xml:space="preserve"> </w:t>
      </w:r>
      <w:r>
        <w:rPr>
          <w:b/>
        </w:rPr>
        <w:t xml:space="preserve">Upadhyaya B</w:t>
      </w:r>
      <w:r>
        <w:t xml:space="preserve">,</w:t>
      </w:r>
      <w:r>
        <w:t xml:space="preserve"> </w:t>
      </w:r>
      <w:r>
        <w:rPr>
          <w:b/>
        </w:rPr>
        <w:t xml:space="preserve">Leech J</w:t>
      </w:r>
      <w:r>
        <w:t xml:space="preserve"> </w:t>
      </w:r>
      <w:r>
        <w:rPr>
          <w:i/>
        </w:rPr>
        <w:t xml:space="preserve">et al.</w:t>
      </w:r>
      <w:r>
        <w:t xml:space="preserve"> </w:t>
      </w:r>
      <w:r>
        <w:t xml:space="preserve">A streamlined whole blood CyTOF workflow defines a circulating immune cell signature of COVID-19.</w:t>
      </w:r>
      <w:r>
        <w:t xml:space="preserve"> </w:t>
      </w:r>
      <w:r>
        <w:rPr>
          <w:i/>
        </w:rPr>
        <w:t xml:space="preserve">Cytometry Part A</w:t>
      </w:r>
      <w:r>
        <w:t xml:space="preserve">. 2021;</w:t>
      </w:r>
      <w:r>
        <w:t xml:space="preserve"> </w:t>
      </w:r>
      <w:r>
        <w:rPr>
          <w:b/>
        </w:rPr>
        <w:t xml:space="preserve">99</w:t>
      </w:r>
      <w:r>
        <w:t xml:space="preserve">:446–461. Available at:</w:t>
      </w:r>
      <w:r>
        <w:t xml:space="preserve"> </w:t>
      </w:r>
      <w:hyperlink r:id="rId148">
        <w:r>
          <w:rPr>
            <w:rStyle w:val="InternetLink"/>
          </w:rPr>
          <w:t xml:space="preserve">https://pubmed.ncbi.nlm.nih.gov/33496367/</w:t>
        </w:r>
      </w:hyperlink>
      <w:r>
        <w:t xml:space="preserve">.DOI:</w:t>
      </w:r>
      <w:r>
        <w:t xml:space="preserve"> </w:t>
      </w:r>
      <w:hyperlink r:id="rId149">
        <w:r>
          <w:rPr>
            <w:rStyle w:val="InternetLink"/>
          </w:rPr>
          <w:t xml:space="preserve">10.1002/cyto.a.24317</w:t>
        </w:r>
      </w:hyperlink>
      <w:r>
        <w:t xml:space="preserve">.</w:t>
      </w:r>
    </w:p>
    <w:bookmarkEnd w:id="150"/>
    <w:bookmarkStart w:id="153" w:name="ref-Zingaropoli2021"/>
    <w:p>
      <w:pPr>
        <w:pStyle w:val="Bibliography"/>
      </w:pPr>
      <w:r>
        <w:t xml:space="preserve">33.</w:t>
      </w:r>
      <w:r>
        <w:t xml:space="preserve"> </w:t>
      </w:r>
      <w:r>
        <w:rPr>
          <w:b/>
        </w:rPr>
        <w:t xml:space="preserve">Zingaropoli MA</w:t>
      </w:r>
      <w:r>
        <w:t xml:space="preserve">,</w:t>
      </w:r>
      <w:r>
        <w:t xml:space="preserve"> </w:t>
      </w:r>
      <w:r>
        <w:rPr>
          <w:b/>
        </w:rPr>
        <w:t xml:space="preserve">Nijhawan P</w:t>
      </w:r>
      <w:r>
        <w:t xml:space="preserve">,</w:t>
      </w:r>
      <w:r>
        <w:t xml:space="preserve"> </w:t>
      </w:r>
      <w:r>
        <w:rPr>
          <w:b/>
        </w:rPr>
        <w:t xml:space="preserve">Carraro A</w:t>
      </w:r>
      <w:r>
        <w:t xml:space="preserve">,</w:t>
      </w:r>
      <w:r>
        <w:t xml:space="preserve"> </w:t>
      </w:r>
      <w:r>
        <w:rPr>
          <w:b/>
        </w:rPr>
        <w:t xml:space="preserve">Pasculli P</w:t>
      </w:r>
      <w:r>
        <w:t xml:space="preserve">,</w:t>
      </w:r>
      <w:r>
        <w:t xml:space="preserve"> </w:t>
      </w:r>
      <w:r>
        <w:rPr>
          <w:b/>
        </w:rPr>
        <w:t xml:space="preserve">Zuccalà P</w:t>
      </w:r>
      <w:r>
        <w:t xml:space="preserve">,</w:t>
      </w:r>
      <w:r>
        <w:t xml:space="preserve"> </w:t>
      </w:r>
      <w:r>
        <w:rPr>
          <w:b/>
        </w:rPr>
        <w:t xml:space="preserve">Perri V</w:t>
      </w:r>
      <w:r>
        <w:t xml:space="preserve">,</w:t>
      </w:r>
      <w:r>
        <w:t xml:space="preserve"> </w:t>
      </w:r>
      <w:r>
        <w:rPr>
          <w:b/>
        </w:rPr>
        <w:t xml:space="preserve">Marocco R</w:t>
      </w:r>
      <w:r>
        <w:t xml:space="preserve"> </w:t>
      </w:r>
      <w:r>
        <w:rPr>
          <w:i/>
        </w:rPr>
        <w:t xml:space="preserve">et al.</w:t>
      </w:r>
      <w:r>
        <w:t xml:space="preserve"> </w:t>
      </w:r>
      <w:r>
        <w:t xml:space="preserve">Increased sCD163 and sCD14 Plasmatic Levels and Depletion of Peripheral Blood Pro-Inflammatory Monocytes, Myeloid and Plasmacytoid Dendritic Cells in Patients With Severe COVID-19 Pneumonia.</w:t>
      </w:r>
      <w:r>
        <w:t xml:space="preserve"> </w:t>
      </w:r>
      <w:r>
        <w:rPr>
          <w:i/>
        </w:rPr>
        <w:t xml:space="preserve">Frontiers in Immunology</w:t>
      </w:r>
      <w:r>
        <w:t xml:space="preserve">. 2021;</w:t>
      </w:r>
      <w:r>
        <w:t xml:space="preserve"> </w:t>
      </w:r>
      <w:r>
        <w:rPr>
          <w:b/>
        </w:rPr>
        <w:t xml:space="preserve">12</w:t>
      </w:r>
      <w:r>
        <w:t xml:space="preserve">:147. Available at:</w:t>
      </w:r>
      <w:r>
        <w:t xml:space="preserve"> </w:t>
      </w:r>
      <w:hyperlink r:id="rId151">
        <w:r>
          <w:rPr>
            <w:rStyle w:val="InternetLink"/>
          </w:rPr>
          <w:t xml:space="preserve">https://www.frontiersin.org/articles/10.3389/fimmu.2021.627548/full</w:t>
        </w:r>
      </w:hyperlink>
      <w:r>
        <w:t xml:space="preserve">.DOI:</w:t>
      </w:r>
      <w:r>
        <w:t xml:space="preserve"> </w:t>
      </w:r>
      <w:hyperlink r:id="rId152">
        <w:r>
          <w:rPr>
            <w:rStyle w:val="InternetLink"/>
          </w:rPr>
          <w:t xml:space="preserve">10.3389/fimmu.2021.627548</w:t>
        </w:r>
      </w:hyperlink>
      <w:r>
        <w:t xml:space="preserve">.</w:t>
      </w:r>
    </w:p>
    <w:bookmarkEnd w:id="153"/>
    <w:bookmarkStart w:id="156" w:name="ref-Kohonen1995"/>
    <w:p>
      <w:pPr>
        <w:pStyle w:val="Bibliography"/>
      </w:pPr>
      <w:r>
        <w:t xml:space="preserve">34.</w:t>
      </w:r>
      <w:r>
        <w:t xml:space="preserve"> </w:t>
      </w:r>
      <w:r>
        <w:rPr>
          <w:b/>
        </w:rPr>
        <w:t xml:space="preserve">Kohonen T</w:t>
      </w:r>
      <w:r>
        <w:t xml:space="preserve">.</w:t>
      </w:r>
      <w:r>
        <w:t xml:space="preserve"> </w:t>
      </w:r>
      <w:r>
        <w:rPr>
          <w:i/>
        </w:rPr>
        <w:t xml:space="preserve">Self-Organizing Maps</w:t>
      </w:r>
      <w:r>
        <w:t xml:space="preserve">. Berlin, Heidelberg: Springer Berlin Heidelberg; 1995. Available at:</w:t>
      </w:r>
      <w:r>
        <w:t xml:space="preserve"> </w:t>
      </w:r>
      <w:hyperlink r:id="rId154">
        <w:r>
          <w:rPr>
            <w:rStyle w:val="InternetLink"/>
          </w:rPr>
          <w:t xml:space="preserve">http://link.springer.com/10.1007/978-3-642-97610-0</w:t>
        </w:r>
      </w:hyperlink>
      <w:r>
        <w:t xml:space="preserve">.DOI:</w:t>
      </w:r>
      <w:r>
        <w:t xml:space="preserve"> </w:t>
      </w:r>
      <w:hyperlink r:id="rId155">
        <w:r>
          <w:rPr>
            <w:rStyle w:val="InternetLink"/>
          </w:rPr>
          <w:t xml:space="preserve">10.1007/978-3-642-97610-0</w:t>
        </w:r>
      </w:hyperlink>
      <w:r>
        <w:t xml:space="preserve">.</w:t>
      </w:r>
    </w:p>
    <w:bookmarkEnd w:id="156"/>
    <w:bookmarkStart w:id="158" w:name="ref-Vesanto2000"/>
    <w:p>
      <w:pPr>
        <w:pStyle w:val="Bibliography"/>
      </w:pPr>
      <w:r>
        <w:t xml:space="preserve">35.</w:t>
      </w:r>
      <w:r>
        <w:t xml:space="preserve"> </w:t>
      </w:r>
      <w:r>
        <w:rPr>
          <w:b/>
        </w:rPr>
        <w:t xml:space="preserve">Vesanto J</w:t>
      </w:r>
      <w:r>
        <w:t xml:space="preserve">,</w:t>
      </w:r>
      <w:r>
        <w:t xml:space="preserve"> </w:t>
      </w:r>
      <w:r>
        <w:rPr>
          <w:b/>
        </w:rPr>
        <w:t xml:space="preserve">Alhoniemi E</w:t>
      </w:r>
      <w:r>
        <w:t xml:space="preserve">. Clustering of the self-organizing map.</w:t>
      </w:r>
      <w:r>
        <w:t xml:space="preserve"> </w:t>
      </w:r>
      <w:r>
        <w:rPr>
          <w:i/>
        </w:rPr>
        <w:t xml:space="preserve">IEEE Transactions on Neural Networks</w:t>
      </w:r>
      <w:r>
        <w:t xml:space="preserve">. 2000;</w:t>
      </w:r>
      <w:r>
        <w:t xml:space="preserve"> </w:t>
      </w:r>
      <w:r>
        <w:rPr>
          <w:b/>
        </w:rPr>
        <w:t xml:space="preserve">11</w:t>
      </w:r>
      <w:r>
        <w:t xml:space="preserve">:586–600.DOI:</w:t>
      </w:r>
      <w:r>
        <w:t xml:space="preserve"> </w:t>
      </w:r>
      <w:hyperlink r:id="rId157">
        <w:r>
          <w:rPr>
            <w:rStyle w:val="InternetLink"/>
          </w:rPr>
          <w:t xml:space="preserve">10.1109/72.846731</w:t>
        </w:r>
      </w:hyperlink>
      <w:r>
        <w:t xml:space="preserve">.</w:t>
      </w:r>
    </w:p>
    <w:bookmarkEnd w:id="158"/>
    <w:bookmarkStart w:id="161" w:name="ref-Weiss2018"/>
    <w:p>
      <w:pPr>
        <w:pStyle w:val="Bibliography"/>
      </w:pPr>
      <w:r>
        <w:t xml:space="preserve">36.</w:t>
      </w:r>
      <w:r>
        <w:t xml:space="preserve"> </w:t>
      </w:r>
      <w:r>
        <w:rPr>
          <w:b/>
        </w:rPr>
        <w:t xml:space="preserve">Weiss G</w:t>
      </w:r>
      <w:r>
        <w:t xml:space="preserve">,</w:t>
      </w:r>
      <w:r>
        <w:t xml:space="preserve"> </w:t>
      </w:r>
      <w:r>
        <w:rPr>
          <w:b/>
        </w:rPr>
        <w:t xml:space="preserve">Carver PL</w:t>
      </w:r>
      <w:r>
        <w:t xml:space="preserve">. Role of divalent metals in infectious disease susceptibility and outcome. 2018;</w:t>
      </w:r>
      <w:r>
        <w:t xml:space="preserve"> </w:t>
      </w:r>
      <w:r>
        <w:rPr>
          <w:b/>
        </w:rPr>
        <w:t xml:space="preserve">24</w:t>
      </w:r>
      <w:r>
        <w:t xml:space="preserve">:16–23. Available at:</w:t>
      </w:r>
      <w:r>
        <w:t xml:space="preserve"> </w:t>
      </w:r>
      <w:hyperlink r:id="rId159">
        <w:r>
          <w:rPr>
            <w:rStyle w:val="InternetLink"/>
          </w:rPr>
          <w:t xml:space="preserve">http://www.ncbi.nlm.nih.gov/pubmed/28143784</w:t>
        </w:r>
      </w:hyperlink>
      <w:r>
        <w:t xml:space="preserve">.DOI:</w:t>
      </w:r>
      <w:r>
        <w:t xml:space="preserve"> </w:t>
      </w:r>
      <w:hyperlink r:id="rId160">
        <w:r>
          <w:rPr>
            <w:rStyle w:val="InternetLink"/>
          </w:rPr>
          <w:t xml:space="preserve">10.1016/j.cmi.2017.01.018</w:t>
        </w:r>
      </w:hyperlink>
      <w:r>
        <w:t xml:space="preserve">.</w:t>
      </w:r>
    </w:p>
    <w:bookmarkEnd w:id="161"/>
    <w:bookmarkStart w:id="164" w:name="ref-Yagc2021"/>
    <w:p>
      <w:pPr>
        <w:pStyle w:val="Bibliography"/>
      </w:pPr>
      <w:r>
        <w:t xml:space="preserve">37.</w:t>
      </w:r>
      <w:r>
        <w:t xml:space="preserve"> </w:t>
      </w:r>
      <w:r>
        <w:rPr>
          <w:b/>
        </w:rPr>
        <w:t xml:space="preserve">Yağcı S</w:t>
      </w:r>
      <w:r>
        <w:t xml:space="preserve">,</w:t>
      </w:r>
      <w:r>
        <w:t xml:space="preserve"> </w:t>
      </w:r>
      <w:r>
        <w:rPr>
          <w:b/>
        </w:rPr>
        <w:t xml:space="preserve">Serin E</w:t>
      </w:r>
      <w:r>
        <w:t xml:space="preserve">,</w:t>
      </w:r>
      <w:r>
        <w:t xml:space="preserve"> </w:t>
      </w:r>
      <w:r>
        <w:rPr>
          <w:b/>
        </w:rPr>
        <w:t xml:space="preserve">Acicbe Ö</w:t>
      </w:r>
      <w:r>
        <w:t xml:space="preserve">,</w:t>
      </w:r>
      <w:r>
        <w:t xml:space="preserve"> </w:t>
      </w:r>
      <w:r>
        <w:rPr>
          <w:b/>
        </w:rPr>
        <w:t xml:space="preserve">Zeren Mİ</w:t>
      </w:r>
      <w:r>
        <w:t xml:space="preserve">,</w:t>
      </w:r>
      <w:r>
        <w:t xml:space="preserve"> </w:t>
      </w:r>
      <w:r>
        <w:rPr>
          <w:b/>
        </w:rPr>
        <w:t xml:space="preserve">Odabaşı MS</w:t>
      </w:r>
      <w:r>
        <w:t xml:space="preserve">. The relationship between serum erythropoietin, hepcidin, and haptoglobin levels with disease severity and other biochemical values in patients with COVID-19.</w:t>
      </w:r>
      <w:r>
        <w:t xml:space="preserve"> </w:t>
      </w:r>
      <w:r>
        <w:rPr>
          <w:i/>
        </w:rPr>
        <w:t xml:space="preserve">International Journal of Laboratory Hematology</w:t>
      </w:r>
      <w:r>
        <w:t xml:space="preserve">. 2021;</w:t>
      </w:r>
      <w:r>
        <w:t xml:space="preserve"> </w:t>
      </w:r>
      <w:r>
        <w:rPr>
          <w:b/>
        </w:rPr>
        <w:t xml:space="preserve">00</w:t>
      </w:r>
      <w:r>
        <w:t xml:space="preserve">:1–10. Available at:</w:t>
      </w:r>
      <w:r>
        <w:t xml:space="preserve"> </w:t>
      </w:r>
      <w:hyperlink r:id="rId162">
        <w:r>
          <w:rPr>
            <w:rStyle w:val="InternetLink"/>
          </w:rPr>
          <w:t xml:space="preserve">/pmc/articles/PMC8014125/ /pmc/articles/PMC8014125/?report=abstract https://www.ncbi.nlm.nih.gov/pmc/articles/PMC8014125/</w:t>
        </w:r>
      </w:hyperlink>
      <w:r>
        <w:t xml:space="preserve">.DOI:</w:t>
      </w:r>
      <w:r>
        <w:t xml:space="preserve"> </w:t>
      </w:r>
      <w:hyperlink r:id="rId163">
        <w:r>
          <w:rPr>
            <w:rStyle w:val="InternetLink"/>
          </w:rPr>
          <w:t xml:space="preserve">10.1111/ijlh.13479</w:t>
        </w:r>
      </w:hyperlink>
      <w:r>
        <w:t xml:space="preserve">.</w:t>
      </w:r>
    </w:p>
    <w:bookmarkEnd w:id="164"/>
    <w:bookmarkStart w:id="167" w:name="ref-Brandtner2020"/>
    <w:p>
      <w:pPr>
        <w:pStyle w:val="Bibliography"/>
      </w:pPr>
      <w:r>
        <w:t xml:space="preserve">38.</w:t>
      </w:r>
      <w:r>
        <w:t xml:space="preserve"> </w:t>
      </w:r>
      <w:r>
        <w:rPr>
          <w:b/>
        </w:rPr>
        <w:t xml:space="preserve">Brandtner A</w:t>
      </w:r>
      <w:r>
        <w:t xml:space="preserve">,</w:t>
      </w:r>
      <w:r>
        <w:t xml:space="preserve"> </w:t>
      </w:r>
      <w:r>
        <w:rPr>
          <w:b/>
        </w:rPr>
        <w:t xml:space="preserve">Tymoszuk P</w:t>
      </w:r>
      <w:r>
        <w:t xml:space="preserve">,</w:t>
      </w:r>
      <w:r>
        <w:t xml:space="preserve"> </w:t>
      </w:r>
      <w:r>
        <w:rPr>
          <w:b/>
        </w:rPr>
        <w:t xml:space="preserve">Nairz M</w:t>
      </w:r>
      <w:r>
        <w:t xml:space="preserve">,</w:t>
      </w:r>
      <w:r>
        <w:t xml:space="preserve"> </w:t>
      </w:r>
      <w:r>
        <w:rPr>
          <w:b/>
        </w:rPr>
        <w:t xml:space="preserve">Lehner GF</w:t>
      </w:r>
      <w:r>
        <w:t xml:space="preserve">,</w:t>
      </w:r>
      <w:r>
        <w:t xml:space="preserve"> </w:t>
      </w:r>
      <w:r>
        <w:rPr>
          <w:b/>
        </w:rPr>
        <w:t xml:space="preserve">Fritsche G</w:t>
      </w:r>
      <w:r>
        <w:t xml:space="preserve">,</w:t>
      </w:r>
      <w:r>
        <w:t xml:space="preserve"> </w:t>
      </w:r>
      <w:r>
        <w:rPr>
          <w:b/>
        </w:rPr>
        <w:t xml:space="preserve">Vales A</w:t>
      </w:r>
      <w:r>
        <w:t xml:space="preserve">,</w:t>
      </w:r>
      <w:r>
        <w:t xml:space="preserve"> </w:t>
      </w:r>
      <w:r>
        <w:rPr>
          <w:b/>
        </w:rPr>
        <w:t xml:space="preserve">Falkner A</w:t>
      </w:r>
      <w:r>
        <w:t xml:space="preserve"> </w:t>
      </w:r>
      <w:r>
        <w:rPr>
          <w:i/>
        </w:rPr>
        <w:t xml:space="preserve">et al.</w:t>
      </w:r>
      <w:r>
        <w:t xml:space="preserve"> </w:t>
      </w:r>
      <w:r>
        <w:t xml:space="preserve">Linkage of alterations in systemic iron homeostasis to patients’ outcome in sepsis: A prospective study.</w:t>
      </w:r>
      <w:r>
        <w:t xml:space="preserve"> </w:t>
      </w:r>
      <w:r>
        <w:rPr>
          <w:i/>
        </w:rPr>
        <w:t xml:space="preserve">Journal of Intensive Care</w:t>
      </w:r>
      <w:r>
        <w:t xml:space="preserve">. 2020;</w:t>
      </w:r>
      <w:r>
        <w:t xml:space="preserve"> </w:t>
      </w:r>
      <w:r>
        <w:rPr>
          <w:b/>
        </w:rPr>
        <w:t xml:space="preserve">8</w:t>
      </w:r>
      <w:r>
        <w:t xml:space="preserve">. Available at:</w:t>
      </w:r>
      <w:r>
        <w:t xml:space="preserve"> </w:t>
      </w:r>
      <w:hyperlink r:id="rId165">
        <w:r>
          <w:rPr>
            <w:rStyle w:val="InternetLink"/>
          </w:rPr>
          <w:t xml:space="preserve">https://pubmed.ncbi.nlm.nih.gov/33014378/</w:t>
        </w:r>
      </w:hyperlink>
      <w:r>
        <w:t xml:space="preserve">.DOI:</w:t>
      </w:r>
      <w:r>
        <w:t xml:space="preserve"> </w:t>
      </w:r>
      <w:hyperlink r:id="rId166">
        <w:r>
          <w:rPr>
            <w:rStyle w:val="InternetLink"/>
          </w:rPr>
          <w:t xml:space="preserve">10.1186/s40560-020-00495-8</w:t>
        </w:r>
      </w:hyperlink>
      <w:r>
        <w:t xml:space="preserve">.</w:t>
      </w:r>
    </w:p>
    <w:bookmarkEnd w:id="167"/>
    <w:bookmarkStart w:id="170" w:name="ref-Zhou2020"/>
    <w:p>
      <w:pPr>
        <w:pStyle w:val="Bibliography"/>
      </w:pPr>
      <w:r>
        <w:t xml:space="preserve">39.</w:t>
      </w:r>
      <w:r>
        <w:t xml:space="preserve"> </w:t>
      </w:r>
      <w:r>
        <w:rPr>
          <w:b/>
        </w:rPr>
        <w:t xml:space="preserve">Zhou C</w:t>
      </w:r>
      <w:r>
        <w:t xml:space="preserve">,</w:t>
      </w:r>
      <w:r>
        <w:t xml:space="preserve"> </w:t>
      </w:r>
      <w:r>
        <w:rPr>
          <w:b/>
        </w:rPr>
        <w:t xml:space="preserve">Chen Y</w:t>
      </w:r>
      <w:r>
        <w:t xml:space="preserve">,</w:t>
      </w:r>
      <w:r>
        <w:t xml:space="preserve"> </w:t>
      </w:r>
      <w:r>
        <w:rPr>
          <w:b/>
        </w:rPr>
        <w:t xml:space="preserve">Ji Y</w:t>
      </w:r>
      <w:r>
        <w:t xml:space="preserve">,</w:t>
      </w:r>
      <w:r>
        <w:t xml:space="preserve"> </w:t>
      </w:r>
      <w:r>
        <w:rPr>
          <w:b/>
        </w:rPr>
        <w:t xml:space="preserve">He X</w:t>
      </w:r>
      <w:r>
        <w:t xml:space="preserve">,</w:t>
      </w:r>
      <w:r>
        <w:t xml:space="preserve"> </w:t>
      </w:r>
      <w:r>
        <w:rPr>
          <w:b/>
        </w:rPr>
        <w:t xml:space="preserve">Xue D</w:t>
      </w:r>
      <w:r>
        <w:t xml:space="preserve">. Increased serum levels of hepcidin and ferritin are associated with severity of COVID-19.</w:t>
      </w:r>
      <w:r>
        <w:t xml:space="preserve"> </w:t>
      </w:r>
      <w:r>
        <w:rPr>
          <w:i/>
        </w:rPr>
        <w:t xml:space="preserve">Medical Science Monitor</w:t>
      </w:r>
      <w:r>
        <w:t xml:space="preserve">. 2020;</w:t>
      </w:r>
      <w:r>
        <w:t xml:space="preserve"> </w:t>
      </w:r>
      <w:r>
        <w:rPr>
          <w:b/>
        </w:rPr>
        <w:t xml:space="preserve">26</w:t>
      </w:r>
      <w:r>
        <w:t xml:space="preserve">:e926178–1. Available at:</w:t>
      </w:r>
      <w:r>
        <w:t xml:space="preserve"> </w:t>
      </w:r>
      <w:hyperlink r:id="rId168">
        <w:r>
          <w:rPr>
            <w:rStyle w:val="InternetLink"/>
          </w:rPr>
          <w:t xml:space="preserve">/pmc/articles/PMC7526336/ /pmc/articles/PMC7526336/?report=abstract https://www.ncbi.nlm.nih.gov/pmc/articles/PMC7526336/</w:t>
        </w:r>
      </w:hyperlink>
      <w:r>
        <w:t xml:space="preserve">.DOI:</w:t>
      </w:r>
      <w:r>
        <w:t xml:space="preserve"> </w:t>
      </w:r>
      <w:hyperlink r:id="rId169">
        <w:r>
          <w:rPr>
            <w:rStyle w:val="InternetLink"/>
          </w:rPr>
          <w:t xml:space="preserve">10.12659/MSM.926178</w:t>
        </w:r>
      </w:hyperlink>
      <w:r>
        <w:t xml:space="preserve">.</w:t>
      </w:r>
    </w:p>
    <w:bookmarkEnd w:id="170"/>
    <w:bookmarkStart w:id="173" w:name="ref-Nairz2017"/>
    <w:p>
      <w:pPr>
        <w:pStyle w:val="Bibliography"/>
      </w:pPr>
      <w:r>
        <w:t xml:space="preserve">40.</w:t>
      </w:r>
      <w:r>
        <w:t xml:space="preserve"> </w:t>
      </w:r>
      <w:r>
        <w:rPr>
          <w:b/>
        </w:rPr>
        <w:t xml:space="preserve">Nairz M</w:t>
      </w:r>
      <w:r>
        <w:t xml:space="preserve">,</w:t>
      </w:r>
      <w:r>
        <w:t xml:space="preserve"> </w:t>
      </w:r>
      <w:r>
        <w:rPr>
          <w:b/>
        </w:rPr>
        <w:t xml:space="preserve">Theurl I</w:t>
      </w:r>
      <w:r>
        <w:t xml:space="preserve">,</w:t>
      </w:r>
      <w:r>
        <w:t xml:space="preserve"> </w:t>
      </w:r>
      <w:r>
        <w:rPr>
          <w:b/>
        </w:rPr>
        <w:t xml:space="preserve">Swirski FK</w:t>
      </w:r>
      <w:r>
        <w:t xml:space="preserve">,</w:t>
      </w:r>
      <w:r>
        <w:t xml:space="preserve"> </w:t>
      </w:r>
      <w:r>
        <w:rPr>
          <w:b/>
        </w:rPr>
        <w:t xml:space="preserve">Weiss G</w:t>
      </w:r>
      <w:r>
        <w:t xml:space="preserve">. ‘Pumping iron’—how macrophages handle iron at the systemic, microenvironmental, and cellular levels. 2017;</w:t>
      </w:r>
      <w:r>
        <w:t xml:space="preserve"> </w:t>
      </w:r>
      <w:r>
        <w:rPr>
          <w:b/>
        </w:rPr>
        <w:t xml:space="preserve">469</w:t>
      </w:r>
      <w:r>
        <w:t xml:space="preserve">:397–418. Available at:</w:t>
      </w:r>
      <w:r>
        <w:t xml:space="preserve"> </w:t>
      </w:r>
      <w:hyperlink r:id="rId171">
        <w:r>
          <w:rPr>
            <w:rStyle w:val="InternetLink"/>
          </w:rPr>
          <w:t xml:space="preserve">https://pubmed.ncbi.nlm.nih.gov/28251312/</w:t>
        </w:r>
      </w:hyperlink>
      <w:r>
        <w:t xml:space="preserve">.DOI:</w:t>
      </w:r>
      <w:r>
        <w:t xml:space="preserve"> </w:t>
      </w:r>
      <w:hyperlink r:id="rId172">
        <w:r>
          <w:rPr>
            <w:rStyle w:val="InternetLink"/>
          </w:rPr>
          <w:t xml:space="preserve">10.1007/s00424-017-1944-8</w:t>
        </w:r>
      </w:hyperlink>
      <w:r>
        <w:t xml:space="preserve">.</w:t>
      </w:r>
    </w:p>
    <w:bookmarkEnd w:id="173"/>
    <w:bookmarkStart w:id="175" w:name="ref-McInnes2018"/>
    <w:p>
      <w:pPr>
        <w:pStyle w:val="Bibliography"/>
      </w:pPr>
      <w:r>
        <w:t xml:space="preserve">41.</w:t>
      </w:r>
      <w:r>
        <w:t xml:space="preserve"> </w:t>
      </w:r>
      <w:r>
        <w:rPr>
          <w:b/>
        </w:rPr>
        <w:t xml:space="preserve">McInnes L</w:t>
      </w:r>
      <w:r>
        <w:t xml:space="preserve">,</w:t>
      </w:r>
      <w:r>
        <w:t xml:space="preserve"> </w:t>
      </w:r>
      <w:r>
        <w:rPr>
          <w:b/>
        </w:rPr>
        <w:t xml:space="preserve">Healy J</w:t>
      </w:r>
      <w:r>
        <w:t xml:space="preserve">,</w:t>
      </w:r>
      <w:r>
        <w:t xml:space="preserve"> </w:t>
      </w:r>
      <w:r>
        <w:rPr>
          <w:b/>
        </w:rPr>
        <w:t xml:space="preserve">Melville J</w:t>
      </w:r>
      <w:r>
        <w:t xml:space="preserve">. UMAP: Uniform Manifold Approximation and Projection for Dimension Reduction. 2018. Available at:</w:t>
      </w:r>
      <w:r>
        <w:t xml:space="preserve"> </w:t>
      </w:r>
      <w:hyperlink r:id="rId174">
        <w:r>
          <w:rPr>
            <w:rStyle w:val="InternetLink"/>
          </w:rPr>
          <w:t xml:space="preserve">https://arxiv.org/abs/1802.03426v3 http://arxiv.org/abs/1802.03426</w:t>
        </w:r>
      </w:hyperlink>
      <w:r>
        <w:t xml:space="preserve">.</w:t>
      </w:r>
    </w:p>
    <w:bookmarkEnd w:id="175"/>
    <w:bookmarkStart w:id="178" w:name="ref-Haschka2019"/>
    <w:p>
      <w:pPr>
        <w:pStyle w:val="Bibliography"/>
      </w:pPr>
      <w:r>
        <w:t xml:space="preserve">42.</w:t>
      </w:r>
      <w:r>
        <w:t xml:space="preserve"> </w:t>
      </w:r>
      <w:r>
        <w:rPr>
          <w:b/>
        </w:rPr>
        <w:t xml:space="preserve">Haschka D</w:t>
      </w:r>
      <w:r>
        <w:t xml:space="preserve">,</w:t>
      </w:r>
      <w:r>
        <w:t xml:space="preserve"> </w:t>
      </w:r>
      <w:r>
        <w:rPr>
          <w:b/>
        </w:rPr>
        <w:t xml:space="preserve">Petzer V</w:t>
      </w:r>
      <w:r>
        <w:t xml:space="preserve">,</w:t>
      </w:r>
      <w:r>
        <w:t xml:space="preserve"> </w:t>
      </w:r>
      <w:r>
        <w:rPr>
          <w:b/>
        </w:rPr>
        <w:t xml:space="preserve">Kocher F</w:t>
      </w:r>
      <w:r>
        <w:t xml:space="preserve">,</w:t>
      </w:r>
      <w:r>
        <w:t xml:space="preserve"> </w:t>
      </w:r>
      <w:r>
        <w:rPr>
          <w:b/>
        </w:rPr>
        <w:t xml:space="preserve">Tschurtschenthaler C</w:t>
      </w:r>
      <w:r>
        <w:t xml:space="preserve">,</w:t>
      </w:r>
      <w:r>
        <w:t xml:space="preserve"> </w:t>
      </w:r>
      <w:r>
        <w:rPr>
          <w:b/>
        </w:rPr>
        <w:t xml:space="preserve">Schaefer B</w:t>
      </w:r>
      <w:r>
        <w:t xml:space="preserve">,</w:t>
      </w:r>
      <w:r>
        <w:t xml:space="preserve"> </w:t>
      </w:r>
      <w:r>
        <w:rPr>
          <w:b/>
        </w:rPr>
        <w:t xml:space="preserve">Seifert M</w:t>
      </w:r>
      <w:r>
        <w:t xml:space="preserve">,</w:t>
      </w:r>
      <w:r>
        <w:t xml:space="preserve"> </w:t>
      </w:r>
      <w:r>
        <w:rPr>
          <w:b/>
        </w:rPr>
        <w:t xml:space="preserve">Sopper S</w:t>
      </w:r>
      <w:r>
        <w:t xml:space="preserve"> </w:t>
      </w:r>
      <w:r>
        <w:rPr>
          <w:i/>
        </w:rPr>
        <w:t xml:space="preserve">et al.</w:t>
      </w:r>
      <w:r>
        <w:t xml:space="preserve"> </w:t>
      </w:r>
      <w:r>
        <w:t xml:space="preserve">Classical and intermediate monocytes scavenge non-transferrin-bound iron and damaged erythrocytes.</w:t>
      </w:r>
      <w:r>
        <w:t xml:space="preserve"> </w:t>
      </w:r>
      <w:r>
        <w:rPr>
          <w:i/>
        </w:rPr>
        <w:t xml:space="preserve">JCI Insight</w:t>
      </w:r>
      <w:r>
        <w:t xml:space="preserve">. 2019;</w:t>
      </w:r>
      <w:r>
        <w:t xml:space="preserve"> </w:t>
      </w:r>
      <w:r>
        <w:rPr>
          <w:b/>
        </w:rPr>
        <w:t xml:space="preserve">4</w:t>
      </w:r>
      <w:r>
        <w:t xml:space="preserve">. Available at:</w:t>
      </w:r>
      <w:r>
        <w:t xml:space="preserve"> </w:t>
      </w:r>
      <w:hyperlink r:id="rId176">
        <w:r>
          <w:rPr>
            <w:rStyle w:val="InternetLink"/>
          </w:rPr>
          <w:t xml:space="preserve">http://www.ncbi.nlm.nih.gov/pubmed/30996139 http://www.pubmedcentral.nih.gov/articlerender.fcgi?artid=PMC6538345 https://insight.jci.org/articles/view/98867</w:t>
        </w:r>
      </w:hyperlink>
      <w:r>
        <w:t xml:space="preserve">.DOI:</w:t>
      </w:r>
      <w:r>
        <w:t xml:space="preserve"> </w:t>
      </w:r>
      <w:hyperlink r:id="rId177">
        <w:r>
          <w:rPr>
            <w:rStyle w:val="InternetLink"/>
          </w:rPr>
          <w:t xml:space="preserve">10.1172/jci.insight.98867</w:t>
        </w:r>
      </w:hyperlink>
      <w:r>
        <w:t xml:space="preserve">.</w:t>
      </w:r>
    </w:p>
    <w:bookmarkEnd w:id="178"/>
    <w:bookmarkStart w:id="181" w:name="ref-Nemeth2004a"/>
    <w:p>
      <w:pPr>
        <w:pStyle w:val="Bibliography"/>
      </w:pPr>
      <w:r>
        <w:t xml:space="preserve">43.</w:t>
      </w:r>
      <w:r>
        <w:t xml:space="preserve"> </w:t>
      </w:r>
      <w:r>
        <w:rPr>
          <w:b/>
        </w:rPr>
        <w:t xml:space="preserve">Nemeth E</w:t>
      </w:r>
      <w:r>
        <w:t xml:space="preserve">,</w:t>
      </w:r>
      <w:r>
        <w:t xml:space="preserve"> </w:t>
      </w:r>
      <w:r>
        <w:rPr>
          <w:b/>
        </w:rPr>
        <w:t xml:space="preserve">Tuttle MS</w:t>
      </w:r>
      <w:r>
        <w:t xml:space="preserve">,</w:t>
      </w:r>
      <w:r>
        <w:t xml:space="preserve"> </w:t>
      </w:r>
      <w:r>
        <w:rPr>
          <w:b/>
        </w:rPr>
        <w:t xml:space="preserve">Powelson J</w:t>
      </w:r>
      <w:r>
        <w:t xml:space="preserve">,</w:t>
      </w:r>
      <w:r>
        <w:t xml:space="preserve"> </w:t>
      </w:r>
      <w:r>
        <w:rPr>
          <w:b/>
        </w:rPr>
        <w:t xml:space="preserve">Vaughn MB</w:t>
      </w:r>
      <w:r>
        <w:t xml:space="preserve">,</w:t>
      </w:r>
      <w:r>
        <w:t xml:space="preserve"> </w:t>
      </w:r>
      <w:r>
        <w:rPr>
          <w:b/>
        </w:rPr>
        <w:t xml:space="preserve">Donovan A</w:t>
      </w:r>
      <w:r>
        <w:t xml:space="preserve">,</w:t>
      </w:r>
      <w:r>
        <w:t xml:space="preserve"> </w:t>
      </w:r>
      <w:r>
        <w:rPr>
          <w:b/>
        </w:rPr>
        <w:t xml:space="preserve">Ward DM</w:t>
      </w:r>
      <w:r>
        <w:t xml:space="preserve">,</w:t>
      </w:r>
      <w:r>
        <w:t xml:space="preserve"> </w:t>
      </w:r>
      <w:r>
        <w:rPr>
          <w:b/>
        </w:rPr>
        <w:t xml:space="preserve">Ganz T</w:t>
      </w:r>
      <w:r>
        <w:t xml:space="preserve"> </w:t>
      </w:r>
      <w:r>
        <w:rPr>
          <w:i/>
        </w:rPr>
        <w:t xml:space="preserve">et al.</w:t>
      </w:r>
      <w:r>
        <w:t xml:space="preserve"> </w:t>
      </w:r>
      <w:r>
        <w:t xml:space="preserve">Hepcidin regulates cellular iron efflux by binding to ferroportin and inducing its internalization.</w:t>
      </w:r>
      <w:r>
        <w:t xml:space="preserve"> </w:t>
      </w:r>
      <w:r>
        <w:rPr>
          <w:i/>
        </w:rPr>
        <w:t xml:space="preserve">Science (New York, N.Y.)</w:t>
      </w:r>
      <w:r>
        <w:t xml:space="preserve">. 2004;</w:t>
      </w:r>
      <w:r>
        <w:t xml:space="preserve"> </w:t>
      </w:r>
      <w:r>
        <w:rPr>
          <w:b/>
        </w:rPr>
        <w:t xml:space="preserve">306</w:t>
      </w:r>
      <w:r>
        <w:t xml:space="preserve">:2090–3. Available at:</w:t>
      </w:r>
      <w:r>
        <w:t xml:space="preserve"> </w:t>
      </w:r>
      <w:hyperlink r:id="rId179">
        <w:r>
          <w:rPr>
            <w:rStyle w:val="InternetLink"/>
          </w:rPr>
          <w:t xml:space="preserve">http://www.ncbi.nlm.nih.gov/pubmed/15514116</w:t>
        </w:r>
      </w:hyperlink>
      <w:r>
        <w:t xml:space="preserve">.DOI:</w:t>
      </w:r>
      <w:r>
        <w:t xml:space="preserve"> </w:t>
      </w:r>
      <w:hyperlink r:id="rId180">
        <w:r>
          <w:rPr>
            <w:rStyle w:val="InternetLink"/>
          </w:rPr>
          <w:t xml:space="preserve">10.1126/science.1104742</w:t>
        </w:r>
      </w:hyperlink>
      <w:r>
        <w:t xml:space="preserve">.</w:t>
      </w:r>
    </w:p>
    <w:bookmarkEnd w:id="181"/>
    <w:bookmarkStart w:id="184" w:name="ref-Drakesmith2008"/>
    <w:p>
      <w:pPr>
        <w:pStyle w:val="Bibliography"/>
      </w:pPr>
      <w:r>
        <w:t xml:space="preserve">44.</w:t>
      </w:r>
      <w:r>
        <w:t xml:space="preserve"> </w:t>
      </w:r>
      <w:r>
        <w:rPr>
          <w:b/>
        </w:rPr>
        <w:t xml:space="preserve">Drakesmith H</w:t>
      </w:r>
      <w:r>
        <w:t xml:space="preserve">,</w:t>
      </w:r>
      <w:r>
        <w:t xml:space="preserve"> </w:t>
      </w:r>
      <w:r>
        <w:rPr>
          <w:b/>
        </w:rPr>
        <w:t xml:space="preserve">Prentice A</w:t>
      </w:r>
      <w:r>
        <w:t xml:space="preserve">. Viral infection and iron metabolism.</w:t>
      </w:r>
      <w:r>
        <w:t xml:space="preserve"> </w:t>
      </w:r>
      <w:r>
        <w:rPr>
          <w:i/>
        </w:rPr>
        <w:t xml:space="preserve">Nature reviews. Microbiology</w:t>
      </w:r>
      <w:r>
        <w:t xml:space="preserve">. 2008;</w:t>
      </w:r>
      <w:r>
        <w:t xml:space="preserve"> </w:t>
      </w:r>
      <w:r>
        <w:rPr>
          <w:b/>
        </w:rPr>
        <w:t xml:space="preserve">6</w:t>
      </w:r>
      <w:r>
        <w:t xml:space="preserve">:541–552. Available at:</w:t>
      </w:r>
      <w:r>
        <w:t xml:space="preserve"> </w:t>
      </w:r>
      <w:hyperlink r:id="rId182">
        <w:r>
          <w:rPr>
            <w:rStyle w:val="InternetLink"/>
          </w:rPr>
          <w:t xml:space="preserve">https://pubmed.ncbi.nlm.nih.gov/18552864/</w:t>
        </w:r>
      </w:hyperlink>
      <w:r>
        <w:t xml:space="preserve">.DOI:</w:t>
      </w:r>
      <w:r>
        <w:t xml:space="preserve"> </w:t>
      </w:r>
      <w:hyperlink r:id="rId183">
        <w:r>
          <w:rPr>
            <w:rStyle w:val="InternetLink"/>
          </w:rPr>
          <w:t xml:space="preserve">10.1038/NRMICRO1930</w:t>
        </w:r>
      </w:hyperlink>
      <w:r>
        <w:t xml:space="preserve">.</w:t>
      </w:r>
    </w:p>
    <w:bookmarkEnd w:id="184"/>
    <w:bookmarkStart w:id="187" w:name="ref-Bourgoin2021"/>
    <w:p>
      <w:pPr>
        <w:pStyle w:val="Bibliography"/>
      </w:pPr>
      <w:r>
        <w:t xml:space="preserve">45.</w:t>
      </w:r>
      <w:r>
        <w:t xml:space="preserve"> </w:t>
      </w:r>
      <w:r>
        <w:rPr>
          <w:b/>
        </w:rPr>
        <w:t xml:space="preserve">Bourgoin P</w:t>
      </w:r>
      <w:r>
        <w:t xml:space="preserve">,</w:t>
      </w:r>
      <w:r>
        <w:t xml:space="preserve"> </w:t>
      </w:r>
      <w:r>
        <w:rPr>
          <w:b/>
        </w:rPr>
        <w:t xml:space="preserve">Soliveres T</w:t>
      </w:r>
      <w:r>
        <w:t xml:space="preserve">,</w:t>
      </w:r>
      <w:r>
        <w:t xml:space="preserve"> </w:t>
      </w:r>
      <w:r>
        <w:rPr>
          <w:b/>
        </w:rPr>
        <w:t xml:space="preserve">Barbaresi A</w:t>
      </w:r>
      <w:r>
        <w:t xml:space="preserve">,</w:t>
      </w:r>
      <w:r>
        <w:t xml:space="preserve"> </w:t>
      </w:r>
      <w:r>
        <w:rPr>
          <w:b/>
        </w:rPr>
        <w:t xml:space="preserve">Loundou A</w:t>
      </w:r>
      <w:r>
        <w:t xml:space="preserve">,</w:t>
      </w:r>
      <w:r>
        <w:t xml:space="preserve"> </w:t>
      </w:r>
      <w:r>
        <w:rPr>
          <w:b/>
        </w:rPr>
        <w:t xml:space="preserve">Belkacem IA</w:t>
      </w:r>
      <w:r>
        <w:t xml:space="preserve">,</w:t>
      </w:r>
      <w:r>
        <w:t xml:space="preserve"> </w:t>
      </w:r>
      <w:r>
        <w:rPr>
          <w:b/>
        </w:rPr>
        <w:t xml:space="preserve">Arnoux I</w:t>
      </w:r>
      <w:r>
        <w:t xml:space="preserve">,</w:t>
      </w:r>
      <w:r>
        <w:t xml:space="preserve"> </w:t>
      </w:r>
      <w:r>
        <w:rPr>
          <w:b/>
        </w:rPr>
        <w:t xml:space="preserve">Bernot D</w:t>
      </w:r>
      <w:r>
        <w:t xml:space="preserve"> </w:t>
      </w:r>
      <w:r>
        <w:rPr>
          <w:i/>
        </w:rPr>
        <w:t xml:space="preserve">et al.</w:t>
      </w:r>
      <w:r>
        <w:t xml:space="preserve"> </w:t>
      </w:r>
      <w:r>
        <w:t xml:space="preserve">CD169 and CD64 could help differentiate bacterial from CoVID-19 or other viral infections in the Emergency Department.</w:t>
      </w:r>
      <w:r>
        <w:t xml:space="preserve"> </w:t>
      </w:r>
      <w:r>
        <w:rPr>
          <w:i/>
        </w:rPr>
        <w:t xml:space="preserve">Cytometry Part A</w:t>
      </w:r>
      <w:r>
        <w:t xml:space="preserve">. 2021;</w:t>
      </w:r>
      <w:r>
        <w:t xml:space="preserve"> </w:t>
      </w:r>
      <w:r>
        <w:rPr>
          <w:b/>
        </w:rPr>
        <w:t xml:space="preserve">99</w:t>
      </w:r>
      <w:r>
        <w:t xml:space="preserve">:435–445. Available at:</w:t>
      </w:r>
      <w:r>
        <w:t xml:space="preserve"> </w:t>
      </w:r>
      <w:hyperlink r:id="rId185">
        <w:r>
          <w:rPr>
            <w:rStyle w:val="InternetLink"/>
          </w:rPr>
          <w:t xml:space="preserve">https://onlinelibrary.wiley.com/doi/10.1002/cyto.a.24314</w:t>
        </w:r>
      </w:hyperlink>
      <w:r>
        <w:t xml:space="preserve">.DOI:</w:t>
      </w:r>
      <w:r>
        <w:t xml:space="preserve"> </w:t>
      </w:r>
      <w:hyperlink r:id="rId186">
        <w:r>
          <w:rPr>
            <w:rStyle w:val="InternetLink"/>
          </w:rPr>
          <w:t xml:space="preserve">10.1002/cyto.a.24314</w:t>
        </w:r>
      </w:hyperlink>
      <w:r>
        <w:t xml:space="preserve">.</w:t>
      </w:r>
    </w:p>
    <w:bookmarkEnd w:id="187"/>
    <w:bookmarkStart w:id="190" w:name="ref-Meghraoui-Kheddar2020"/>
    <w:p>
      <w:pPr>
        <w:pStyle w:val="Bibliography"/>
      </w:pPr>
      <w:r>
        <w:t xml:space="preserve">46.</w:t>
      </w:r>
      <w:r>
        <w:t xml:space="preserve"> </w:t>
      </w:r>
      <w:r>
        <w:rPr>
          <w:b/>
        </w:rPr>
        <w:t xml:space="preserve">Meghraoui-Kheddar A</w:t>
      </w:r>
      <w:r>
        <w:t xml:space="preserve">,</w:t>
      </w:r>
      <w:r>
        <w:t xml:space="preserve"> </w:t>
      </w:r>
      <w:r>
        <w:rPr>
          <w:b/>
        </w:rPr>
        <w:t xml:space="preserve">Chousterman BG</w:t>
      </w:r>
      <w:r>
        <w:t xml:space="preserve">,</w:t>
      </w:r>
      <w:r>
        <w:t xml:space="preserve"> </w:t>
      </w:r>
      <w:r>
        <w:rPr>
          <w:b/>
        </w:rPr>
        <w:t xml:space="preserve">Guillou N</w:t>
      </w:r>
      <w:r>
        <w:t xml:space="preserve">,</w:t>
      </w:r>
      <w:r>
        <w:t xml:space="preserve"> </w:t>
      </w:r>
      <w:r>
        <w:rPr>
          <w:b/>
        </w:rPr>
        <w:t xml:space="preserve">Barone SM</w:t>
      </w:r>
      <w:r>
        <w:t xml:space="preserve">,</w:t>
      </w:r>
      <w:r>
        <w:t xml:space="preserve"> </w:t>
      </w:r>
      <w:r>
        <w:rPr>
          <w:b/>
        </w:rPr>
        <w:t xml:space="preserve">Granjeaud S</w:t>
      </w:r>
      <w:r>
        <w:t xml:space="preserve">,</w:t>
      </w:r>
      <w:r>
        <w:t xml:space="preserve"> </w:t>
      </w:r>
      <w:r>
        <w:rPr>
          <w:b/>
        </w:rPr>
        <w:t xml:space="preserve">Vallet H</w:t>
      </w:r>
      <w:r>
        <w:t xml:space="preserve">,</w:t>
      </w:r>
      <w:r>
        <w:t xml:space="preserve"> </w:t>
      </w:r>
      <w:r>
        <w:rPr>
          <w:b/>
        </w:rPr>
        <w:t xml:space="preserve">Corneau A</w:t>
      </w:r>
      <w:r>
        <w:t xml:space="preserve"> </w:t>
      </w:r>
      <w:r>
        <w:rPr>
          <w:i/>
        </w:rPr>
        <w:t xml:space="preserve">et al.</w:t>
      </w:r>
      <w:r>
        <w:t xml:space="preserve"> </w:t>
      </w:r>
      <w:r>
        <w:t xml:space="preserve">Two new immature and dysfunctional neutrophil cell subsets define a predictive signature of sepsis useable in clinical practice.</w:t>
      </w:r>
      <w:r>
        <w:t xml:space="preserve"> </w:t>
      </w:r>
      <w:r>
        <w:rPr>
          <w:i/>
        </w:rPr>
        <w:t xml:space="preserve">bioRxiv</w:t>
      </w:r>
      <w:r>
        <w:t xml:space="preserve">. 2020:2020.05.29.123992. Available at:</w:t>
      </w:r>
      <w:r>
        <w:t xml:space="preserve"> </w:t>
      </w:r>
      <w:hyperlink r:id="rId188">
        <w:r>
          <w:rPr>
            <w:rStyle w:val="InternetLink"/>
          </w:rPr>
          <w:t xml:space="preserve">https://www.biorxiv.org/content/10.1101/2020.05.29.123992v1 https://www.biorxiv.org/content/10.1101/2020.05.29.123992v1.abstract</w:t>
        </w:r>
      </w:hyperlink>
      <w:r>
        <w:t xml:space="preserve">.DOI:</w:t>
      </w:r>
      <w:r>
        <w:t xml:space="preserve"> </w:t>
      </w:r>
      <w:hyperlink r:id="rId189">
        <w:r>
          <w:rPr>
            <w:rStyle w:val="InternetLink"/>
          </w:rPr>
          <w:t xml:space="preserve">10.1101/2020.05.29.123992</w:t>
        </w:r>
      </w:hyperlink>
      <w:r>
        <w:t xml:space="preserve">.</w:t>
      </w:r>
    </w:p>
    <w:bookmarkEnd w:id="190"/>
    <w:bookmarkStart w:id="193" w:name="ref-Sack2017"/>
    <w:p>
      <w:pPr>
        <w:pStyle w:val="Bibliography"/>
      </w:pPr>
      <w:r>
        <w:t xml:space="preserve">47.</w:t>
      </w:r>
      <w:r>
        <w:t xml:space="preserve"> </w:t>
      </w:r>
      <w:r>
        <w:rPr>
          <w:b/>
        </w:rPr>
        <w:t xml:space="preserve">Sack U</w:t>
      </w:r>
      <w:r>
        <w:t xml:space="preserve">. CD64 expression by neutrophil granulocytes.</w:t>
      </w:r>
      <w:r>
        <w:t xml:space="preserve"> </w:t>
      </w:r>
      <w:r>
        <w:rPr>
          <w:i/>
        </w:rPr>
        <w:t xml:space="preserve">Cytometry Part B: Clinical Cytometry</w:t>
      </w:r>
      <w:r>
        <w:t xml:space="preserve">. 2017;</w:t>
      </w:r>
      <w:r>
        <w:t xml:space="preserve"> </w:t>
      </w:r>
      <w:r>
        <w:rPr>
          <w:b/>
        </w:rPr>
        <w:t xml:space="preserve">92</w:t>
      </w:r>
      <w:r>
        <w:t xml:space="preserve">:189–191. Available at:</w:t>
      </w:r>
      <w:r>
        <w:t xml:space="preserve"> </w:t>
      </w:r>
      <w:hyperlink r:id="rId191">
        <w:r>
          <w:rPr>
            <w:rStyle w:val="InternetLink"/>
          </w:rPr>
          <w:t xml:space="preserve">https://onlinelibrary.wiley.com/doi/10.1002/cyto.b.21216</w:t>
        </w:r>
      </w:hyperlink>
      <w:r>
        <w:t xml:space="preserve">.DOI:</w:t>
      </w:r>
      <w:r>
        <w:t xml:space="preserve"> </w:t>
      </w:r>
      <w:hyperlink r:id="rId192">
        <w:r>
          <w:rPr>
            <w:rStyle w:val="InternetLink"/>
          </w:rPr>
          <w:t xml:space="preserve">10.1002/cyto.b.21216</w:t>
        </w:r>
      </w:hyperlink>
      <w:r>
        <w:t xml:space="preserve">.</w:t>
      </w:r>
    </w:p>
    <w:bookmarkEnd w:id="193"/>
    <w:bookmarkStart w:id="196" w:name="ref-Luo2018"/>
    <w:p>
      <w:pPr>
        <w:pStyle w:val="Bibliography"/>
      </w:pPr>
      <w:r>
        <w:t xml:space="preserve">48.</w:t>
      </w:r>
      <w:r>
        <w:t xml:space="preserve"> </w:t>
      </w:r>
      <w:r>
        <w:rPr>
          <w:b/>
        </w:rPr>
        <w:t xml:space="preserve">Luo Q</w:t>
      </w:r>
      <w:r>
        <w:t xml:space="preserve">,</w:t>
      </w:r>
      <w:r>
        <w:t xml:space="preserve"> </w:t>
      </w:r>
      <w:r>
        <w:rPr>
          <w:b/>
        </w:rPr>
        <w:t xml:space="preserve">Xiao P</w:t>
      </w:r>
      <w:r>
        <w:t xml:space="preserve">,</w:t>
      </w:r>
      <w:r>
        <w:t xml:space="preserve"> </w:t>
      </w:r>
      <w:r>
        <w:rPr>
          <w:b/>
        </w:rPr>
        <w:t xml:space="preserve">Li X</w:t>
      </w:r>
      <w:r>
        <w:t xml:space="preserve">,</w:t>
      </w:r>
      <w:r>
        <w:t xml:space="preserve"> </w:t>
      </w:r>
      <w:r>
        <w:rPr>
          <w:b/>
        </w:rPr>
        <w:t xml:space="preserve">Deng Z</w:t>
      </w:r>
      <w:r>
        <w:t xml:space="preserve">,</w:t>
      </w:r>
      <w:r>
        <w:t xml:space="preserve"> </w:t>
      </w:r>
      <w:r>
        <w:rPr>
          <w:b/>
        </w:rPr>
        <w:t xml:space="preserve">Qing C</w:t>
      </w:r>
      <w:r>
        <w:t xml:space="preserve">,</w:t>
      </w:r>
      <w:r>
        <w:t xml:space="preserve"> </w:t>
      </w:r>
      <w:r>
        <w:rPr>
          <w:b/>
        </w:rPr>
        <w:t xml:space="preserve">Su R</w:t>
      </w:r>
      <w:r>
        <w:t xml:space="preserve">,</w:t>
      </w:r>
      <w:r>
        <w:t xml:space="preserve"> </w:t>
      </w:r>
      <w:r>
        <w:rPr>
          <w:b/>
        </w:rPr>
        <w:t xml:space="preserve">Xu J</w:t>
      </w:r>
      <w:r>
        <w:t xml:space="preserve"> </w:t>
      </w:r>
      <w:r>
        <w:rPr>
          <w:i/>
        </w:rPr>
        <w:t xml:space="preserve">et al.</w:t>
      </w:r>
      <w:r>
        <w:t xml:space="preserve"> </w:t>
      </w:r>
      <w:r>
        <w:t xml:space="preserve">Overexpression of CD64 on CD14++CD16- and CD14++CD16+ monocytes of rheumatoid arthritis patients correlates with disease activity.</w:t>
      </w:r>
      <w:r>
        <w:t xml:space="preserve"> </w:t>
      </w:r>
      <w:r>
        <w:rPr>
          <w:i/>
        </w:rPr>
        <w:t xml:space="preserve">Experimental and Therapeutic Medicine</w:t>
      </w:r>
      <w:r>
        <w:t xml:space="preserve">. 2018;</w:t>
      </w:r>
      <w:r>
        <w:t xml:space="preserve"> </w:t>
      </w:r>
      <w:r>
        <w:rPr>
          <w:b/>
        </w:rPr>
        <w:t xml:space="preserve">16</w:t>
      </w:r>
      <w:r>
        <w:t xml:space="preserve">:2703–2711. Available at:</w:t>
      </w:r>
      <w:r>
        <w:t xml:space="preserve"> </w:t>
      </w:r>
      <w:hyperlink r:id="rId194">
        <w:r>
          <w:rPr>
            <w:rStyle w:val="InternetLink"/>
          </w:rPr>
          <w:t xml:space="preserve">/pmc/articles/PMC6122586/ /pmc/articles/PMC6122586/?report=abstract https://www.ncbi.nlm.nih.gov/pmc/articles/PMC6122586/</w:t>
        </w:r>
      </w:hyperlink>
      <w:r>
        <w:t xml:space="preserve">.DOI:</w:t>
      </w:r>
      <w:r>
        <w:t xml:space="preserve"> </w:t>
      </w:r>
      <w:hyperlink r:id="rId195">
        <w:r>
          <w:rPr>
            <w:rStyle w:val="InternetLink"/>
          </w:rPr>
          <w:t xml:space="preserve">10.3892/etm.2018.6452</w:t>
        </w:r>
      </w:hyperlink>
      <w:r>
        <w:t xml:space="preserve">.</w:t>
      </w:r>
    </w:p>
    <w:bookmarkEnd w:id="196"/>
    <w:bookmarkStart w:id="199" w:name="ref-Yang2016"/>
    <w:p>
      <w:pPr>
        <w:pStyle w:val="Bibliography"/>
      </w:pPr>
      <w:r>
        <w:t xml:space="preserve">49.</w:t>
      </w:r>
      <w:r>
        <w:t xml:space="preserve"> </w:t>
      </w:r>
      <w:r>
        <w:rPr>
          <w:b/>
        </w:rPr>
        <w:t xml:space="preserve">Yang J</w:t>
      </w:r>
      <w:r>
        <w:t xml:space="preserve">,</w:t>
      </w:r>
      <w:r>
        <w:t xml:space="preserve"> </w:t>
      </w:r>
      <w:r>
        <w:rPr>
          <w:b/>
        </w:rPr>
        <w:t xml:space="preserve">Fang P</w:t>
      </w:r>
      <w:r>
        <w:t xml:space="preserve">,</w:t>
      </w:r>
      <w:r>
        <w:t xml:space="preserve"> </w:t>
      </w:r>
      <w:r>
        <w:rPr>
          <w:b/>
        </w:rPr>
        <w:t xml:space="preserve">Yu D</w:t>
      </w:r>
      <w:r>
        <w:t xml:space="preserve">,</w:t>
      </w:r>
      <w:r>
        <w:t xml:space="preserve"> </w:t>
      </w:r>
      <w:r>
        <w:rPr>
          <w:b/>
        </w:rPr>
        <w:t xml:space="preserve">Zhang L</w:t>
      </w:r>
      <w:r>
        <w:t xml:space="preserve">,</w:t>
      </w:r>
      <w:r>
        <w:t xml:space="preserve"> </w:t>
      </w:r>
      <w:r>
        <w:rPr>
          <w:b/>
        </w:rPr>
        <w:t xml:space="preserve">Zhang D</w:t>
      </w:r>
      <w:r>
        <w:t xml:space="preserve">,</w:t>
      </w:r>
      <w:r>
        <w:t xml:space="preserve"> </w:t>
      </w:r>
      <w:r>
        <w:rPr>
          <w:b/>
        </w:rPr>
        <w:t xml:space="preserve">Jiang X</w:t>
      </w:r>
      <w:r>
        <w:t xml:space="preserve">,</w:t>
      </w:r>
      <w:r>
        <w:t xml:space="preserve"> </w:t>
      </w:r>
      <w:r>
        <w:rPr>
          <w:b/>
        </w:rPr>
        <w:t xml:space="preserve">Yang WY</w:t>
      </w:r>
      <w:r>
        <w:t xml:space="preserve"> </w:t>
      </w:r>
      <w:r>
        <w:rPr>
          <w:i/>
        </w:rPr>
        <w:t xml:space="preserve">et al.</w:t>
      </w:r>
      <w:r>
        <w:t xml:space="preserve"> </w:t>
      </w:r>
      <w:r>
        <w:t xml:space="preserve">Chronic Kidney Disease Induces Inflammatory CD40+ Monocyte Differentiation via Homocysteine Elevation and DNA Hypomethylation.</w:t>
      </w:r>
      <w:r>
        <w:t xml:space="preserve"> </w:t>
      </w:r>
      <w:r>
        <w:rPr>
          <w:i/>
        </w:rPr>
        <w:t xml:space="preserve">Circulation Research</w:t>
      </w:r>
      <w:r>
        <w:t xml:space="preserve">. 2016;</w:t>
      </w:r>
      <w:r>
        <w:t xml:space="preserve"> </w:t>
      </w:r>
      <w:r>
        <w:rPr>
          <w:b/>
        </w:rPr>
        <w:t xml:space="preserve">119</w:t>
      </w:r>
      <w:r>
        <w:t xml:space="preserve">:1226–1241. Available at:</w:t>
      </w:r>
      <w:r>
        <w:t xml:space="preserve"> </w:t>
      </w:r>
      <w:hyperlink r:id="rId197">
        <w:r>
          <w:rPr>
            <w:rStyle w:val="InternetLink"/>
          </w:rPr>
          <w:t xml:space="preserve">https://pubmed.ncbi.nlm.nih.gov/27992360/</w:t>
        </w:r>
      </w:hyperlink>
      <w:r>
        <w:t xml:space="preserve">.DOI:</w:t>
      </w:r>
      <w:r>
        <w:t xml:space="preserve"> </w:t>
      </w:r>
      <w:hyperlink r:id="rId198">
        <w:r>
          <w:rPr>
            <w:rStyle w:val="InternetLink"/>
          </w:rPr>
          <w:t xml:space="preserve">10.1161/CIRCRESAHA.116.308750</w:t>
        </w:r>
      </w:hyperlink>
      <w:r>
        <w:t xml:space="preserve">.</w:t>
      </w:r>
    </w:p>
    <w:bookmarkEnd w:id="199"/>
    <w:bookmarkStart w:id="202" w:name="ref-Hamers2019"/>
    <w:p>
      <w:pPr>
        <w:pStyle w:val="Bibliography"/>
      </w:pPr>
      <w:r>
        <w:t xml:space="preserve">50.</w:t>
      </w:r>
      <w:r>
        <w:t xml:space="preserve"> </w:t>
      </w:r>
      <w:r>
        <w:rPr>
          <w:b/>
        </w:rPr>
        <w:t xml:space="preserve">Hamers AAJ</w:t>
      </w:r>
      <w:r>
        <w:t xml:space="preserve">,</w:t>
      </w:r>
      <w:r>
        <w:t xml:space="preserve"> </w:t>
      </w:r>
      <w:r>
        <w:rPr>
          <w:b/>
        </w:rPr>
        <w:t xml:space="preserve">Dinh HQ</w:t>
      </w:r>
      <w:r>
        <w:t xml:space="preserve">,</w:t>
      </w:r>
      <w:r>
        <w:t xml:space="preserve"> </w:t>
      </w:r>
      <w:r>
        <w:rPr>
          <w:b/>
        </w:rPr>
        <w:t xml:space="preserve">Thomas GD</w:t>
      </w:r>
      <w:r>
        <w:t xml:space="preserve">,</w:t>
      </w:r>
      <w:r>
        <w:t xml:space="preserve"> </w:t>
      </w:r>
      <w:r>
        <w:rPr>
          <w:b/>
        </w:rPr>
        <w:t xml:space="preserve">Marcovecchio P</w:t>
      </w:r>
      <w:r>
        <w:t xml:space="preserve">,</w:t>
      </w:r>
      <w:r>
        <w:t xml:space="preserve"> </w:t>
      </w:r>
      <w:r>
        <w:rPr>
          <w:b/>
        </w:rPr>
        <w:t xml:space="preserve">Blatchley A</w:t>
      </w:r>
      <w:r>
        <w:t xml:space="preserve">,</w:t>
      </w:r>
      <w:r>
        <w:t xml:space="preserve"> </w:t>
      </w:r>
      <w:r>
        <w:rPr>
          <w:b/>
        </w:rPr>
        <w:t xml:space="preserve">Nakao CS</w:t>
      </w:r>
      <w:r>
        <w:t xml:space="preserve">,</w:t>
      </w:r>
      <w:r>
        <w:t xml:space="preserve"> </w:t>
      </w:r>
      <w:r>
        <w:rPr>
          <w:b/>
        </w:rPr>
        <w:t xml:space="preserve">Kim C</w:t>
      </w:r>
      <w:r>
        <w:t xml:space="preserve"> </w:t>
      </w:r>
      <w:r>
        <w:rPr>
          <w:i/>
        </w:rPr>
        <w:t xml:space="preserve">et al.</w:t>
      </w:r>
      <w:r>
        <w:t xml:space="preserve"> </w:t>
      </w:r>
      <w:r>
        <w:t xml:space="preserve">Human Monocyte Heterogeneity as Revealed by High-Dimensional Mass Cytometry.</w:t>
      </w:r>
      <w:r>
        <w:t xml:space="preserve"> </w:t>
      </w:r>
      <w:r>
        <w:rPr>
          <w:i/>
        </w:rPr>
        <w:t xml:space="preserve">Arteriosclerosis, Thrombosis, and Vascular Biology</w:t>
      </w:r>
      <w:r>
        <w:t xml:space="preserve">. 2019;</w:t>
      </w:r>
      <w:r>
        <w:t xml:space="preserve"> </w:t>
      </w:r>
      <w:r>
        <w:rPr>
          <w:b/>
        </w:rPr>
        <w:t xml:space="preserve">39</w:t>
      </w:r>
      <w:r>
        <w:t xml:space="preserve">:25–36. Available at:</w:t>
      </w:r>
      <w:r>
        <w:t xml:space="preserve"> </w:t>
      </w:r>
      <w:hyperlink r:id="rId200">
        <w:r>
          <w:rPr>
            <w:rStyle w:val="InternetLink"/>
          </w:rPr>
          <w:t xml:space="preserve">https://www.ahajournals.org/doi/suppl/10.1161/ATVBAHA.118.311022.</w:t>
        </w:r>
      </w:hyperlink>
      <w:r>
        <w:t xml:space="preserve">DOI:</w:t>
      </w:r>
      <w:r>
        <w:t xml:space="preserve"> </w:t>
      </w:r>
      <w:hyperlink r:id="rId201">
        <w:r>
          <w:rPr>
            <w:rStyle w:val="InternetLink"/>
          </w:rPr>
          <w:t xml:space="preserve">10.1161/ATVBAHA.118.311022</w:t>
        </w:r>
      </w:hyperlink>
      <w:r>
        <w:t xml:space="preserve">.</w:t>
      </w:r>
    </w:p>
    <w:bookmarkEnd w:id="202"/>
    <w:bookmarkStart w:id="205" w:name="ref-Ross2017"/>
    <w:p>
      <w:pPr>
        <w:pStyle w:val="Bibliography"/>
      </w:pPr>
      <w:r>
        <w:t xml:space="preserve">51.</w:t>
      </w:r>
      <w:r>
        <w:t xml:space="preserve"> </w:t>
      </w:r>
      <w:r>
        <w:rPr>
          <w:b/>
        </w:rPr>
        <w:t xml:space="preserve">Ross SL</w:t>
      </w:r>
      <w:r>
        <w:t xml:space="preserve">,</w:t>
      </w:r>
      <w:r>
        <w:t xml:space="preserve"> </w:t>
      </w:r>
      <w:r>
        <w:rPr>
          <w:b/>
        </w:rPr>
        <w:t xml:space="preserve">Biswas K</w:t>
      </w:r>
      <w:r>
        <w:t xml:space="preserve">,</w:t>
      </w:r>
      <w:r>
        <w:t xml:space="preserve"> </w:t>
      </w:r>
      <w:r>
        <w:rPr>
          <w:b/>
        </w:rPr>
        <w:t xml:space="preserve">Rottman J</w:t>
      </w:r>
      <w:r>
        <w:t xml:space="preserve">,</w:t>
      </w:r>
      <w:r>
        <w:t xml:space="preserve"> </w:t>
      </w:r>
      <w:r>
        <w:rPr>
          <w:b/>
        </w:rPr>
        <w:t xml:space="preserve">Allen JR</w:t>
      </w:r>
      <w:r>
        <w:t xml:space="preserve">,</w:t>
      </w:r>
      <w:r>
        <w:t xml:space="preserve"> </w:t>
      </w:r>
      <w:r>
        <w:rPr>
          <w:b/>
        </w:rPr>
        <w:t xml:space="preserve">Long J</w:t>
      </w:r>
      <w:r>
        <w:t xml:space="preserve">,</w:t>
      </w:r>
      <w:r>
        <w:t xml:space="preserve"> </w:t>
      </w:r>
      <w:r>
        <w:rPr>
          <w:b/>
        </w:rPr>
        <w:t xml:space="preserve">Miranda LP</w:t>
      </w:r>
      <w:r>
        <w:t xml:space="preserve">,</w:t>
      </w:r>
      <w:r>
        <w:t xml:space="preserve"> </w:t>
      </w:r>
      <w:r>
        <w:rPr>
          <w:b/>
        </w:rPr>
        <w:t xml:space="preserve">Winters A</w:t>
      </w:r>
      <w:r>
        <w:t xml:space="preserve"> </w:t>
      </w:r>
      <w:r>
        <w:rPr>
          <w:i/>
        </w:rPr>
        <w:t xml:space="preserve">et al.</w:t>
      </w:r>
      <w:r>
        <w:t xml:space="preserve"> </w:t>
      </w:r>
      <w:r>
        <w:t xml:space="preserve">Identification of Antibody and Small Molecule Antagonists of Ferroportin-Hepcidin Interaction.</w:t>
      </w:r>
      <w:r>
        <w:t xml:space="preserve"> </w:t>
      </w:r>
      <w:r>
        <w:rPr>
          <w:i/>
        </w:rPr>
        <w:t xml:space="preserve">Frontiers in pharmacology</w:t>
      </w:r>
      <w:r>
        <w:t xml:space="preserve">. 2017;</w:t>
      </w:r>
      <w:r>
        <w:t xml:space="preserve"> </w:t>
      </w:r>
      <w:r>
        <w:rPr>
          <w:b/>
        </w:rPr>
        <w:t xml:space="preserve">8</w:t>
      </w:r>
      <w:r>
        <w:t xml:space="preserve">:838. Available at:</w:t>
      </w:r>
      <w:r>
        <w:t xml:space="preserve"> </w:t>
      </w:r>
      <w:hyperlink r:id="rId203">
        <w:r>
          <w:rPr>
            <w:rStyle w:val="InternetLink"/>
          </w:rPr>
          <w:t xml:space="preserve">http://www.ncbi.nlm.nih.gov/pubmed/29209212 http://www.pubmedcentral.nih.gov/articlerender.fcgi?artid=PMC5702341</w:t>
        </w:r>
      </w:hyperlink>
      <w:r>
        <w:t xml:space="preserve">.DOI:</w:t>
      </w:r>
      <w:r>
        <w:t xml:space="preserve"> </w:t>
      </w:r>
      <w:hyperlink r:id="rId204">
        <w:r>
          <w:rPr>
            <w:rStyle w:val="InternetLink"/>
          </w:rPr>
          <w:t xml:space="preserve">10.3389/fphar.2017.00838</w:t>
        </w:r>
      </w:hyperlink>
      <w:r>
        <w:t xml:space="preserve">.</w:t>
      </w:r>
    </w:p>
    <w:bookmarkEnd w:id="205"/>
    <w:bookmarkStart w:id="207" w:name="ref-Wickham2019"/>
    <w:p>
      <w:pPr>
        <w:pStyle w:val="Bibliography"/>
      </w:pPr>
      <w:r>
        <w:t xml:space="preserve">52.</w:t>
      </w:r>
      <w:r>
        <w:t xml:space="preserve"> </w:t>
      </w:r>
      <w:r>
        <w:rPr>
          <w:b/>
        </w:rPr>
        <w:t xml:space="preserve">Wickham H</w:t>
      </w:r>
      <w:r>
        <w:t xml:space="preserve">,</w:t>
      </w:r>
      <w:r>
        <w:t xml:space="preserve"> </w:t>
      </w:r>
      <w:r>
        <w:rPr>
          <w:b/>
        </w:rPr>
        <w:t xml:space="preserve">Averick M</w:t>
      </w:r>
      <w:r>
        <w:t xml:space="preserve">,</w:t>
      </w:r>
      <w:r>
        <w:t xml:space="preserve"> </w:t>
      </w:r>
      <w:r>
        <w:rPr>
          <w:b/>
        </w:rPr>
        <w:t xml:space="preserve">Bryan J</w:t>
      </w:r>
      <w:r>
        <w:t xml:space="preserve">,</w:t>
      </w:r>
      <w:r>
        <w:t xml:space="preserve"> </w:t>
      </w:r>
      <w:r>
        <w:rPr>
          <w:b/>
        </w:rPr>
        <w:t xml:space="preserve">Chang W</w:t>
      </w:r>
      <w:r>
        <w:t xml:space="preserve">,</w:t>
      </w:r>
      <w:r>
        <w:t xml:space="preserve"> </w:t>
      </w:r>
      <w:r>
        <w:rPr>
          <w:b/>
        </w:rPr>
        <w:t xml:space="preserve">McGowan L</w:t>
      </w:r>
      <w:r>
        <w:t xml:space="preserve">,</w:t>
      </w:r>
      <w:r>
        <w:t xml:space="preserve"> </w:t>
      </w:r>
      <w:r>
        <w:rPr>
          <w:b/>
        </w:rPr>
        <w:t xml:space="preserve">François R</w:t>
      </w:r>
      <w:r>
        <w:t xml:space="preserve">,</w:t>
      </w:r>
      <w:r>
        <w:t xml:space="preserve"> </w:t>
      </w:r>
      <w:r>
        <w:rPr>
          <w:b/>
        </w:rPr>
        <w:t xml:space="preserve">Grolemund G</w:t>
      </w:r>
      <w:r>
        <w:t xml:space="preserve"> </w:t>
      </w:r>
      <w:r>
        <w:rPr>
          <w:i/>
        </w:rPr>
        <w:t xml:space="preserve">et al.</w:t>
      </w:r>
      <w:r>
        <w:t xml:space="preserve"> </w:t>
      </w:r>
      <w:r>
        <w:t xml:space="preserve">Welcome to the Tidyverse.</w:t>
      </w:r>
      <w:r>
        <w:t xml:space="preserve"> </w:t>
      </w:r>
      <w:r>
        <w:rPr>
          <w:i/>
        </w:rPr>
        <w:t xml:space="preserve">Journal of Open Source Software</w:t>
      </w:r>
      <w:r>
        <w:t xml:space="preserve">. 2019;</w:t>
      </w:r>
      <w:r>
        <w:t xml:space="preserve"> </w:t>
      </w:r>
      <w:r>
        <w:rPr>
          <w:b/>
        </w:rPr>
        <w:t xml:space="preserve">4</w:t>
      </w:r>
      <w:r>
        <w:t xml:space="preserve">:1686.DOI:</w:t>
      </w:r>
      <w:r>
        <w:t xml:space="preserve"> </w:t>
      </w:r>
      <w:hyperlink r:id="rId206">
        <w:r>
          <w:rPr>
            <w:rStyle w:val="InternetLink"/>
          </w:rPr>
          <w:t xml:space="preserve">10.21105/joss.01686</w:t>
        </w:r>
      </w:hyperlink>
      <w:r>
        <w:t xml:space="preserve">.</w:t>
      </w:r>
    </w:p>
    <w:bookmarkEnd w:id="207"/>
    <w:bookmarkStart w:id="208" w:name="ref-Wilke2019"/>
    <w:p>
      <w:pPr>
        <w:pStyle w:val="Bibliography"/>
      </w:pPr>
      <w:r>
        <w:t xml:space="preserve">53.</w:t>
      </w:r>
      <w:r>
        <w:t xml:space="preserve"> </w:t>
      </w:r>
      <w:r>
        <w:rPr>
          <w:b/>
        </w:rPr>
        <w:t xml:space="preserve">Wilke CO</w:t>
      </w:r>
      <w:r>
        <w:t xml:space="preserve">.</w:t>
      </w:r>
      <w:r>
        <w:t xml:space="preserve"> </w:t>
      </w:r>
      <w:r>
        <w:rPr>
          <w:i/>
        </w:rPr>
        <w:t xml:space="preserve">Fundamentals of Data Visualization: A Primer on Making Informative and Compelling Figures</w:t>
      </w:r>
      <w:r>
        <w:t xml:space="preserve">. 1st ed. Sebastopol: O’Reilly Media; 2019:389.</w:t>
      </w:r>
    </w:p>
    <w:bookmarkEnd w:id="208"/>
    <w:bookmarkStart w:id="210" w:name="ref-Benjamini1995"/>
    <w:p>
      <w:pPr>
        <w:pStyle w:val="Bibliography"/>
      </w:pPr>
      <w:r>
        <w:t xml:space="preserve">54.</w:t>
      </w:r>
      <w:r>
        <w:t xml:space="preserve"> </w:t>
      </w:r>
      <w:r>
        <w:rPr>
          <w:b/>
        </w:rPr>
        <w:t xml:space="preserve">Benjamini Y</w:t>
      </w:r>
      <w:r>
        <w:t xml:space="preserve">,</w:t>
      </w:r>
      <w:r>
        <w:t xml:space="preserve"> </w:t>
      </w:r>
      <w:r>
        <w:rPr>
          <w:b/>
        </w:rPr>
        <w:t xml:space="preserve">Hochberg Y</w:t>
      </w:r>
      <w:r>
        <w:t xml:space="preserve">. Controlling the False Discovery Rate: A Practical and Powerful Approach to Multiple Testing.</w:t>
      </w:r>
      <w:r>
        <w:t xml:space="preserve"> </w:t>
      </w:r>
      <w:r>
        <w:rPr>
          <w:i/>
        </w:rPr>
        <w:t xml:space="preserve">Journal of the Royal Statistical Society: Series B (Methodological)</w:t>
      </w:r>
      <w:r>
        <w:t xml:space="preserve">. 1995;</w:t>
      </w:r>
      <w:r>
        <w:t xml:space="preserve"> </w:t>
      </w:r>
      <w:r>
        <w:rPr>
          <w:b/>
        </w:rPr>
        <w:t xml:space="preserve">57</w:t>
      </w:r>
      <w:r>
        <w:t xml:space="preserve">:289–300.DOI:</w:t>
      </w:r>
      <w:r>
        <w:t xml:space="preserve"> </w:t>
      </w:r>
      <w:hyperlink r:id="rId209">
        <w:r>
          <w:rPr>
            <w:rStyle w:val="InternetLink"/>
          </w:rPr>
          <w:t xml:space="preserve">10.1111/j.2517-6161.1995.tb02031.x</w:t>
        </w:r>
      </w:hyperlink>
      <w:r>
        <w:t xml:space="preserve">.</w:t>
      </w:r>
    </w:p>
    <w:bookmarkEnd w:id="210"/>
    <w:bookmarkEnd w:id="211"/>
    <w:sectPr>
      <w:footnotePr>
        <w:numFmt w:val="decimal"/>
      </w:footnote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swiss"/>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1">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V,</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2">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3">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4">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5">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6">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V,</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7">
    <w:p>
      <w:pPr>
        <w:pStyle w:val="Footnote"/>
      </w:pPr>
      <w:r>
        <w:rPr>
          <w:rStyle w:val="FootnoteReference"/>
        </w:rPr>
        <w:footnoteRef/>
      </w:r>
      <w:r>
        <w:t xml:space="preserve"> </w:t>
      </w:r>
      <w:r>
        <w:t xml:space="preserve">Data</w:t>
      </w:r>
      <w:r>
        <w:t xml:space="preserve"> </w:t>
      </w:r>
      <w:r>
        <w:t xml:space="preserve">Analytics</w:t>
      </w:r>
      <w:r>
        <w:t xml:space="preserve"> </w:t>
      </w:r>
      <w:r>
        <w:t xml:space="preserve">As</w:t>
      </w:r>
      <w:r>
        <w:t xml:space="preserve"> </w:t>
      </w:r>
      <w:r>
        <w:t xml:space="preserve">a</w:t>
      </w:r>
      <w:r>
        <w:t xml:space="preserve"> </w:t>
      </w:r>
      <w:r>
        <w:t xml:space="preserve">Service</w:t>
      </w:r>
      <w:r>
        <w:t xml:space="preserve"> </w:t>
      </w:r>
      <w:r>
        <w:t xml:space="preserve">Tirol,</w:t>
      </w:r>
      <w:r>
        <w:t xml:space="preserve"> </w:t>
      </w:r>
      <w:r>
        <w:t xml:space="preserve">Innsbruck,</w:t>
      </w:r>
      <w:r>
        <w:t xml:space="preserve"> </w:t>
      </w:r>
      <w:r>
        <w:t xml:space="preserve">Austria</w:t>
      </w:r>
    </w:p>
  </w:footnote>
  <w:footnote w:id="28">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53" Target="media/rId53.pdf" /><Relationship Type="http://schemas.openxmlformats.org/officeDocument/2006/relationships/image" Id="rId54" Target="media/rId54.pdf" /><Relationship Type="http://schemas.openxmlformats.org/officeDocument/2006/relationships/image" Id="rId55" Target="media/rId55.pdf" /><Relationship Type="http://schemas.openxmlformats.org/officeDocument/2006/relationships/hyperlink" Id="rId194" Target="/pmc/articles/PMC6122586/%20/pmc/articles/PMC6122586/?report=abstract%20https://www.ncbi.nlm.nih.gov/pmc/articles/PMC6122586/" TargetMode="External" /><Relationship Type="http://schemas.openxmlformats.org/officeDocument/2006/relationships/hyperlink" Id="rId103" Target="/pmc/articles/PMC7405878/%20/pmc/articles/PMC7405878/?report=abstract%20https://www.ncbi.nlm.nih.gov/pmc/articles/PMC7405878/" TargetMode="External" /><Relationship Type="http://schemas.openxmlformats.org/officeDocument/2006/relationships/hyperlink" Id="rId168" Target="/pmc/articles/PMC7526336/%20/pmc/articles/PMC7526336/?report=abstract%20https://www.ncbi.nlm.nih.gov/pmc/articles/PMC7526336/" TargetMode="External" /><Relationship Type="http://schemas.openxmlformats.org/officeDocument/2006/relationships/hyperlink" Id="rId124" Target="/pmc/articles/PMC7935849/%20/pmc/articles/PMC7935849/?report=abstract%20https://www.ncbi.nlm.nih.gov/pmc/articles/PMC7935849/" TargetMode="External" /><Relationship Type="http://schemas.openxmlformats.org/officeDocument/2006/relationships/hyperlink" Id="rId106" Target="/pmc/articles/PMC7955698/%20/pmc/articles/PMC7955698/?report=abstract%20https://www.ncbi.nlm.nih.gov/pmc/articles/PMC7955698/" TargetMode="External" /><Relationship Type="http://schemas.openxmlformats.org/officeDocument/2006/relationships/hyperlink" Id="rId162" Target="/pmc/articles/PMC8014125/%20/pmc/articles/PMC8014125/?report=abstract%20https://www.ncbi.nlm.nih.gov/pmc/articles/PMC8014125/" TargetMode="External" /><Relationship Type="http://schemas.openxmlformats.org/officeDocument/2006/relationships/hyperlink" Id="rId133" Target="/pmc/articles/PMC8619077/%20/pmc/articles/PMC8619077/?report=abstract%20https://www.ncbi.nlm.nih.gov/pmc/articles/PMC8619077/" TargetMode="External" /><Relationship Type="http://schemas.openxmlformats.org/officeDocument/2006/relationships/hyperlink" Id="rId154" Target="http://link.springer.com/10.1007/978-3-642-97610-0" TargetMode="External" /><Relationship Type="http://schemas.openxmlformats.org/officeDocument/2006/relationships/hyperlink" Id="rId142" Target="http://www.jem.org/lookup/doi/10.1084/jem.20170355%20http://www.ncbi.nlm.nih.gov/pubmed/28606987%20http://www.pubmedcentral.nih.gov/articlerender.fcgi?artid=PMC5502436" TargetMode="External" /><Relationship Type="http://schemas.openxmlformats.org/officeDocument/2006/relationships/hyperlink" Id="rId179" Target="http://www.ncbi.nlm.nih.gov/pubmed/15514116" TargetMode="External" /><Relationship Type="http://schemas.openxmlformats.org/officeDocument/2006/relationships/hyperlink" Id="rId136" Target="http://www.ncbi.nlm.nih.gov/pubmed/22430559" TargetMode="External" /><Relationship Type="http://schemas.openxmlformats.org/officeDocument/2006/relationships/hyperlink" Id="rId159" Target="http://www.ncbi.nlm.nih.gov/pubmed/28143784" TargetMode="External" /><Relationship Type="http://schemas.openxmlformats.org/officeDocument/2006/relationships/hyperlink" Id="rId203" Target="http://www.ncbi.nlm.nih.gov/pubmed/29209212%20http://www.pubmedcentral.nih.gov/articlerender.fcgi?artid=PMC5702341" TargetMode="External" /><Relationship Type="http://schemas.openxmlformats.org/officeDocument/2006/relationships/hyperlink" Id="rId176" Target="http://www.ncbi.nlm.nih.gov/pubmed/30996139%20http://www.pubmedcentral.nih.gov/articlerender.fcgi?artid=PMC6538345%20https://insight.jci.org/articles/view/98867" TargetMode="External" /><Relationship Type="http://schemas.openxmlformats.org/officeDocument/2006/relationships/hyperlink" Id="rId72" Target="http://www.nejm.org/doi/10.1056/NEJMra2026131" TargetMode="External" /><Relationship Type="http://schemas.openxmlformats.org/officeDocument/2006/relationships/hyperlink" Id="rId130" Target="http://www.sciencedirect.com/science/article/pii/S104453231300002X" TargetMode="External" /><Relationship Type="http://schemas.openxmlformats.org/officeDocument/2006/relationships/hyperlink" Id="rId115" Target="https://academic.oup.com/cardiovascres/article/117/1/224/5952675" TargetMode="External" /><Relationship Type="http://schemas.openxmlformats.org/officeDocument/2006/relationships/hyperlink" Id="rId64" Target="https://academic.oup.com/cid/advance-article/doi/10.1093/cid/ciab978/6440836" TargetMode="External" /><Relationship Type="http://schemas.openxmlformats.org/officeDocument/2006/relationships/hyperlink" Id="rId174" Target="https://arxiv.org/abs/1802.03426v3%20http://arxiv.org/abs/1802.03426" TargetMode="External" /><Relationship Type="http://schemas.openxmlformats.org/officeDocument/2006/relationships/hyperlink" Id="rId84" Target="https://doi.org/10.1001/jama.2020.13719" TargetMode="External" /><Relationship Type="http://schemas.openxmlformats.org/officeDocument/2006/relationships/hyperlink" Id="rId146" Target="https://doi.org/10.1002/cyto.a.24188" TargetMode="External" /><Relationship Type="http://schemas.openxmlformats.org/officeDocument/2006/relationships/hyperlink" Id="rId186" Target="https://doi.org/10.1002/cyto.a.24314" TargetMode="External" /><Relationship Type="http://schemas.openxmlformats.org/officeDocument/2006/relationships/hyperlink" Id="rId149" Target="https://doi.org/10.1002/cyto.a.24317" TargetMode="External" /><Relationship Type="http://schemas.openxmlformats.org/officeDocument/2006/relationships/hyperlink" Id="rId192" Target="https://doi.org/10.1002/cyto.b.21216" TargetMode="External" /><Relationship Type="http://schemas.openxmlformats.org/officeDocument/2006/relationships/hyperlink" Id="rId155" Target="https://doi.org/10.1007/978-3-642-97610-0" TargetMode="External" /><Relationship Type="http://schemas.openxmlformats.org/officeDocument/2006/relationships/hyperlink" Id="rId107" Target="https://doi.org/10.1007/s00018-021-03808-8" TargetMode="External" /><Relationship Type="http://schemas.openxmlformats.org/officeDocument/2006/relationships/hyperlink" Id="rId172" Target="https://doi.org/10.1007/s00424-017-1944-8" TargetMode="External" /><Relationship Type="http://schemas.openxmlformats.org/officeDocument/2006/relationships/hyperlink" Id="rId137" Target="https://doi.org/10.1007/s12026-012-8297-3" TargetMode="External" /><Relationship Type="http://schemas.openxmlformats.org/officeDocument/2006/relationships/hyperlink" Id="rId68" Target="https://doi.org/10.1016/j.cell.2020.04.013" TargetMode="External" /><Relationship Type="http://schemas.openxmlformats.org/officeDocument/2006/relationships/hyperlink" Id="rId87" Target="https://doi.org/10.1016/j.cell.2020.08.001" TargetMode="External" /><Relationship Type="http://schemas.openxmlformats.org/officeDocument/2006/relationships/hyperlink" Id="rId104" Target="https://doi.org/10.1016/j.cell.2020.08.002" TargetMode="External" /><Relationship Type="http://schemas.openxmlformats.org/officeDocument/2006/relationships/hyperlink" Id="rId160" Target="https://doi.org/10.1016/j.cmi.2017.01.018" TargetMode="External" /><Relationship Type="http://schemas.openxmlformats.org/officeDocument/2006/relationships/hyperlink" Id="rId128" Target="https://doi.org/10.1016/j.semcdb.2020.12.005" TargetMode="External" /><Relationship Type="http://schemas.openxmlformats.org/officeDocument/2006/relationships/hyperlink" Id="rId131" Target="https://doi.org/10.1016/j.smim.2013.01.001" TargetMode="External" /><Relationship Type="http://schemas.openxmlformats.org/officeDocument/2006/relationships/hyperlink" Id="rId183" Target="https://doi.org/10.1038/NRMICRO1930" TargetMode="External" /><Relationship Type="http://schemas.openxmlformats.org/officeDocument/2006/relationships/hyperlink" Id="rId125" Target="https://doi.org/10.1038/s41467-021-21702-6" TargetMode="External" /><Relationship Type="http://schemas.openxmlformats.org/officeDocument/2006/relationships/hyperlink" Id="rId93" Target="https://doi.org/10.1038/s41577-020-0331-4" TargetMode="External" /><Relationship Type="http://schemas.openxmlformats.org/officeDocument/2006/relationships/hyperlink" Id="rId81" Target="https://doi.org/10.1038/s41586-020-2355-0" TargetMode="External" /><Relationship Type="http://schemas.openxmlformats.org/officeDocument/2006/relationships/hyperlink" Id="rId98" Target="https://doi.org/10.1038/s41586-020-2588-y" TargetMode="External" /><Relationship Type="http://schemas.openxmlformats.org/officeDocument/2006/relationships/hyperlink" Id="rId95" Target="https://doi.org/10.1038/s41591-020-1038-6" TargetMode="External" /><Relationship Type="http://schemas.openxmlformats.org/officeDocument/2006/relationships/hyperlink" Id="rId76" Target="https://doi.org/10.1056/NEJMoa2020283" TargetMode="External" /><Relationship Type="http://schemas.openxmlformats.org/officeDocument/2006/relationships/hyperlink" Id="rId73" Target="https://doi.org/10.1056/NEJMra2026131" TargetMode="External" /><Relationship Type="http://schemas.openxmlformats.org/officeDocument/2006/relationships/hyperlink" Id="rId143" Target="https://doi.org/10.1084/jem.20170355" TargetMode="External" /><Relationship Type="http://schemas.openxmlformats.org/officeDocument/2006/relationships/hyperlink" Id="rId65" Target="https://doi.org/10.1093/CID/CIAB978" TargetMode="External" /><Relationship Type="http://schemas.openxmlformats.org/officeDocument/2006/relationships/hyperlink" Id="rId116" Target="https://doi.org/10.1093/cvr/cvaa328" TargetMode="External" /><Relationship Type="http://schemas.openxmlformats.org/officeDocument/2006/relationships/hyperlink" Id="rId110" Target="https://doi.org/10.1093/infdis/jiaa591" TargetMode="External" /><Relationship Type="http://schemas.openxmlformats.org/officeDocument/2006/relationships/hyperlink" Id="rId90" Target="https://doi.org/10.1093/ofid/ofaa521" TargetMode="External" /><Relationship Type="http://schemas.openxmlformats.org/officeDocument/2006/relationships/hyperlink" Id="rId189" Target="https://doi.org/10.1101/2020.05.29.123992" TargetMode="External" /><Relationship Type="http://schemas.openxmlformats.org/officeDocument/2006/relationships/hyperlink" Id="rId157" Target="https://doi.org/10.1109/72.846731" TargetMode="External" /><Relationship Type="http://schemas.openxmlformats.org/officeDocument/2006/relationships/hyperlink" Id="rId163" Target="https://doi.org/10.1111/ijlh.13479" TargetMode="External" /><Relationship Type="http://schemas.openxmlformats.org/officeDocument/2006/relationships/hyperlink" Id="rId209" Target="https://doi.org/10.1111/j.2517-6161.1995.tb02031.x" TargetMode="External" /><Relationship Type="http://schemas.openxmlformats.org/officeDocument/2006/relationships/hyperlink" Id="rId101" Target="https://doi.org/10.1111/joim.13310" TargetMode="External" /><Relationship Type="http://schemas.openxmlformats.org/officeDocument/2006/relationships/hyperlink" Id="rId180" Target="https://doi.org/10.1126/science.1104742" TargetMode="External" /><Relationship Type="http://schemas.openxmlformats.org/officeDocument/2006/relationships/hyperlink" Id="rId79" Target="https://doi.org/10.1126/science.abd4570" TargetMode="External" /><Relationship Type="http://schemas.openxmlformats.org/officeDocument/2006/relationships/hyperlink" Id="rId201" Target="https://doi.org/10.1161/ATVBAHA.118.311022" TargetMode="External" /><Relationship Type="http://schemas.openxmlformats.org/officeDocument/2006/relationships/hyperlink" Id="rId198" Target="https://doi.org/10.1161/CIRCRESAHA.116.308750" TargetMode="External" /><Relationship Type="http://schemas.openxmlformats.org/officeDocument/2006/relationships/hyperlink" Id="rId177" Target="https://doi.org/10.1172/jci.insight.98867" TargetMode="External" /><Relationship Type="http://schemas.openxmlformats.org/officeDocument/2006/relationships/hyperlink" Id="rId70" Target="https://doi.org/10.1186/s13054-020-03267-w" TargetMode="External" /><Relationship Type="http://schemas.openxmlformats.org/officeDocument/2006/relationships/hyperlink" Id="rId166" Target="https://doi.org/10.1186/s40560-020-00495-8" TargetMode="External" /><Relationship Type="http://schemas.openxmlformats.org/officeDocument/2006/relationships/hyperlink" Id="rId169" Target="https://doi.org/10.12659/MSM.926178" TargetMode="External" /><Relationship Type="http://schemas.openxmlformats.org/officeDocument/2006/relationships/hyperlink" Id="rId122" Target="https://doi.org/10.1515/cclm-2020-1801" TargetMode="External" /><Relationship Type="http://schemas.openxmlformats.org/officeDocument/2006/relationships/hyperlink" Id="rId206" Target="https://doi.org/10.21105/joss.01686" TargetMode="External" /><Relationship Type="http://schemas.openxmlformats.org/officeDocument/2006/relationships/hyperlink" Id="rId62" Target="https://doi.org/10.3389/FMICB.2021.761887" TargetMode="External" /><Relationship Type="http://schemas.openxmlformats.org/officeDocument/2006/relationships/hyperlink" Id="rId140" Target="https://doi.org/10.3389/fimmu.2020.00594" TargetMode="External" /><Relationship Type="http://schemas.openxmlformats.org/officeDocument/2006/relationships/hyperlink" Id="rId152" Target="https://doi.org/10.3389/fimmu.2021.627548" TargetMode="External" /><Relationship Type="http://schemas.openxmlformats.org/officeDocument/2006/relationships/hyperlink" Id="rId119" Target="https://doi.org/10.3389/fimmu.2021.691725" TargetMode="External" /><Relationship Type="http://schemas.openxmlformats.org/officeDocument/2006/relationships/hyperlink" Id="rId204" Target="https://doi.org/10.3389/fphar.2017.00838" TargetMode="External" /><Relationship Type="http://schemas.openxmlformats.org/officeDocument/2006/relationships/hyperlink" Id="rId134" Target="https://doi.org/10.3390/NU13113732" TargetMode="External" /><Relationship Type="http://schemas.openxmlformats.org/officeDocument/2006/relationships/hyperlink" Id="rId113" Target="https://doi.org/10.3390/jcm9082429" TargetMode="External" /><Relationship Type="http://schemas.openxmlformats.org/officeDocument/2006/relationships/hyperlink" Id="rId195" Target="https://doi.org/10.3892/etm.2018.6452" TargetMode="External" /><Relationship Type="http://schemas.openxmlformats.org/officeDocument/2006/relationships/hyperlink" Id="rId43" Target="https://github.com/PiotrTymoszuk/ExDA" TargetMode="External" /><Relationship Type="http://schemas.openxmlformats.org/officeDocument/2006/relationships/hyperlink" Id="rId44" Target="https://github.com/PiotrTymoszuk/clustTools" TargetMode="External" /><Relationship Type="http://schemas.openxmlformats.org/officeDocument/2006/relationships/hyperlink" Id="rId46" Target="https://github.com/PiotrTymoszuk/covFacs" TargetMode="External" /><Relationship Type="http://schemas.openxmlformats.org/officeDocument/2006/relationships/hyperlink" Id="rId145" Target="https://onlinelibrary.wiley.com/doi/10.1002/cyto.a.24188" TargetMode="External" /><Relationship Type="http://schemas.openxmlformats.org/officeDocument/2006/relationships/hyperlink" Id="rId185" Target="https://onlinelibrary.wiley.com/doi/10.1002/cyto.a.24314" TargetMode="External" /><Relationship Type="http://schemas.openxmlformats.org/officeDocument/2006/relationships/hyperlink" Id="rId191" Target="https://onlinelibrary.wiley.com/doi/10.1002/cyto.b.21216" TargetMode="External" /><Relationship Type="http://schemas.openxmlformats.org/officeDocument/2006/relationships/hyperlink" Id="rId100" Target="https://onlinelibrary.wiley.com/doi/10.1111/joim.13310" TargetMode="External" /><Relationship Type="http://schemas.openxmlformats.org/officeDocument/2006/relationships/hyperlink" Id="rId182" Target="https://pubmed.ncbi.nlm.nih.gov/18552864/" TargetMode="External" /><Relationship Type="http://schemas.openxmlformats.org/officeDocument/2006/relationships/hyperlink" Id="rId197" Target="https://pubmed.ncbi.nlm.nih.gov/27992360/" TargetMode="External" /><Relationship Type="http://schemas.openxmlformats.org/officeDocument/2006/relationships/hyperlink" Id="rId171" Target="https://pubmed.ncbi.nlm.nih.gov/28251312/" TargetMode="External" /><Relationship Type="http://schemas.openxmlformats.org/officeDocument/2006/relationships/hyperlink" Id="rId139" Target="https://pubmed.ncbi.nlm.nih.gov/32411125/" TargetMode="External" /><Relationship Type="http://schemas.openxmlformats.org/officeDocument/2006/relationships/hyperlink" Id="rId67" Target="https://pubmed.ncbi.nlm.nih.gov/32413300/" TargetMode="External" /><Relationship Type="http://schemas.openxmlformats.org/officeDocument/2006/relationships/hyperlink" Id="rId75" Target="https://pubmed.ncbi.nlm.nih.gov/32558485%20https://www.ncbi.nlm.nih.gov/pmc/articles/PMC7315890/" TargetMode="External" /><Relationship Type="http://schemas.openxmlformats.org/officeDocument/2006/relationships/hyperlink" Id="rId83" Target="https://pubmed.ncbi.nlm.nih.gov/32706371/" TargetMode="External" /><Relationship Type="http://schemas.openxmlformats.org/officeDocument/2006/relationships/hyperlink" Id="rId97" Target="https://pubmed.ncbi.nlm.nih.gov/32717743/" TargetMode="External" /><Relationship Type="http://schemas.openxmlformats.org/officeDocument/2006/relationships/hyperlink" Id="rId112" Target="https://pubmed.ncbi.nlm.nih.gov/32751400/" TargetMode="External" /><Relationship Type="http://schemas.openxmlformats.org/officeDocument/2006/relationships/hyperlink" Id="rId86" Target="https://pubmed.ncbi.nlm.nih.gov/32810438/" TargetMode="External" /><Relationship Type="http://schemas.openxmlformats.org/officeDocument/2006/relationships/hyperlink" Id="rId109" Target="https://pubmed.ncbi.nlm.nih.gov/32941618/" TargetMode="External" /><Relationship Type="http://schemas.openxmlformats.org/officeDocument/2006/relationships/hyperlink" Id="rId78" Target="https://pubmed.ncbi.nlm.nih.gov/32972995/" TargetMode="External" /><Relationship Type="http://schemas.openxmlformats.org/officeDocument/2006/relationships/hyperlink" Id="rId165" Target="https://pubmed.ncbi.nlm.nih.gov/33014378/" TargetMode="External" /><Relationship Type="http://schemas.openxmlformats.org/officeDocument/2006/relationships/hyperlink" Id="rId127" Target="https://pubmed.ncbi.nlm.nih.gov/33386235/" TargetMode="External" /><Relationship Type="http://schemas.openxmlformats.org/officeDocument/2006/relationships/hyperlink" Id="rId89" Target="https://pubmed.ncbi.nlm.nih.gov/33442554/" TargetMode="External" /><Relationship Type="http://schemas.openxmlformats.org/officeDocument/2006/relationships/hyperlink" Id="rId148" Target="https://pubmed.ncbi.nlm.nih.gov/33496367/" TargetMode="External" /><Relationship Type="http://schemas.openxmlformats.org/officeDocument/2006/relationships/hyperlink" Id="rId121" Target="https://pubmed.ncbi.nlm.nih.gov/33606928/" TargetMode="External" /><Relationship Type="http://schemas.openxmlformats.org/officeDocument/2006/relationships/hyperlink" Id="rId61" Target="https://pubmed.ncbi.nlm.nih.gov/34858373/" TargetMode="External" /><Relationship Type="http://schemas.openxmlformats.org/officeDocument/2006/relationships/hyperlink" Id="rId200" Target="https://www.ahajournals.org/doi/suppl/10.1161/ATVBAHA.118.311022." TargetMode="External" /><Relationship Type="http://schemas.openxmlformats.org/officeDocument/2006/relationships/hyperlink" Id="rId188" Target="https://www.biorxiv.org/content/10.1101/2020.05.29.123992v1%20https://www.biorxiv.org/content/10.1101/2020.05.29.123992v1.abstract" TargetMode="External" /><Relationship Type="http://schemas.openxmlformats.org/officeDocument/2006/relationships/hyperlink" Id="rId151" Target="https://www.frontiersin.org/articles/10.3389/fimmu.2021.627548/full" TargetMode="External" /><Relationship Type="http://schemas.openxmlformats.org/officeDocument/2006/relationships/hyperlink" Id="rId118" Target="https://www.frontiersin.org/articles/10.3389/fimmu.2021.691725/full" TargetMode="External" /><Relationship Type="http://schemas.openxmlformats.org/officeDocument/2006/relationships/hyperlink" Id="rId59" Target="https://www.who.int/publications/m/item/weekly-operational-update-on-covid-19---22-february-2022" TargetMode="External" /><Relationship Type="http://schemas.openxmlformats.org/officeDocument/2006/relationships/hyperlink" Id="rId92" Target="www.nature.com/nri" TargetMode="External" /></Relationships>
</file>

<file path=word/_rels/footnotes.xml.rels><?xml version="1.0" encoding="UTF-8"?>
<Relationships xmlns="http://schemas.openxmlformats.org/package/2006/relationships"><Relationship Type="http://schemas.openxmlformats.org/officeDocument/2006/relationships/hyperlink" Id="rId194" Target="/pmc/articles/PMC6122586/%20/pmc/articles/PMC6122586/?report=abstract%20https://www.ncbi.nlm.nih.gov/pmc/articles/PMC6122586/" TargetMode="External" /><Relationship Type="http://schemas.openxmlformats.org/officeDocument/2006/relationships/hyperlink" Id="rId103" Target="/pmc/articles/PMC7405878/%20/pmc/articles/PMC7405878/?report=abstract%20https://www.ncbi.nlm.nih.gov/pmc/articles/PMC7405878/" TargetMode="External" /><Relationship Type="http://schemas.openxmlformats.org/officeDocument/2006/relationships/hyperlink" Id="rId168" Target="/pmc/articles/PMC7526336/%20/pmc/articles/PMC7526336/?report=abstract%20https://www.ncbi.nlm.nih.gov/pmc/articles/PMC7526336/" TargetMode="External" /><Relationship Type="http://schemas.openxmlformats.org/officeDocument/2006/relationships/hyperlink" Id="rId124" Target="/pmc/articles/PMC7935849/%20/pmc/articles/PMC7935849/?report=abstract%20https://www.ncbi.nlm.nih.gov/pmc/articles/PMC7935849/" TargetMode="External" /><Relationship Type="http://schemas.openxmlformats.org/officeDocument/2006/relationships/hyperlink" Id="rId106" Target="/pmc/articles/PMC7955698/%20/pmc/articles/PMC7955698/?report=abstract%20https://www.ncbi.nlm.nih.gov/pmc/articles/PMC7955698/" TargetMode="External" /><Relationship Type="http://schemas.openxmlformats.org/officeDocument/2006/relationships/hyperlink" Id="rId162" Target="/pmc/articles/PMC8014125/%20/pmc/articles/PMC8014125/?report=abstract%20https://www.ncbi.nlm.nih.gov/pmc/articles/PMC8014125/" TargetMode="External" /><Relationship Type="http://schemas.openxmlformats.org/officeDocument/2006/relationships/hyperlink" Id="rId133" Target="/pmc/articles/PMC8619077/%20/pmc/articles/PMC8619077/?report=abstract%20https://www.ncbi.nlm.nih.gov/pmc/articles/PMC8619077/" TargetMode="External" /><Relationship Type="http://schemas.openxmlformats.org/officeDocument/2006/relationships/hyperlink" Id="rId154" Target="http://link.springer.com/10.1007/978-3-642-97610-0" TargetMode="External" /><Relationship Type="http://schemas.openxmlformats.org/officeDocument/2006/relationships/hyperlink" Id="rId142" Target="http://www.jem.org/lookup/doi/10.1084/jem.20170355%20http://www.ncbi.nlm.nih.gov/pubmed/28606987%20http://www.pubmedcentral.nih.gov/articlerender.fcgi?artid=PMC5502436" TargetMode="External" /><Relationship Type="http://schemas.openxmlformats.org/officeDocument/2006/relationships/hyperlink" Id="rId179" Target="http://www.ncbi.nlm.nih.gov/pubmed/15514116" TargetMode="External" /><Relationship Type="http://schemas.openxmlformats.org/officeDocument/2006/relationships/hyperlink" Id="rId136" Target="http://www.ncbi.nlm.nih.gov/pubmed/22430559" TargetMode="External" /><Relationship Type="http://schemas.openxmlformats.org/officeDocument/2006/relationships/hyperlink" Id="rId159" Target="http://www.ncbi.nlm.nih.gov/pubmed/28143784" TargetMode="External" /><Relationship Type="http://schemas.openxmlformats.org/officeDocument/2006/relationships/hyperlink" Id="rId203" Target="http://www.ncbi.nlm.nih.gov/pubmed/29209212%20http://www.pubmedcentral.nih.gov/articlerender.fcgi?artid=PMC5702341" TargetMode="External" /><Relationship Type="http://schemas.openxmlformats.org/officeDocument/2006/relationships/hyperlink" Id="rId176" Target="http://www.ncbi.nlm.nih.gov/pubmed/30996139%20http://www.pubmedcentral.nih.gov/articlerender.fcgi?artid=PMC6538345%20https://insight.jci.org/articles/view/98867" TargetMode="External" /><Relationship Type="http://schemas.openxmlformats.org/officeDocument/2006/relationships/hyperlink" Id="rId72" Target="http://www.nejm.org/doi/10.1056/NEJMra2026131" TargetMode="External" /><Relationship Type="http://schemas.openxmlformats.org/officeDocument/2006/relationships/hyperlink" Id="rId130" Target="http://www.sciencedirect.com/science/article/pii/S104453231300002X" TargetMode="External" /><Relationship Type="http://schemas.openxmlformats.org/officeDocument/2006/relationships/hyperlink" Id="rId115" Target="https://academic.oup.com/cardiovascres/article/117/1/224/5952675" TargetMode="External" /><Relationship Type="http://schemas.openxmlformats.org/officeDocument/2006/relationships/hyperlink" Id="rId64" Target="https://academic.oup.com/cid/advance-article/doi/10.1093/cid/ciab978/6440836" TargetMode="External" /><Relationship Type="http://schemas.openxmlformats.org/officeDocument/2006/relationships/hyperlink" Id="rId174" Target="https://arxiv.org/abs/1802.03426v3%20http://arxiv.org/abs/1802.03426" TargetMode="External" /><Relationship Type="http://schemas.openxmlformats.org/officeDocument/2006/relationships/hyperlink" Id="rId84" Target="https://doi.org/10.1001/jama.2020.13719" TargetMode="External" /><Relationship Type="http://schemas.openxmlformats.org/officeDocument/2006/relationships/hyperlink" Id="rId146" Target="https://doi.org/10.1002/cyto.a.24188" TargetMode="External" /><Relationship Type="http://schemas.openxmlformats.org/officeDocument/2006/relationships/hyperlink" Id="rId186" Target="https://doi.org/10.1002/cyto.a.24314" TargetMode="External" /><Relationship Type="http://schemas.openxmlformats.org/officeDocument/2006/relationships/hyperlink" Id="rId149" Target="https://doi.org/10.1002/cyto.a.24317" TargetMode="External" /><Relationship Type="http://schemas.openxmlformats.org/officeDocument/2006/relationships/hyperlink" Id="rId192" Target="https://doi.org/10.1002/cyto.b.21216" TargetMode="External" /><Relationship Type="http://schemas.openxmlformats.org/officeDocument/2006/relationships/hyperlink" Id="rId155" Target="https://doi.org/10.1007/978-3-642-97610-0" TargetMode="External" /><Relationship Type="http://schemas.openxmlformats.org/officeDocument/2006/relationships/hyperlink" Id="rId107" Target="https://doi.org/10.1007/s00018-021-03808-8" TargetMode="External" /><Relationship Type="http://schemas.openxmlformats.org/officeDocument/2006/relationships/hyperlink" Id="rId172" Target="https://doi.org/10.1007/s00424-017-1944-8" TargetMode="External" /><Relationship Type="http://schemas.openxmlformats.org/officeDocument/2006/relationships/hyperlink" Id="rId137" Target="https://doi.org/10.1007/s12026-012-8297-3" TargetMode="External" /><Relationship Type="http://schemas.openxmlformats.org/officeDocument/2006/relationships/hyperlink" Id="rId68" Target="https://doi.org/10.1016/j.cell.2020.04.013" TargetMode="External" /><Relationship Type="http://schemas.openxmlformats.org/officeDocument/2006/relationships/hyperlink" Id="rId87" Target="https://doi.org/10.1016/j.cell.2020.08.001" TargetMode="External" /><Relationship Type="http://schemas.openxmlformats.org/officeDocument/2006/relationships/hyperlink" Id="rId104" Target="https://doi.org/10.1016/j.cell.2020.08.002" TargetMode="External" /><Relationship Type="http://schemas.openxmlformats.org/officeDocument/2006/relationships/hyperlink" Id="rId160" Target="https://doi.org/10.1016/j.cmi.2017.01.018" TargetMode="External" /><Relationship Type="http://schemas.openxmlformats.org/officeDocument/2006/relationships/hyperlink" Id="rId128" Target="https://doi.org/10.1016/j.semcdb.2020.12.005" TargetMode="External" /><Relationship Type="http://schemas.openxmlformats.org/officeDocument/2006/relationships/hyperlink" Id="rId131" Target="https://doi.org/10.1016/j.smim.2013.01.001" TargetMode="External" /><Relationship Type="http://schemas.openxmlformats.org/officeDocument/2006/relationships/hyperlink" Id="rId183" Target="https://doi.org/10.1038/NRMICRO1930" TargetMode="External" /><Relationship Type="http://schemas.openxmlformats.org/officeDocument/2006/relationships/hyperlink" Id="rId125" Target="https://doi.org/10.1038/s41467-021-21702-6" TargetMode="External" /><Relationship Type="http://schemas.openxmlformats.org/officeDocument/2006/relationships/hyperlink" Id="rId93" Target="https://doi.org/10.1038/s41577-020-0331-4" TargetMode="External" /><Relationship Type="http://schemas.openxmlformats.org/officeDocument/2006/relationships/hyperlink" Id="rId81" Target="https://doi.org/10.1038/s41586-020-2355-0" TargetMode="External" /><Relationship Type="http://schemas.openxmlformats.org/officeDocument/2006/relationships/hyperlink" Id="rId98" Target="https://doi.org/10.1038/s41586-020-2588-y" TargetMode="External" /><Relationship Type="http://schemas.openxmlformats.org/officeDocument/2006/relationships/hyperlink" Id="rId95" Target="https://doi.org/10.1038/s41591-020-1038-6" TargetMode="External" /><Relationship Type="http://schemas.openxmlformats.org/officeDocument/2006/relationships/hyperlink" Id="rId76" Target="https://doi.org/10.1056/NEJMoa2020283" TargetMode="External" /><Relationship Type="http://schemas.openxmlformats.org/officeDocument/2006/relationships/hyperlink" Id="rId73" Target="https://doi.org/10.1056/NEJMra2026131" TargetMode="External" /><Relationship Type="http://schemas.openxmlformats.org/officeDocument/2006/relationships/hyperlink" Id="rId143" Target="https://doi.org/10.1084/jem.20170355" TargetMode="External" /><Relationship Type="http://schemas.openxmlformats.org/officeDocument/2006/relationships/hyperlink" Id="rId65" Target="https://doi.org/10.1093/CID/CIAB978" TargetMode="External" /><Relationship Type="http://schemas.openxmlformats.org/officeDocument/2006/relationships/hyperlink" Id="rId116" Target="https://doi.org/10.1093/cvr/cvaa328" TargetMode="External" /><Relationship Type="http://schemas.openxmlformats.org/officeDocument/2006/relationships/hyperlink" Id="rId110" Target="https://doi.org/10.1093/infdis/jiaa591" TargetMode="External" /><Relationship Type="http://schemas.openxmlformats.org/officeDocument/2006/relationships/hyperlink" Id="rId90" Target="https://doi.org/10.1093/ofid/ofaa521" TargetMode="External" /><Relationship Type="http://schemas.openxmlformats.org/officeDocument/2006/relationships/hyperlink" Id="rId189" Target="https://doi.org/10.1101/2020.05.29.123992" TargetMode="External" /><Relationship Type="http://schemas.openxmlformats.org/officeDocument/2006/relationships/hyperlink" Id="rId157" Target="https://doi.org/10.1109/72.846731" TargetMode="External" /><Relationship Type="http://schemas.openxmlformats.org/officeDocument/2006/relationships/hyperlink" Id="rId163" Target="https://doi.org/10.1111/ijlh.13479" TargetMode="External" /><Relationship Type="http://schemas.openxmlformats.org/officeDocument/2006/relationships/hyperlink" Id="rId209" Target="https://doi.org/10.1111/j.2517-6161.1995.tb02031.x" TargetMode="External" /><Relationship Type="http://schemas.openxmlformats.org/officeDocument/2006/relationships/hyperlink" Id="rId101" Target="https://doi.org/10.1111/joim.13310" TargetMode="External" /><Relationship Type="http://schemas.openxmlformats.org/officeDocument/2006/relationships/hyperlink" Id="rId180" Target="https://doi.org/10.1126/science.1104742" TargetMode="External" /><Relationship Type="http://schemas.openxmlformats.org/officeDocument/2006/relationships/hyperlink" Id="rId79" Target="https://doi.org/10.1126/science.abd4570" TargetMode="External" /><Relationship Type="http://schemas.openxmlformats.org/officeDocument/2006/relationships/hyperlink" Id="rId201" Target="https://doi.org/10.1161/ATVBAHA.118.311022" TargetMode="External" /><Relationship Type="http://schemas.openxmlformats.org/officeDocument/2006/relationships/hyperlink" Id="rId198" Target="https://doi.org/10.1161/CIRCRESAHA.116.308750" TargetMode="External" /><Relationship Type="http://schemas.openxmlformats.org/officeDocument/2006/relationships/hyperlink" Id="rId177" Target="https://doi.org/10.1172/jci.insight.98867" TargetMode="External" /><Relationship Type="http://schemas.openxmlformats.org/officeDocument/2006/relationships/hyperlink" Id="rId70" Target="https://doi.org/10.1186/s13054-020-03267-w" TargetMode="External" /><Relationship Type="http://schemas.openxmlformats.org/officeDocument/2006/relationships/hyperlink" Id="rId166" Target="https://doi.org/10.1186/s40560-020-00495-8" TargetMode="External" /><Relationship Type="http://schemas.openxmlformats.org/officeDocument/2006/relationships/hyperlink" Id="rId169" Target="https://doi.org/10.12659/MSM.926178" TargetMode="External" /><Relationship Type="http://schemas.openxmlformats.org/officeDocument/2006/relationships/hyperlink" Id="rId122" Target="https://doi.org/10.1515/cclm-2020-1801" TargetMode="External" /><Relationship Type="http://schemas.openxmlformats.org/officeDocument/2006/relationships/hyperlink" Id="rId206" Target="https://doi.org/10.21105/joss.01686" TargetMode="External" /><Relationship Type="http://schemas.openxmlformats.org/officeDocument/2006/relationships/hyperlink" Id="rId62" Target="https://doi.org/10.3389/FMICB.2021.761887" TargetMode="External" /><Relationship Type="http://schemas.openxmlformats.org/officeDocument/2006/relationships/hyperlink" Id="rId140" Target="https://doi.org/10.3389/fimmu.2020.00594" TargetMode="External" /><Relationship Type="http://schemas.openxmlformats.org/officeDocument/2006/relationships/hyperlink" Id="rId152" Target="https://doi.org/10.3389/fimmu.2021.627548" TargetMode="External" /><Relationship Type="http://schemas.openxmlformats.org/officeDocument/2006/relationships/hyperlink" Id="rId119" Target="https://doi.org/10.3389/fimmu.2021.691725" TargetMode="External" /><Relationship Type="http://schemas.openxmlformats.org/officeDocument/2006/relationships/hyperlink" Id="rId204" Target="https://doi.org/10.3389/fphar.2017.00838" TargetMode="External" /><Relationship Type="http://schemas.openxmlformats.org/officeDocument/2006/relationships/hyperlink" Id="rId134" Target="https://doi.org/10.3390/NU13113732" TargetMode="External" /><Relationship Type="http://schemas.openxmlformats.org/officeDocument/2006/relationships/hyperlink" Id="rId113" Target="https://doi.org/10.3390/jcm9082429" TargetMode="External" /><Relationship Type="http://schemas.openxmlformats.org/officeDocument/2006/relationships/hyperlink" Id="rId195" Target="https://doi.org/10.3892/etm.2018.6452" TargetMode="External" /><Relationship Type="http://schemas.openxmlformats.org/officeDocument/2006/relationships/hyperlink" Id="rId43" Target="https://github.com/PiotrTymoszuk/ExDA" TargetMode="External" /><Relationship Type="http://schemas.openxmlformats.org/officeDocument/2006/relationships/hyperlink" Id="rId44" Target="https://github.com/PiotrTymoszuk/clustTools" TargetMode="External" /><Relationship Type="http://schemas.openxmlformats.org/officeDocument/2006/relationships/hyperlink" Id="rId46" Target="https://github.com/PiotrTymoszuk/covFacs" TargetMode="External" /><Relationship Type="http://schemas.openxmlformats.org/officeDocument/2006/relationships/hyperlink" Id="rId145" Target="https://onlinelibrary.wiley.com/doi/10.1002/cyto.a.24188" TargetMode="External" /><Relationship Type="http://schemas.openxmlformats.org/officeDocument/2006/relationships/hyperlink" Id="rId185" Target="https://onlinelibrary.wiley.com/doi/10.1002/cyto.a.24314" TargetMode="External" /><Relationship Type="http://schemas.openxmlformats.org/officeDocument/2006/relationships/hyperlink" Id="rId191" Target="https://onlinelibrary.wiley.com/doi/10.1002/cyto.b.21216" TargetMode="External" /><Relationship Type="http://schemas.openxmlformats.org/officeDocument/2006/relationships/hyperlink" Id="rId100" Target="https://onlinelibrary.wiley.com/doi/10.1111/joim.13310" TargetMode="External" /><Relationship Type="http://schemas.openxmlformats.org/officeDocument/2006/relationships/hyperlink" Id="rId182" Target="https://pubmed.ncbi.nlm.nih.gov/18552864/" TargetMode="External" /><Relationship Type="http://schemas.openxmlformats.org/officeDocument/2006/relationships/hyperlink" Id="rId197" Target="https://pubmed.ncbi.nlm.nih.gov/27992360/" TargetMode="External" /><Relationship Type="http://schemas.openxmlformats.org/officeDocument/2006/relationships/hyperlink" Id="rId171" Target="https://pubmed.ncbi.nlm.nih.gov/28251312/" TargetMode="External" /><Relationship Type="http://schemas.openxmlformats.org/officeDocument/2006/relationships/hyperlink" Id="rId139" Target="https://pubmed.ncbi.nlm.nih.gov/32411125/" TargetMode="External" /><Relationship Type="http://schemas.openxmlformats.org/officeDocument/2006/relationships/hyperlink" Id="rId67" Target="https://pubmed.ncbi.nlm.nih.gov/32413300/" TargetMode="External" /><Relationship Type="http://schemas.openxmlformats.org/officeDocument/2006/relationships/hyperlink" Id="rId75" Target="https://pubmed.ncbi.nlm.nih.gov/32558485%20https://www.ncbi.nlm.nih.gov/pmc/articles/PMC7315890/" TargetMode="External" /><Relationship Type="http://schemas.openxmlformats.org/officeDocument/2006/relationships/hyperlink" Id="rId83" Target="https://pubmed.ncbi.nlm.nih.gov/32706371/" TargetMode="External" /><Relationship Type="http://schemas.openxmlformats.org/officeDocument/2006/relationships/hyperlink" Id="rId97" Target="https://pubmed.ncbi.nlm.nih.gov/32717743/" TargetMode="External" /><Relationship Type="http://schemas.openxmlformats.org/officeDocument/2006/relationships/hyperlink" Id="rId112" Target="https://pubmed.ncbi.nlm.nih.gov/32751400/" TargetMode="External" /><Relationship Type="http://schemas.openxmlformats.org/officeDocument/2006/relationships/hyperlink" Id="rId86" Target="https://pubmed.ncbi.nlm.nih.gov/32810438/" TargetMode="External" /><Relationship Type="http://schemas.openxmlformats.org/officeDocument/2006/relationships/hyperlink" Id="rId109" Target="https://pubmed.ncbi.nlm.nih.gov/32941618/" TargetMode="External" /><Relationship Type="http://schemas.openxmlformats.org/officeDocument/2006/relationships/hyperlink" Id="rId78" Target="https://pubmed.ncbi.nlm.nih.gov/32972995/" TargetMode="External" /><Relationship Type="http://schemas.openxmlformats.org/officeDocument/2006/relationships/hyperlink" Id="rId165" Target="https://pubmed.ncbi.nlm.nih.gov/33014378/" TargetMode="External" /><Relationship Type="http://schemas.openxmlformats.org/officeDocument/2006/relationships/hyperlink" Id="rId127" Target="https://pubmed.ncbi.nlm.nih.gov/33386235/" TargetMode="External" /><Relationship Type="http://schemas.openxmlformats.org/officeDocument/2006/relationships/hyperlink" Id="rId89" Target="https://pubmed.ncbi.nlm.nih.gov/33442554/" TargetMode="External" /><Relationship Type="http://schemas.openxmlformats.org/officeDocument/2006/relationships/hyperlink" Id="rId148" Target="https://pubmed.ncbi.nlm.nih.gov/33496367/" TargetMode="External" /><Relationship Type="http://schemas.openxmlformats.org/officeDocument/2006/relationships/hyperlink" Id="rId121" Target="https://pubmed.ncbi.nlm.nih.gov/33606928/" TargetMode="External" /><Relationship Type="http://schemas.openxmlformats.org/officeDocument/2006/relationships/hyperlink" Id="rId61" Target="https://pubmed.ncbi.nlm.nih.gov/34858373/" TargetMode="External" /><Relationship Type="http://schemas.openxmlformats.org/officeDocument/2006/relationships/hyperlink" Id="rId200" Target="https://www.ahajournals.org/doi/suppl/10.1161/ATVBAHA.118.311022." TargetMode="External" /><Relationship Type="http://schemas.openxmlformats.org/officeDocument/2006/relationships/hyperlink" Id="rId188" Target="https://www.biorxiv.org/content/10.1101/2020.05.29.123992v1%20https://www.biorxiv.org/content/10.1101/2020.05.29.123992v1.abstract" TargetMode="External" /><Relationship Type="http://schemas.openxmlformats.org/officeDocument/2006/relationships/hyperlink" Id="rId151" Target="https://www.frontiersin.org/articles/10.3389/fimmu.2021.627548/full" TargetMode="External" /><Relationship Type="http://schemas.openxmlformats.org/officeDocument/2006/relationships/hyperlink" Id="rId118" Target="https://www.frontiersin.org/articles/10.3389/fimmu.2021.691725/full" TargetMode="External" /><Relationship Type="http://schemas.openxmlformats.org/officeDocument/2006/relationships/hyperlink" Id="rId59" Target="https://www.who.int/publications/m/item/weekly-operational-update-on-covid-19---22-february-2022" TargetMode="External" /><Relationship Type="http://schemas.openxmlformats.org/officeDocument/2006/relationships/hyperlink" Id="rId92" Target="www.nature.com/nr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3</Pages>
  <Words>357</Words>
  <Characters>2322</Characters>
  <CharactersWithSpaces>2664</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Alterations of blood monocyte subset distribution and surface phenotype are linked to infection severity in hospitalized COVID-19 patients</dc:title>
  <dc:creator>David Haschka; Verena Petzer; Francesco Burkert; Gernot Fritsche; Sophie Wildner; Rosa Bellmann-Weiler; Dominik Wolf; Piotr Tymoszuk; Guenter Weiss</dc:creator>
  <cp:keywords/>
  <dcterms:created xsi:type="dcterms:W3CDTF">2022-03-25T08:55:53Z</dcterms:created>
  <dcterms:modified xsi:type="dcterms:W3CDTF">2022-03-25T08:55:53Z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european-journal-of-immunology.csl</vt:lpwstr>
  </property>
  <property fmtid="{D5CDD505-2E9C-101B-9397-08002B2CF9AE}" pid="4" name="date">
    <vt:lpwstr>2022-03-25</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 file</vt:lpwstr>
  </property>
</Properties>
</file>