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8.png" ContentType="image/png"/>
  <Override PartName="/word/media/rId26.png" ContentType="image/png"/>
  <Override PartName="/word/media/rId22.png" ContentType="image/png"/>
  <Override PartName="/word/media/rId29.png" ContentType="image/png"/>
  <Override PartName="/word/media/rId27.png" ContentType="image/png"/>
  <Override PartName="/word/media/rId2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Distinct</w:t>
      </w:r>
      <w:r>
        <w:t xml:space="preserve"> </w:t>
      </w:r>
      <w:r>
        <w:t xml:space="preserve">smell</w:t>
      </w:r>
      <w:r>
        <w:t xml:space="preserve"> </w:t>
      </w:r>
      <w:r>
        <w:t xml:space="preserve">and</w:t>
      </w:r>
      <w:r>
        <w:t xml:space="preserve"> </w:t>
      </w:r>
      <w:r>
        <w:t xml:space="preserve">taste</w:t>
      </w:r>
      <w:r>
        <w:t xml:space="preserve"> </w:t>
      </w:r>
      <w:r>
        <w:t xml:space="preserve">disorder</w:t>
      </w:r>
      <w:r>
        <w:t xml:space="preserve"> </w:t>
      </w:r>
      <w:r>
        <w:t xml:space="preserve">phenotype</w:t>
      </w:r>
      <w:r>
        <w:t xml:space="preserve"> </w:t>
      </w:r>
      <w:r>
        <w:t xml:space="preserve">of</w:t>
      </w:r>
      <w:r>
        <w:t xml:space="preserve"> </w:t>
      </w:r>
      <w:r>
        <w:t xml:space="preserve">post-acute</w:t>
      </w:r>
      <w:r>
        <w:t xml:space="preserve"> </w:t>
      </w:r>
      <w:r>
        <w:t xml:space="preserve">COVID-19</w:t>
      </w:r>
      <w:r>
        <w:t xml:space="preserve"> </w:t>
      </w:r>
      <w:r>
        <w:t xml:space="preserve">sequelae</w:t>
      </w:r>
    </w:p>
    <w:p>
      <w:pPr>
        <w:pStyle w:val="Subtitle"/>
      </w:pPr>
      <w:r>
        <w:t xml:space="preserve">Tables</w:t>
      </w:r>
      <w:r>
        <w:t xml:space="preserve"> </w:t>
      </w:r>
      <w:r>
        <w:t xml:space="preserve">and</w:t>
      </w:r>
      <w:r>
        <w:t xml:space="preserve"> </w:t>
      </w:r>
      <w:r>
        <w:t xml:space="preserve">figures</w:t>
      </w:r>
    </w:p>
    <w:p>
      <w:pPr>
        <w:pStyle w:val="Author"/>
      </w:pPr>
      <w:r>
        <w:t xml:space="preserve">HACT</w:t>
      </w:r>
      <w:r>
        <w:t xml:space="preserve"> </w:t>
      </w:r>
      <w:r>
        <w:t xml:space="preserve">and</w:t>
      </w:r>
      <w:r>
        <w:t xml:space="preserve"> </w:t>
      </w:r>
      <w:r>
        <w:t xml:space="preserve">CovILD</w:t>
      </w:r>
      <w:r>
        <w:t xml:space="preserve"> </w:t>
      </w:r>
      <w:r>
        <w:t xml:space="preserve">study</w:t>
      </w:r>
      <w:r>
        <w:t xml:space="preserve"> </w:t>
      </w:r>
      <w:r>
        <w:t xml:space="preserve">teams</w:t>
      </w:r>
    </w:p>
    <w:p>
      <w:pPr>
        <w:pStyle w:val="Date"/>
      </w:pPr>
      <w:r>
        <w:t xml:space="preserve">2022-06-02</w:t>
      </w:r>
    </w:p>
    <w:p>
      <w:r>
        <w:br w:type="page"/>
      </w:r>
    </w:p>
    <w:p>
      <w:pPr>
        <w:pStyle w:val="Heading1"/>
      </w:pPr>
      <w:bookmarkStart w:id="20" w:name="tables"/>
      <w:r>
        <w:t xml:space="preserve">Tables</w:t>
      </w:r>
      <w:bookmarkEnd w:id="20"/>
    </w:p>
    <w:p>
      <w:pPr>
        <w:pStyle w:val="Compact"/>
      </w:pPr>
      <w:bookmarkStart w:id="240abe18-038a-46c4-8ae4-aa6bf876e5c4" w:name="tab-hact"/>
      <w:r>
        <w:rPr>
          <w:b/>
        </w:rPr>
        <w:t xml:space="preserve">Table 1:</w:t>
      </w:r>
      <w:r>
        <w:rPr>
          <w:b/>
        </w:rPr>
        <w:t xml:space="preserve"> </w:t>
      </w:r>
      <w:bookmarkEnd w:id="240abe18-038a-46c4-8ae4-aa6bf876e5c4"/>
      <w:r>
        <w:t xml:space="preserve">Baseline characteristic of the HACT study Austria (AT) and Italy (IT) cohorts.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98"/>
        <w:gridCol w:w="2268"/>
        <w:gridCol w:w="2268"/>
        <w:gridCol w:w="1474"/>
        <w:gridCol w:w="1247"/>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AT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IT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Sex</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67% (n = 320)</w:t>
              <w:br/>
              <w:t xml:space="preserve">male: 33% (n = 159)</w:t>
              <w:br/>
              <w:t xml:space="preserve">complete: n = 479</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70% (n = 300)</w:t>
              <w:br/>
              <w:t xml:space="preserve">male: 30% (n = 127)</w:t>
              <w:br/>
              <w:t xml:space="preserve">complete: n = 427</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0.46)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0.037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Age, years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43 [IQR: 32 - 53]</w:t>
              <w:br/>
              <w:t xml:space="preserve">range: 18 - 80</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45 [IQR: 34 - 54]</w:t>
              <w:br/>
              <w:t xml:space="preserve">range: 18 - 95</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0.048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BMI before COVID-19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54% (n = 257)</w:t>
              <w:br/>
              <w:t xml:space="preserve">overweight: 28% (n = 135)</w:t>
              <w:br/>
              <w:t xml:space="preserve">obesity: 18% (n = 84)</w:t>
              <w:br/>
              <w:t xml:space="preserve">complete: n = 476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66% (n = 278)</w:t>
              <w:br/>
              <w:t xml:space="preserve">overweight: 25% (n = 104)</w:t>
              <w:br/>
              <w:t xml:space="preserve">obesity: 8.8% (n = 37)</w:t>
              <w:br/>
              <w:t xml:space="preserve">complete: n = 419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Education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non-tertiary: 63% (n = 302)</w:t>
              <w:br/>
              <w:t xml:space="preserve">tertiary: 37% (n = 176)</w:t>
              <w:br/>
              <w:t xml:space="preserve">complete: n = 478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non-tertiary: 59% (n = 250)</w:t>
              <w:br/>
              <w:t xml:space="preserve">tertiary: 41% (n = 177)</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0.047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Employment status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employed: 83% (n = 398)</w:t>
              <w:br/>
              <w:t xml:space="preserve">unemployed: 8.4% (n = 40)</w:t>
              <w:br/>
              <w:t xml:space="preserve">leave: 1.7% (n = 8)</w:t>
              <w:br/>
              <w:t xml:space="preserve">retired: 6.9% (n = 33)</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employed: 81% (n = 348)</w:t>
              <w:br/>
              <w:t xml:space="preserve">unemployed: 9.4% (n = 40)</w:t>
              <w:br/>
              <w:t xml:space="preserve">leave: 1.9% (n = 8)</w:t>
              <w:br/>
              <w:t xml:space="preserve">retired: 7.3% (n = 31)</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0.022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Observation time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180 [IQR: 130 - 220]</w:t>
              <w:br/>
              <w:t xml:space="preserve">range: 90 - 400</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140 [IQR: 120 - 270]</w:t>
              <w:br/>
              <w:t xml:space="preserve">range: 90 - 390</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0.12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Comorbidity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49% (n = 237)</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43% (n = 185)</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0.062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Hypertension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51)</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8.4% (n = 36)</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0.46)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0.038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Cardiovascular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2.1% (n = 10)</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 (n = 13)</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Diabetes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7)</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0.23% (n = 1)</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0.065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Pulmonary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3.8% (n = 18)</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(n = 12)</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0.026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Gastrointestinal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1.7% (n = 8)</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0.7% (n = 3)</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0.46)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0.044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Malignancy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2.1% (n = 10)</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 (n = 17)</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0.056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Hay fever/allergy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18% (n = 88)</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12% (n = 51)</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0.045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0.089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Autoimmunity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6.7% (n = 32)</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6.3% (n = 27)</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0.0072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Freq. resp. infections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6.7% (n = 32)</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3.3% (n = 14)</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0.077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Freq. bact.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4.8% (n = 23)</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1.2% (n = 5)</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Pre-CoV depression/anxiety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5.4% (n = 26)</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5.2% (n = 22)</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0.0061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Pre-CoV sleep disorders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3.5% (n = 17)</w:t>
              <w:br/>
              <w:t xml:space="preserve">complete: n = 479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4.7% (n = 20)</w:t>
              <w:br/>
              <w:t xml:space="preserve">complete: n = 427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0.029</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Daily medication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absent: 62% (n = 295)</w:t>
              <w:br/>
              <w:t xml:space="preserve">1 - 4 drugs: 37% (n = 175)</w:t>
              <w:br/>
              <w:t xml:space="preserve">5 drugs and more: 1.9% (n = 9)</w:t>
              <w:br/>
              <w:t xml:space="preserve">complete: n = 479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absent: 74% (n = 317)</w:t>
              <w:br/>
              <w:t xml:space="preserve">1 - 4 drugs: 25% (n = 106)</w:t>
              <w:br/>
              <w:t xml:space="preserve">5 drugs and more: 0.94% (n = 4)</w:t>
              <w:br/>
              <w:t xml:space="preserve">complete: n = 427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0.0024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0.14</w:t>
            </w:r>
          </w:p>
        </w:tc>
      </w:tr>
      <w:tr>
        <w:trPr>
          <w:cantSplit/>
          <w:trHeight w:val="360" w:hRule="auto"/>
        </w:trPr>
        <w:tc>
          <w:tcPr>
            <w:gridSpan w:val="5"/>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Categorical variables: χ² test with Cramer V effect size statistic. Numeric variables: Mann-Whitney U test with wilcoxon r effect size statistic. P values corrected form multiple testing with Benjamini-Hochberg method.</w:t>
            </w:r>
          </w:p>
        </w:tc>
      </w:tr>
      <w:tr>
        <w:trPr>
          <w:cantSplit/>
          <w:trHeight w:val="360" w:hRule="auto"/>
        </w:trPr>
        <w:tc>
          <w:tcPr>
            <w:gridSpan w:val="5"/>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BMI: body mass index, overweight &gt; 25 kg/m², obesity &gt; 30 kg/m²,</w:t>
            </w:r>
          </w:p>
        </w:tc>
      </w:tr>
      <w:tr>
        <w:trPr>
          <w:cantSplit/>
          <w:trHeight w:val="360" w:hRule="auto"/>
        </w:trPr>
        <w:tc>
          <w:tcPr>
            <w:gridSpan w:val="5"/>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Frequent respiratory infections, &gt; 2 per year.</w:t>
            </w:r>
          </w:p>
        </w:tc>
      </w:tr>
      <w:tr>
        <w:trPr>
          <w:cantSplit/>
          <w:trHeight w:val="360" w:hRule="auto"/>
        </w:trPr>
        <w:tc>
          <w:tcPr>
            <w:gridSpan w:val="5"/>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Frequent bacterial infections with antibiotic therapy, &gt; 2 per year.</w:t>
            </w:r>
          </w:p>
        </w:tc>
      </w:tr>
    </w:tbl>
    <w:p>
      <w:r>
        <w:br w:type="page"/>
      </w:r>
    </w:p>
    <w:p>
      <w:pPr>
        <w:pStyle w:val="Compact"/>
      </w:pPr>
      <w:bookmarkStart w:id="1c94a1a3-4e8b-45a1-b98a-2864be41515f" w:name="tab-covild"/>
      <w:r>
        <w:rPr>
          <w:b/>
        </w:rPr>
        <w:t xml:space="preserve">Table 2:</w:t>
      </w:r>
      <w:r>
        <w:rPr>
          <w:b/>
        </w:rPr>
        <w:t xml:space="preserve"> </w:t>
      </w:r>
      <w:bookmarkEnd w:id="1c94a1a3-4e8b-45a1-b98a-2864be41515f"/>
      <w:r>
        <w:t xml:space="preserve">Baseline characteristic of the CovILD study cohort and the study participants stratified by COVID-19 severity.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531"/>
        <w:gridCol w:w="1531"/>
        <w:gridCol w:w="1531"/>
        <w:gridCol w:w="1531"/>
        <w:gridCol w:w="1474"/>
        <w:gridCol w:w="1247"/>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Entire cohort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Ambulatory CoV subset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Moderate CoV subset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Severe CoV subset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Sex</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41% (n = 44)</w:t>
              <w:br/>
              <w:t xml:space="preserve">male: 59% (n = 64)</w:t>
              <w:br/>
              <w:t xml:space="preserve">complete: n = 108</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67% (n = 18)</w:t>
              <w:br/>
              <w:t xml:space="preserve">male: 33% (n = 9)</w:t>
              <w:br/>
              <w:t xml:space="preserve">complete: n = 27</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35% (n = 19)</w:t>
              <w:br/>
              <w:t xml:space="preserve">male: 65% (n = 36)</w:t>
              <w:br/>
              <w:t xml:space="preserve">complete: n = 55</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27% (n = 7)</w:t>
              <w:br/>
              <w:t xml:space="preserve">male: 73% (n = 19)</w:t>
              <w:br/>
              <w:t xml:space="preserve">complete: n = 26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Age, years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56 [IQR: 49 - 68]</w:t>
              <w:br/>
              <w:t xml:space="preserve">range: 19 - 87</w:t>
              <w:br/>
              <w:t xml:space="preserve">complete: n = 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47 [IQR: 38 - 55]</w:t>
              <w:br/>
              <w:t xml:space="preserve">range: 19 - 70</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62 [IQR: 53 - 72]</w:t>
              <w:br/>
              <w:t xml:space="preserve">range: 27 - 87</w:t>
              <w:br/>
              <w:t xml:space="preserve">complete: n = 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56 [IQR: 52 - 64]</w:t>
              <w:br/>
              <w:t xml:space="preserve">range: 44 - 79</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0.21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BMI at CoV onset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39% (n = 42)</w:t>
              <w:br/>
              <w:t xml:space="preserve">overweight: 43% (n = 46)</w:t>
              <w:br/>
              <w:t xml:space="preserve">obesity: 19% (n = 20)</w:t>
              <w:br/>
              <w:t xml:space="preserve">complete: n = 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56% (n = 15)</w:t>
              <w:br/>
              <w:t xml:space="preserve">overweight: 33% (n = 9)</w:t>
              <w:br/>
              <w:t xml:space="preserve">obesity: 11% (n = 3)</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29% (n = 16)</w:t>
              <w:br/>
              <w:t xml:space="preserve">overweight: 51% (n = 28)</w:t>
              <w:br/>
              <w:t xml:space="preserve">obesity: 20% (n = 11)</w:t>
              <w:br/>
              <w:t xml:space="preserve">complete: n = 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42% (n = 11)</w:t>
              <w:br/>
              <w:t xml:space="preserve">overweight: 35% (n = 9)</w:t>
              <w:br/>
              <w:t xml:space="preserve">obesity: 23% (n = 6)</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Comorbidity present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75% (n = 81)</w:t>
              <w:br/>
              <w:t xml:space="preserve">complete: n = 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41% (n = 11)</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(n = 47)</w:t>
              <w:br/>
              <w:t xml:space="preserve">complete: n = 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 (n = 23)</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0.46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Metabolic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42% (n = 45)</w:t>
              <w:br/>
              <w:t xml:space="preserve">complete: n = 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5)</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49% (n = 27)</w:t>
              <w:br/>
              <w:t xml:space="preserve">complete: n = 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50% (n = 13)</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Hypertension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27% (n = 29)</w:t>
              <w:br/>
              <w:t xml:space="preserve">complete: n = 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7.4% (n = 2)</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27% (n = 15)</w:t>
              <w:br/>
              <w:t xml:space="preserve">complete: n = 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46% (n = 12)</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Cardiovascular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40% (n = 43)</w:t>
              <w:br/>
              <w:t xml:space="preserve">complete: n = 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7.4% (n = 2)</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47% (n = 26)</w:t>
              <w:br/>
              <w:t xml:space="preserve">complete: n = 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58% (n = 15)</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Diabetes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16)</w:t>
              <w:br/>
              <w:t xml:space="preserve">complete: n = 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(n = 1)</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8)</w:t>
              <w:br/>
              <w:t xml:space="preserve">complete: n = 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27% (n = 7)</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Pulmonary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20)</w:t>
              <w:br/>
              <w:t xml:space="preserve">complete: n = 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3)</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(n = 12)</w:t>
              <w:br/>
              <w:t xml:space="preserve">complete: n = 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5)</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Gastrointestinal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13% (n = 14)</w:t>
              <w:br/>
              <w:t xml:space="preserve">complete: n = 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20% (n = 11)</w:t>
              <w:br/>
              <w:t xml:space="preserve">complete: n = 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12% (n = 3)</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Malignancy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9.3% (n = 10)</w:t>
              <w:br/>
              <w:t xml:space="preserve">complete: n = 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(n = 1)</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8)</w:t>
              <w:br/>
              <w:t xml:space="preserve">complete: n = 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3.8% (n = 1)</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0.19</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Immune deficiency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6)</w:t>
              <w:br/>
              <w:t xml:space="preserve">complete: n = 108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br/>
              <w:t xml:space="preserve">complete: n = 27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(n = 2)</w:t>
              <w:br/>
              <w:t xml:space="preserve">complete: n = 55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4)</w:t>
              <w:br/>
              <w:t xml:space="preserve">complete: n = 26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0.25</w:t>
            </w:r>
          </w:p>
        </w:tc>
      </w:tr>
      <w:tr>
        <w:trPr>
          <w:cantSplit/>
          <w:trHeight w:val="360" w:hRule="auto"/>
        </w:trPr>
        <w:tc>
          <w:tcPr>
            <w:gridSpan w:val="7"/>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Comparison of ambulatory, moderate and severe COVID-19 individuals. Categorical variables: χ² test with Cramer V effect size statistic. Numeric variables: Kruskal-Wallis test with η² effect size statistic. P values corrected form multiple testing with Benjamini-Hochberg method.</w:t>
            </w:r>
          </w:p>
        </w:tc>
      </w:tr>
      <w:tr>
        <w:trPr>
          <w:cantSplit/>
          <w:trHeight w:val="360" w:hRule="auto"/>
        </w:trPr>
        <w:tc>
          <w:tcPr>
            <w:gridSpan w:val="7"/>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BMI: body mass index, overweight &gt; 25 kg/m², obesity &gt; 30 kg/m²,</w:t>
            </w:r>
          </w:p>
        </w:tc>
      </w:tr>
    </w:tbl>
    <w:p>
      <w:r>
        <w:br w:type="page"/>
      </w:r>
    </w:p>
    <w:p>
      <w:pPr>
        <w:pStyle w:val="Heading1"/>
      </w:pPr>
      <w:bookmarkStart w:id="21" w:name="sec:figures"/>
      <w:r>
        <w:t xml:space="preserve">Figures</w:t>
      </w:r>
      <w:bookmarkEnd w:id="21"/>
    </w:p>
    <w:p>
      <w:pPr>
        <w:pStyle w:val="CaptionedFigure"/>
      </w:pPr>
      <w:r>
        <w:drawing>
          <wp:inline>
            <wp:extent cx="5943600" cy="3632433"/>
            <wp:effectExtent b="0" l="0" r="0" t="0"/>
            <wp:docPr descr="Figure 1: Flow diagram of the analysis inclusion process for the CovILD and HACT studies." title="" id="1" name="Picture"/>
            <a:graphic>
              <a:graphicData uri="http://schemas.openxmlformats.org/drawingml/2006/picture">
                <pic:pic>
                  <pic:nvPicPr>
                    <pic:cNvPr descr="C:\Users\piotr\Desktop\hyposmia%20revised\paper\figures_and_tables_files/figure-docx/fig-consort-1.png" id="0" name="Picture"/>
                    <pic:cNvPicPr>
                      <a:picLocks noChangeArrowheads="1" noChangeAspect="1"/>
                    </pic:cNvPicPr>
                  </pic:nvPicPr>
                  <pic:blipFill>
                    <a:blip r:embed="rId22"/>
                    <a:stretch>
                      <a:fillRect/>
                    </a:stretch>
                  </pic:blipFill>
                  <pic:spPr bwMode="auto">
                    <a:xfrm>
                      <a:off x="0" y="0"/>
                      <a:ext cx="5943600" cy="3632433"/>
                    </a:xfrm>
                    <a:prstGeom prst="rect">
                      <a:avLst/>
                    </a:prstGeom>
                    <a:noFill/>
                    <a:ln w="9525">
                      <a:noFill/>
                      <a:headEnd/>
                      <a:tailEnd/>
                    </a:ln>
                  </pic:spPr>
                </pic:pic>
              </a:graphicData>
            </a:graphic>
          </wp:inline>
        </w:drawing>
      </w:r>
    </w:p>
    <w:p>
      <w:pPr>
        <w:pStyle w:val="ImageCaption"/>
      </w:pPr>
      <w:r>
        <w:t xml:space="preserve">Figure 1: Flow diagram of the analysis inclusion process for the CovILD and HACT studies.</w:t>
      </w:r>
    </w:p>
    <w:p>
      <w:pPr>
        <w:pStyle w:val="TextBody"/>
      </w:pPr>
      <w:r>
        <w:rPr>
          <w:b/>
        </w:rPr>
        <w:t xml:space="preserve">Figure</w:t>
      </w:r>
      <w:r>
        <w:rPr>
          <w:b/>
        </w:rPr>
        <w:t xml:space="preserve"> </w:t>
      </w:r>
      <w:r>
        <w:rPr>
          <w:b/>
        </w:rPr>
        <w:t xml:space="preserve">1</w:t>
      </w:r>
      <w:r>
        <w:rPr>
          <w:b/>
        </w:rPr>
        <w:t xml:space="preserve">. Flow diagram of the analysis inclusion process for the CovILD and HACT studies..</w:t>
      </w:r>
    </w:p>
    <w:p>
      <w:r>
        <w:br w:type="page"/>
      </w:r>
    </w:p>
    <w:p>
      <w:pPr>
        <w:pStyle w:val="CaptionedFigure"/>
      </w:pPr>
      <w:r>
        <w:drawing>
          <wp:inline>
            <wp:extent cx="5943600" cy="7264866"/>
            <wp:effectExtent b="0" l="0" r="0" t="0"/>
            <wp:docPr descr="Figure 2: Symptom-specific recovery times in ambulatory COVID-19." title="" id="1" name="Picture"/>
            <a:graphic>
              <a:graphicData uri="http://schemas.openxmlformats.org/drawingml/2006/picture">
                <pic:pic>
                  <pic:nvPicPr>
                    <pic:cNvPr descr="C:\Users\piotr\Desktop\hyposmia%20revised\paper\figures_and_tables_files/figure-docx/fig-sympt-recovery-1.png" id="0" name="Picture"/>
                    <pic:cNvPicPr>
                      <a:picLocks noChangeArrowheads="1" noChangeAspect="1"/>
                    </pic:cNvPicPr>
                  </pic:nvPicPr>
                  <pic:blipFill>
                    <a:blip r:embed="rId23"/>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2: Symptom-specific recovery times in ambulatory COVID-19.</w:t>
      </w:r>
    </w:p>
    <w:p>
      <w:pPr>
        <w:pStyle w:val="TextBody"/>
      </w:pPr>
      <w:r>
        <w:rPr>
          <w:b/>
        </w:rPr>
        <w:t xml:space="preserve">Figure</w:t>
      </w:r>
      <w:r>
        <w:rPr>
          <w:b/>
        </w:rPr>
        <w:t xml:space="preserve"> </w:t>
      </w:r>
      <w:r>
        <w:rPr>
          <w:b/>
        </w:rPr>
        <w:t xml:space="preserve">2</w:t>
      </w:r>
      <w:r>
        <w:rPr>
          <w:b/>
        </w:rPr>
        <w:t xml:space="preserve">. Symptom-specific recovery times in ambulatory COVID-19.</w:t>
      </w:r>
    </w:p>
    <w:p>
      <w:pPr>
        <w:pStyle w:val="TextBody"/>
      </w:pPr>
      <w:r>
        <w:t xml:space="preserve">Symptom-specific recovery times were calculated for each participants of the HACT study cohorts (Austria: AT, Italy: IT).</w:t>
      </w:r>
    </w:p>
    <w:p>
      <w:pPr>
        <w:pStyle w:val="TextBody"/>
      </w:pPr>
      <w:r>
        <w:rPr>
          <w:b/>
        </w:rPr>
        <w:t xml:space="preserve">(A)</w:t>
      </w:r>
      <w:r>
        <w:t xml:space="preserve"> </w:t>
      </w:r>
      <w:r>
        <w:t xml:space="preserve">Distribution of the recovery times in the individuals with the indicated symptoms present during acute COVID-19. Diamonds represent median recovery times, tinted ellipses code for interquartile ranges. Numbers of complete observations are indicated in the plot captions.</w:t>
      </w:r>
    </w:p>
    <w:p>
      <w:pPr>
        <w:pStyle w:val="TextBody"/>
      </w:pPr>
      <w:r>
        <w:rPr>
          <w:b/>
        </w:rPr>
        <w:t xml:space="preserve">(B)</w:t>
      </w:r>
      <w:r>
        <w:t xml:space="preserve"> </w:t>
      </w:r>
      <w:r>
        <w:t xml:space="preserve">Percentages of individuals with smell and taste disorders in the AT (Austria) and IT (Italy) HACT study cohorts at particular time points after clinical onset. Numbers of complete observations are indicated under the plots.</w:t>
      </w:r>
    </w:p>
    <w:p>
      <w:r>
        <w:br w:type="page"/>
      </w:r>
    </w:p>
    <w:p>
      <w:pPr>
        <w:pStyle w:val="CaptionedFigure"/>
      </w:pPr>
      <w:r>
        <w:drawing>
          <wp:inline>
            <wp:extent cx="5943600" cy="5943600"/>
            <wp:effectExtent b="0" l="0" r="0" t="0"/>
            <wp:docPr descr="Figure 3: Self-reported smell and taste disorders are isolated symptoms of long COVID and PASC." title="" id="1" name="Picture"/>
            <a:graphic>
              <a:graphicData uri="http://schemas.openxmlformats.org/drawingml/2006/picture">
                <pic:pic>
                  <pic:nvPicPr>
                    <pic:cNvPr descr="C:\Users\piotr\Desktop\hyposmia%20revised\paper\figures_and_tables_files/figure-docx/fig-sympt-mds-1.png" id="0"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Self-reported smell and taste disorders are isolated symptoms of long COVID and PASC.</w:t>
      </w:r>
    </w:p>
    <w:p>
      <w:pPr>
        <w:pStyle w:val="TextBody"/>
      </w:pPr>
      <w:r>
        <w:rPr>
          <w:b/>
        </w:rPr>
        <w:t xml:space="preserve">Figure</w:t>
      </w:r>
      <w:r>
        <w:rPr>
          <w:b/>
        </w:rPr>
        <w:t xml:space="preserve"> </w:t>
      </w:r>
      <w:r>
        <w:rPr>
          <w:b/>
        </w:rPr>
        <w:t xml:space="preserve">3</w:t>
      </w:r>
      <w:r>
        <w:rPr>
          <w:b/>
        </w:rPr>
        <w:t xml:space="preserve">. Self-reported smell and taste disorders are isolated symptoms of long COVID and PASC.</w:t>
      </w:r>
    </w:p>
    <w:p>
      <w:pPr>
        <w:pStyle w:val="TextBody"/>
      </w:pPr>
      <w:r>
        <w:t xml:space="preserve">Binary symptom occurrence data during for long COVID (</w:t>
      </w:r>
      <m:oMath>
        <m:r>
          <m:t>≥</m:t>
        </m:r>
      </m:oMath>
      <w:r>
        <w:t xml:space="preserve"> </w:t>
      </w:r>
      <w:r>
        <w:t xml:space="preserve">28 days after clinical onset,</w:t>
      </w:r>
      <w:r>
        <w:t xml:space="preserve"> </w:t>
      </w:r>
      <w:r>
        <w:rPr>
          <w:b/>
        </w:rPr>
        <w:t xml:space="preserve">A</w:t>
      </w:r>
      <w:r>
        <w:t xml:space="preserve">) and PASC (</w:t>
      </w:r>
      <m:oMath>
        <m:r>
          <m:t>≥</m:t>
        </m:r>
      </m:oMath>
      <w:r>
        <w:t xml:space="preserve"> </w:t>
      </w:r>
      <w:r>
        <w:t xml:space="preserve">90 days,</w:t>
      </w:r>
      <w:r>
        <w:t xml:space="preserve"> </w:t>
      </w:r>
      <w:r>
        <w:rPr>
          <w:b/>
        </w:rPr>
        <w:t xml:space="preserve">B</w:t>
      </w:r>
      <w:r>
        <w:t xml:space="preserve">) in the HACT Austria (AT) and Italy (IT) cohorts were subjected to two-dimensional multi-dimensional scaling (MDS) with simple matching distance (SMD) between the symptoms. MDS coordinates are presented in point plots. Selected data points are labeled with the symptom names. Percentages of the data set variance associated with the MDS dimensions are indicated in the plot axes. Numbers of complete observations are indicated under the plots.</w:t>
      </w:r>
    </w:p>
    <w:p>
      <w:r>
        <w:br w:type="page"/>
      </w:r>
    </w:p>
    <w:p>
      <w:pPr>
        <w:pStyle w:val="CaptionedFigure"/>
      </w:pPr>
      <w:r>
        <w:drawing>
          <wp:inline>
            <wp:extent cx="5943600" cy="6274965"/>
            <wp:effectExtent b="0" l="0" r="0" t="0"/>
            <wp:docPr descr="Figure 4: Frequent co-occurrence of smell and taste disorders in long COVID and PASC." title="" id="1" name="Picture"/>
            <a:graphic>
              <a:graphicData uri="http://schemas.openxmlformats.org/drawingml/2006/picture">
                <pic:pic>
                  <pic:nvPicPr>
                    <pic:cNvPr descr="C:\Users\piotr\Desktop\hyposmia%20revised\paper\figures_and_tables_files/figure-docx/fig-apriori-1.png" id="0" name="Picture"/>
                    <pic:cNvPicPr>
                      <a:picLocks noChangeArrowheads="1" noChangeAspect="1"/>
                    </pic:cNvPicPr>
                  </pic:nvPicPr>
                  <pic:blipFill>
                    <a:blip r:embed="rId25"/>
                    <a:stretch>
                      <a:fillRect/>
                    </a:stretch>
                  </pic:blipFill>
                  <pic:spPr bwMode="auto">
                    <a:xfrm>
                      <a:off x="0" y="0"/>
                      <a:ext cx="5943600" cy="6274965"/>
                    </a:xfrm>
                    <a:prstGeom prst="rect">
                      <a:avLst/>
                    </a:prstGeom>
                    <a:noFill/>
                    <a:ln w="9525">
                      <a:noFill/>
                      <a:headEnd/>
                      <a:tailEnd/>
                    </a:ln>
                  </pic:spPr>
                </pic:pic>
              </a:graphicData>
            </a:graphic>
          </wp:inline>
        </w:drawing>
      </w:r>
    </w:p>
    <w:p>
      <w:pPr>
        <w:pStyle w:val="ImageCaption"/>
      </w:pPr>
      <w:r>
        <w:t xml:space="preserve">Figure 4: Frequent co-occurrence of smell and taste disorders in long COVID and PASC.</w:t>
      </w:r>
    </w:p>
    <w:p>
      <w:pPr>
        <w:pStyle w:val="TextBody"/>
      </w:pPr>
      <w:r>
        <w:rPr>
          <w:b/>
        </w:rPr>
        <w:t xml:space="preserve">Figure</w:t>
      </w:r>
      <w:r>
        <w:rPr>
          <w:b/>
        </w:rPr>
        <w:t xml:space="preserve"> </w:t>
      </w:r>
      <w:r>
        <w:rPr>
          <w:b/>
        </w:rPr>
        <w:t xml:space="preserve">4</w:t>
      </w:r>
      <w:r>
        <w:rPr>
          <w:b/>
        </w:rPr>
        <w:t xml:space="preserve">. Frequent co-occurrence of smell and taste disorders in long COVID and PASC.</w:t>
      </w:r>
    </w:p>
    <w:p>
      <w:pPr>
        <w:pStyle w:val="TextBody"/>
      </w:pPr>
      <w:r>
        <w:t xml:space="preserve">Frequent combinations of symptoms of long COVID (</w:t>
      </w:r>
      <w:r>
        <w:rPr>
          <w:b/>
        </w:rPr>
        <w:t xml:space="preserve">A</w:t>
      </w:r>
      <w:r>
        <w:t xml:space="preserve">) and PASC (</w:t>
      </w:r>
      <w:r>
        <w:rPr>
          <w:b/>
        </w:rPr>
        <w:t xml:space="preserve">B</w:t>
      </w:r>
      <w:r>
        <w:t xml:space="preserve">) in the HACT study Austria (AT) and Italy (IT) cohorts were identified with the apriori algorithm. Symptom combination support and confidence are presented in the plots. Point color codes for lift values. The hypo/anosmia and hypo/ageusia combinations are labeled.</w:t>
      </w:r>
    </w:p>
    <w:p>
      <w:r>
        <w:br w:type="page"/>
      </w:r>
    </w:p>
    <w:p>
      <w:pPr>
        <w:pStyle w:val="CaptionedFigure"/>
      </w:pPr>
      <w:r>
        <w:drawing>
          <wp:inline>
            <wp:extent cx="5943600" cy="5943600"/>
            <wp:effectExtent b="0" l="0" r="0" t="0"/>
            <wp:docPr descr="Figure 5: Clustering of ambulatory COVID-19 individuals by symptom-specific recovery times." title="" id="1" name="Picture"/>
            <a:graphic>
              <a:graphicData uri="http://schemas.openxmlformats.org/drawingml/2006/picture">
                <pic:pic>
                  <pic:nvPicPr>
                    <pic:cNvPr descr="C:\Users\piotr\Desktop\hyposmia%20revised\paper\figures_and_tables_files/figure-docx/fig-clustering-1.png" id="0" name="Picture"/>
                    <pic:cNvPicPr>
                      <a:picLocks noChangeArrowheads="1" noChangeAspect="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 Clustering of ambulatory COVID-19 individuals by symptom-specific recovery times.</w:t>
      </w:r>
    </w:p>
    <w:p>
      <w:pPr>
        <w:pStyle w:val="TextBody"/>
      </w:pPr>
      <w:r>
        <w:rPr>
          <w:b/>
        </w:rPr>
        <w:t xml:space="preserve">Figure</w:t>
      </w:r>
      <w:r>
        <w:rPr>
          <w:b/>
        </w:rPr>
        <w:t xml:space="preserve"> </w:t>
      </w:r>
      <w:r>
        <w:rPr>
          <w:b/>
        </w:rPr>
        <w:t xml:space="preserve">5</w:t>
      </w:r>
      <w:r>
        <w:rPr>
          <w:b/>
        </w:rPr>
        <w:t xml:space="preserve">. Clustering of ambulatory COVID-19 individuals by symptom-specific recovery times.</w:t>
      </w:r>
    </w:p>
    <w:p>
      <w:pPr>
        <w:pStyle w:val="TextBody"/>
      </w:pPr>
      <w:r>
        <w:t xml:space="preserve">Individuals of the training Austria (AT) cohort of the HACT study were subjected to clustering in respect to symptom-specific recovery times with the PAM (partitioning around medoids) algorithm and Euclidean distance measure (</w:t>
      </w:r>
      <w:r>
        <w:rPr>
          <w:b/>
        </w:rPr>
        <w:t xml:space="preserve">Supplementary Figure S8</w:t>
      </w:r>
      <w:r>
        <w:t xml:space="preserve">). Cluster assignment in the test Italy (IT) HACT cohort was done with k-NN label propagation algorithm. Recovery times for particular COVID-19 symptoms in the COVID-19 recovery clusters are presented as heat maps. Numbers of individuals assigned to the recovery clusters are indicated under the plots.</w:t>
      </w:r>
    </w:p>
    <w:p>
      <w:pPr>
        <w:pStyle w:val="TextBody"/>
      </w:pPr>
      <w:r>
        <w:t xml:space="preserve">Dim. appetite: diminished appetite, Imp. concentration: impaired concentration, Imp. walk: impaired walk, Imp. FMS: impaired fine motor skills.</w:t>
      </w:r>
    </w:p>
    <w:p>
      <w:r>
        <w:br w:type="page"/>
      </w:r>
    </w:p>
    <w:p>
      <w:pPr>
        <w:pStyle w:val="CaptionedFigure"/>
      </w:pPr>
      <w:r>
        <w:drawing>
          <wp:inline>
            <wp:extent cx="5943600" cy="5943600"/>
            <wp:effectExtent b="0" l="0" r="0" t="0"/>
            <wp:docPr descr="Figure 6: Duration of neurocognitive and respiratory symptoms, fatigue, smell and taste disorders differs between the COVID-19 recovery clusters." title="" id="1" name="Picture"/>
            <a:graphic>
              <a:graphicData uri="http://schemas.openxmlformats.org/drawingml/2006/picture">
                <pic:pic>
                  <pic:nvPicPr>
                    <pic:cNvPr descr="C:\Users\piotr\Desktop\hyposmia%20revised\paper\figures_and_tables_files/figure-docx/fig-sympt-clusters-1.png" id="0"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Duration of neurocognitive and respiratory symptoms, fatigue, smell and taste disorders differs between the COVID-19 recovery clusters.</w:t>
      </w:r>
    </w:p>
    <w:p>
      <w:pPr>
        <w:pStyle w:val="TextBody"/>
      </w:pPr>
      <w:r>
        <w:rPr>
          <w:b/>
        </w:rPr>
        <w:t xml:space="preserve">Figure</w:t>
      </w:r>
      <w:r>
        <w:rPr>
          <w:b/>
        </w:rPr>
        <w:t xml:space="preserve"> </w:t>
      </w:r>
      <w:r>
        <w:rPr>
          <w:b/>
        </w:rPr>
        <w:t xml:space="preserve">6</w:t>
      </w:r>
      <w:r>
        <w:rPr>
          <w:b/>
        </w:rPr>
        <w:t xml:space="preserve">. Duration of neurocognitive and respiratory symptoms, fatigue, smell and taste disorders differs between the COVID-19 recovery clusters.</w:t>
      </w:r>
    </w:p>
    <w:p>
      <w:pPr>
        <w:pStyle w:val="TextBody"/>
      </w:pPr>
      <w:r>
        <w:t xml:space="preserve">Semi-supervised clustering was performed as presented in</w:t>
      </w:r>
      <w:r>
        <w:t xml:space="preserve"> </w:t>
      </w:r>
      <w:r>
        <w:rPr>
          <w:b/>
        </w:rPr>
        <w:t xml:space="preserve">Figure</w:t>
      </w:r>
      <w:r>
        <w:rPr>
          <w:b/>
        </w:rPr>
        <w:t xml:space="preserve"> </w:t>
      </w:r>
      <w:r>
        <w:rPr>
          <w:b/>
        </w:rPr>
        <w:t xml:space="preserve">5</w:t>
      </w:r>
      <w:r>
        <w:t xml:space="preserve"> </w:t>
      </w:r>
      <w:r>
        <w:t xml:space="preserve">and</w:t>
      </w:r>
      <w:r>
        <w:t xml:space="preserve"> </w:t>
      </w:r>
      <w:r>
        <w:rPr>
          <w:b/>
        </w:rPr>
        <w:t xml:space="preserve">Supplementary Figure S8</w:t>
      </w:r>
      <w:r>
        <w:t xml:space="preserve">. Mean recovery times in the recovery clusters are presented as lines, 2</w:t>
      </w:r>
      <w:r>
        <w:t xml:space="preserve"> </w:t>
      </w:r>
      <m:oMath>
        <m:r>
          <m:t>×</m:t>
        </m:r>
      </m:oMath>
      <w:r>
        <w:t xml:space="preserve"> </w:t>
      </w:r>
      <w:r>
        <w:t xml:space="preserve">SEM intervals are displayed as tinted regions. Numbers of individuals assigned to the recovery clusters are indicated under the plots.</w:t>
      </w:r>
    </w:p>
    <w:p>
      <w:pPr>
        <w:pStyle w:val="TextBody"/>
      </w:pPr>
      <w:r>
        <w:t xml:space="preserve">Dim. appetite: diminished appetite, Imp. concentration: impaired concentration, Imp. walk: impaired walk, Imp. FMS: impaired fine motor skills.</w:t>
      </w:r>
    </w:p>
    <w:p>
      <w:r>
        <w:br w:type="page"/>
      </w:r>
    </w:p>
    <w:p>
      <w:pPr>
        <w:pStyle w:val="CaptionedFigure"/>
      </w:pPr>
      <w:r>
        <w:drawing>
          <wp:inline>
            <wp:extent cx="5943600" cy="6934899"/>
            <wp:effectExtent b="0" l="0" r="0" t="0"/>
            <wp:docPr descr="Figure 7: COVID-19 recovery clusters differ in sex distribution, comorbidity and daily medication rates." title="" id="1" name="Picture"/>
            <a:graphic>
              <a:graphicData uri="http://schemas.openxmlformats.org/drawingml/2006/picture">
                <pic:pic>
                  <pic:nvPicPr>
                    <pic:cNvPr descr="C:\Users\piotr\Desktop\hyposmia%20revised\paper\figures_and_tables_files/figure-docx/fig-base-clusters-1.png" id="0" name="Picture"/>
                    <pic:cNvPicPr>
                      <a:picLocks noChangeArrowheads="1" noChangeAspect="1"/>
                    </pic:cNvPicPr>
                  </pic:nvPicPr>
                  <pic:blipFill>
                    <a:blip r:embed="rId28"/>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7: COVID-19 recovery clusters differ in sex distribution, comorbidity and daily medication rates.</w:t>
      </w:r>
    </w:p>
    <w:p>
      <w:pPr>
        <w:pStyle w:val="TextBody"/>
      </w:pPr>
      <w:r>
        <w:rPr>
          <w:b/>
        </w:rPr>
        <w:t xml:space="preserve">Figure</w:t>
      </w:r>
      <w:r>
        <w:rPr>
          <w:b/>
        </w:rPr>
        <w:t xml:space="preserve"> </w:t>
      </w:r>
      <w:r>
        <w:rPr>
          <w:b/>
        </w:rPr>
        <w:t xml:space="preserve">7</w:t>
      </w:r>
      <w:r>
        <w:rPr>
          <w:b/>
        </w:rPr>
        <w:t xml:space="preserve">. COVID-19 recovery clusters differ in sex distribution, comorbidity and daily medication rates.</w:t>
      </w:r>
    </w:p>
    <w:p>
      <w:pPr>
        <w:pStyle w:val="TextBody"/>
      </w:pPr>
      <w:r>
        <w:t xml:space="preserve">Differences in sex distribution (</w:t>
      </w:r>
      <w:r>
        <w:rPr>
          <w:b/>
        </w:rPr>
        <w:t xml:space="preserve">A</w:t>
      </w:r>
      <w:r>
        <w:t xml:space="preserve">), frequency of comorbidity (</w:t>
      </w:r>
      <w:r>
        <w:rPr>
          <w:b/>
        </w:rPr>
        <w:t xml:space="preserve">B</w:t>
      </w:r>
      <w:r>
        <w:t xml:space="preserve">) and daily medication (</w:t>
      </w:r>
      <w:r>
        <w:rPr>
          <w:b/>
        </w:rPr>
        <w:t xml:space="preserve">C</w:t>
      </w:r>
      <w:r>
        <w:t xml:space="preserve">) between the recovery clusters in the training Austria (AT) and the test Italy (IT) HACT study cohorts (</w:t>
      </w:r>
      <w:r>
        <w:rPr>
          <w:b/>
        </w:rPr>
        <w:t xml:space="preserve">Figure</w:t>
      </w:r>
      <w:r>
        <w:rPr>
          <w:b/>
        </w:rPr>
        <w:t xml:space="preserve"> </w:t>
      </w:r>
      <w:r>
        <w:rPr>
          <w:b/>
        </w:rPr>
        <w:t xml:space="preserve">5</w:t>
      </w:r>
      <w:r>
        <w:t xml:space="preserve">,</w:t>
      </w:r>
      <w:r>
        <w:t xml:space="preserve"> </w:t>
      </w:r>
      <w:r>
        <w:rPr>
          <w:b/>
        </w:rPr>
        <w:t xml:space="preserve">Supplementary Figure S8</w:t>
      </w:r>
      <w:r>
        <w:t xml:space="preserve">) were assessed by</w:t>
      </w:r>
      <w:r>
        <w:t xml:space="preserve"> </w:t>
      </w:r>
      <m:oMath>
        <m:sSup>
          <m:e>
            <m:r>
              <m:t>χ</m:t>
            </m:r>
          </m:e>
          <m:sup>
            <m:r>
              <m:t>2</m:t>
            </m:r>
          </m:sup>
        </m:sSup>
      </m:oMath>
      <w:r>
        <w:t xml:space="preserve"> </w:t>
      </w:r>
      <w:r>
        <w:t xml:space="preserve">test with Cramer V effect size statistic. P values were corrected for multiple testing with Benjamini-Hochberg method. The frequencies are presented as bar plots. Effect size statistics and p values are indicated in the plot caption. Numbers of complete observations are displayed under the plots.</w:t>
      </w:r>
    </w:p>
    <w:p>
      <w:r>
        <w:br w:type="page"/>
      </w:r>
    </w:p>
    <w:p>
      <w:pPr>
        <w:pStyle w:val="CaptionedFigure"/>
      </w:pPr>
      <w:r>
        <w:drawing>
          <wp:inline>
            <wp:extent cx="5943600" cy="3962400"/>
            <wp:effectExtent b="0" l="0" r="0" t="0"/>
            <wp:docPr descr="Figure 8: Good clinical and mental health status and quality of life at the survey completion in individuals with persistent smell and taste disorders." title="" id="1" name="Picture"/>
            <a:graphic>
              <a:graphicData uri="http://schemas.openxmlformats.org/drawingml/2006/picture">
                <pic:pic>
                  <pic:nvPicPr>
                    <pic:cNvPr descr="C:\Users\piotr\Desktop\hyposmia%20revised\paper\figures_and_tables_files/figure-docx/fig-recovery-clusters-1.pn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8: Good clinical and mental health status and quality of life at the survey completion in individuals with persistent smell and taste disorders.</w:t>
      </w:r>
    </w:p>
    <w:p>
      <w:pPr>
        <w:pStyle w:val="TextBody"/>
      </w:pPr>
      <w:r>
        <w:rPr>
          <w:b/>
        </w:rPr>
        <w:t xml:space="preserve">Figure</w:t>
      </w:r>
      <w:r>
        <w:rPr>
          <w:b/>
        </w:rPr>
        <w:t xml:space="preserve"> </w:t>
      </w:r>
      <w:r>
        <w:rPr>
          <w:b/>
        </w:rPr>
        <w:t xml:space="preserve">8</w:t>
      </w:r>
      <w:r>
        <w:rPr>
          <w:b/>
        </w:rPr>
        <w:t xml:space="preserve">. Good clinical and mental health status and quality of life at the survey completion in individuals with persistent smell and taste disorders.</w:t>
      </w:r>
    </w:p>
    <w:p>
      <w:pPr>
        <w:pStyle w:val="TextBody"/>
      </w:pPr>
      <w:r>
        <w:t xml:space="preserve">Differences in minimum/maximum scaled readouts of clinical and physical recovery, mental health and quality of life scoring at the time of survey completion in the recovery clusters (</w:t>
      </w:r>
      <w:r>
        <w:rPr>
          <w:b/>
        </w:rPr>
        <w:t xml:space="preserve">Figure</w:t>
      </w:r>
      <w:r>
        <w:rPr>
          <w:b/>
        </w:rPr>
        <w:t xml:space="preserve"> </w:t>
      </w:r>
      <w:r>
        <w:rPr>
          <w:b/>
        </w:rPr>
        <w:t xml:space="preserve">5</w:t>
      </w:r>
      <w:r>
        <w:t xml:space="preserve">,</w:t>
      </w:r>
      <w:r>
        <w:t xml:space="preserve"> </w:t>
      </w:r>
      <w:r>
        <w:rPr>
          <w:b/>
        </w:rPr>
        <w:t xml:space="preserve">Supplementary Figure S8</w:t>
      </w:r>
      <w:r>
        <w:t xml:space="preserve">) are presented in radial plots. Yes/no items (incomplete convalescence, weight loss, new medication and need for rehabilitation) were binarized (yes: 1, no: 0) prior to visualization. Lines represent mean values, 2</w:t>
      </w:r>
      <w:r>
        <w:t xml:space="preserve"> </w:t>
      </w:r>
      <m:oMath>
        <m:r>
          <m:t>×</m:t>
        </m:r>
      </m:oMath>
      <w:r>
        <w:t xml:space="preserve"> </w:t>
      </w:r>
      <w:r>
        <w:t xml:space="preserve">SEM intervals are displayed as tinted regions. Numbers of individuals assigned to the recovery clusters are indicated under the plots.</w:t>
      </w:r>
    </w:p>
    <w:p>
      <w:pPr>
        <w:pStyle w:val="TextBody"/>
      </w:pPr>
      <w:r>
        <w:t xml:space="preserve">incomplete recovery: self-reported incomplete recovery, # persist. symptoms: number of long COVID symptoms (</w:t>
      </w:r>
      <m:oMath>
        <m:r>
          <m:t>≥</m:t>
        </m:r>
      </m:oMath>
      <w:r>
        <w:t xml:space="preserve"> </w:t>
      </w:r>
      <w:r>
        <w:t xml:space="preserve">28 days after clinical onset), phys. performance loss: physical performance loss as compared with the time before COVID-19, QoL score: quality of life impairment score, OMH score: overall mental health impairment score, ANX score: anxiety score, DPR: depression score.</w:t>
      </w:r>
    </w:p>
    <w:sectPr>
      <w:footerReference w:type="default" r:id="rId9"/>
      <w:footnotePr>
        <w:numFmt w:val="decimal"/>
      </w:footnotePr>
      <w:type w:val="nextPage"/>
      <w:pgSz w:w="12240" w:h="15840"/>
      <w:pgMar w:left="1440" w:right="1440" w:header="0" w:top="1440" w:footer="1440" w:bottom="2204"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LibreOffice/7.0.5.2$Windows_X86_64 LibreOffice_project/64390860c6cd0aca4beafafcfd84613dd9dfb63a</Application>
  <AppVersion>15.0000</AppVersion>
  <Pages>3</Pages>
  <Words>358</Words>
  <Characters>2323</Characters>
  <CharactersWithSpaces>2665</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Distinct smell and taste disorder phenotype of post-acute COVID-19 sequelae</dc:title>
  <dc:creator>HACT and CovILD study teams</dc:creator>
  <cp:keywords/>
  <dcterms:created xsi:type="dcterms:W3CDTF">2022-06-02T17:18:58Z</dcterms:created>
  <dcterms:modified xsi:type="dcterms:W3CDTF">2022-06-02T17:18:58Z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hyposmia_biblio.bib</vt:lpwstr>
  </property>
  <property fmtid="{D5CDD505-2E9C-101B-9397-08002B2CF9AE}" pid="3" name="csl">
    <vt:lpwstr>frontiers_medical.csl</vt:lpwstr>
  </property>
  <property fmtid="{D5CDD505-2E9C-101B-9397-08002B2CF9AE}" pid="4" name="date">
    <vt:lpwstr>2022-06-02</vt:lpwstr>
  </property>
  <property fmtid="{D5CDD505-2E9C-101B-9397-08002B2CF9AE}" pid="5" name="header-includes">
    <vt:lpwstr>  </vt:lpwstr>
  </property>
  <property fmtid="{D5CDD505-2E9C-101B-9397-08002B2CF9AE}" pid="6" name="output">
    <vt:lpwstr/>
  </property>
  <property fmtid="{D5CDD505-2E9C-101B-9397-08002B2CF9AE}" pid="7" name="subtitle">
    <vt:lpwstr>Tables and figures</vt:lpwstr>
  </property>
</Properties>
</file>