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3.png" ContentType="image/png"/>
  <Override PartName="/word/media/rId24.png" ContentType="image/png"/>
  <Override PartName="/word/media/rId30.png" ContentType="image/png"/>
  <Override PartName="/word/media/rId27.png" ContentType="image/png"/>
  <Override PartName="/word/media/rId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Distinct</w:t>
      </w:r>
      <w:r>
        <w:t xml:space="preserve"> </w:t>
      </w:r>
      <w:r>
        <w:t xml:space="preserve">smell</w:t>
      </w:r>
      <w:r>
        <w:t xml:space="preserve"> </w:t>
      </w:r>
      <w:r>
        <w:t xml:space="preserve">and</w:t>
      </w:r>
      <w:r>
        <w:t xml:space="preserve"> </w:t>
      </w:r>
      <w:r>
        <w:t xml:space="preserve">taste</w:t>
      </w:r>
      <w:r>
        <w:t xml:space="preserve"> </w:t>
      </w:r>
      <w:r>
        <w:t xml:space="preserve">disorder</w:t>
      </w:r>
      <w:r>
        <w:t xml:space="preserve"> </w:t>
      </w:r>
      <w:r>
        <w:t xml:space="preserve">phenotype</w:t>
      </w:r>
      <w:r>
        <w:t xml:space="preserve"> </w:t>
      </w:r>
      <w:r>
        <w:t xml:space="preserve">of</w:t>
      </w:r>
      <w:r>
        <w:t xml:space="preserve"> </w:t>
      </w:r>
      <w:r>
        <w:t xml:space="preserve">post-acute</w:t>
      </w:r>
      <w:r>
        <w:t xml:space="preserve"> </w:t>
      </w:r>
      <w:r>
        <w:t xml:space="preserve">COVID-19</w:t>
      </w:r>
      <w:r>
        <w:t xml:space="preserve"> </w:t>
      </w:r>
      <w:r>
        <w:t xml:space="preserve">sequelae</w:t>
      </w:r>
    </w:p>
    <w:p>
      <w:pPr>
        <w:pStyle w:val="Subtitle"/>
      </w:pPr>
      <w:r>
        <w:t xml:space="preserve">Tables</w:t>
      </w:r>
      <w:r>
        <w:t xml:space="preserve"> </w:t>
      </w:r>
      <w:r>
        <w:t xml:space="preserve">and</w:t>
      </w:r>
      <w:r>
        <w:t xml:space="preserve"> </w:t>
      </w:r>
      <w:r>
        <w:t xml:space="preserve">figures</w:t>
      </w:r>
    </w:p>
    <w:p>
      <w:pPr>
        <w:pStyle w:val="Author"/>
      </w:pPr>
      <w:r>
        <w:t xml:space="preserve">Health</w:t>
      </w:r>
      <w:r>
        <w:t xml:space="preserve"> </w:t>
      </w:r>
      <w:r>
        <w:t xml:space="preserve">after</w:t>
      </w:r>
      <w:r>
        <w:t xml:space="preserve"> </w:t>
      </w:r>
      <w:r>
        <w:t xml:space="preserve">COVID-19</w:t>
      </w:r>
      <w:r>
        <w:t xml:space="preserve"> </w:t>
      </w:r>
      <w:r>
        <w:t xml:space="preserve">in</w:t>
      </w:r>
      <w:r>
        <w:t xml:space="preserve"> </w:t>
      </w:r>
      <w:r>
        <w:t xml:space="preserve">Tyrol</w:t>
      </w:r>
      <w:r>
        <w:t xml:space="preserve"> </w:t>
      </w:r>
      <w:r>
        <w:t xml:space="preserve">and</w:t>
      </w:r>
      <w:r>
        <w:t xml:space="preserve"> </w:t>
      </w:r>
      <w:r>
        <w:t xml:space="preserve">CovILD</w:t>
      </w:r>
      <w:r>
        <w:t xml:space="preserve"> </w:t>
      </w:r>
      <w:r>
        <w:t xml:space="preserve">study</w:t>
      </w:r>
      <w:r>
        <w:t xml:space="preserve"> </w:t>
      </w:r>
      <w:r>
        <w:t xml:space="preserve">team</w:t>
      </w:r>
    </w:p>
    <w:p>
      <w:pPr>
        <w:pStyle w:val="Date"/>
      </w:pPr>
      <w:r>
        <w:t xml:space="preserve">2023-05-30</w:t>
      </w:r>
    </w:p>
    <w:p>
      <w:r>
        <w:br w:type="page"/>
      </w:r>
    </w:p>
    <w:bookmarkStart w:id="20" w:name="tables"/>
    <w:p>
      <w:pPr>
        <w:pStyle w:val="Heading1"/>
      </w:pPr>
      <w:r>
        <w:t xml:space="preserve">Tables</w:t>
      </w:r>
    </w:p>
    <w:p>
      <w:pPr>
        <w:pStyle w:val="TableCaption"/>
      </w:pPr>
      <w:r>
        <w:t xml:space="preserve">Table 1:</w:t>
      </w:r>
      <w:r>
        <w:t xml:space="preserve"> </w:t>
      </w:r>
      <w:r>
        <w:t xml:space="preserve">Baseline characteristic of the Austria (AT) and Italy (IT) survey study cohorts. Numeric variables are presented as medians with interquartile ranges (IQR) and ranges. Categorical variables are presented as percentages and counts within the complete observation set.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098"/>
        <w:gridCol w:w="2721"/>
        <w:gridCol w:w="2721"/>
        <w:gridCol w:w="1474"/>
        <w:gridCol w:w="1247"/>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AT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IT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Significance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b</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Effect size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b</w:t>
            </w:r>
          </w:p>
        </w:tc>
      </w:tr>
      <w:tr>
        <w:trPr>
          <w:trHeight w:val="360" w:hRule="auto"/>
        </w:trPr>
        body 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Sex</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female: 67% (n = 320)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male: 33% (n = 159)</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female: 70% (n = 300)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male: 30% (n = 127)</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0.46)</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0.037</w:t>
            </w:r>
          </w:p>
        </w:tc>
      </w:tr>
      <w:tr>
        <w:trPr>
          <w:trHeight w:val="360" w:hRule="auto"/>
        </w:trPr>
        body 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Education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non-tertiary: 63% (n = 302)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tertiary: 37% (n = 176)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non-tertiary: 59% (n = 250)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tertiary: 41% (n = 177)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0.35)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0.047</w:t>
            </w:r>
          </w:p>
        </w:tc>
      </w:tr>
      <w:tr>
        <w:trPr>
          <w:trHeight w:val="360" w:hRule="auto"/>
        </w:trPr>
        body 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Age, years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43 [IQR: 32 - 53]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18 - 80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45 [IQR: 34 - 54]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18 - 95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0.31)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 = 0.048</w:t>
            </w:r>
          </w:p>
        </w:tc>
      </w:tr>
      <w:tr>
        <w:trPr>
          <w:trHeight w:val="360" w:hRule="auto"/>
        </w:trPr>
        body 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BMI before COVID-19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normal: 54% (n = 257)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overweight: 28% (n = 135)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obesity: 18% (n = 84)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normal: 66% (n = 278)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overweight: 25% (n = 104)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obesity: 8.8% (n = 37)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0.0011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0.15</w:t>
            </w:r>
          </w:p>
        </w:tc>
      </w:tr>
      <w:tr>
        <w:trPr>
          <w:trHeight w:val="360" w:hRule="auto"/>
        </w:trPr>
        body 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Employment status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employed: 83% (n = 398)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unemployed: 8.4% (n = 40)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leave: 1.7% (n = 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retired: 6.9% (n = 33)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employed: 81% (n = 348)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unemployed: 9.4% (n = 40)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leave: 1.9% (n = 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retired: 7.3% (n = 31)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0.022</w:t>
            </w:r>
          </w:p>
        </w:tc>
      </w:tr>
      <w:tr>
        <w:trPr>
          <w:trHeight w:val="360" w:hRule="auto"/>
        </w:trPr>
        body 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Autoimmunity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6.7% (n = 32)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6.3% (n = 27)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0.0072</w:t>
            </w:r>
          </w:p>
        </w:tc>
      </w:tr>
      <w:tr>
        <w:trPr>
          <w:trHeight w:val="360" w:hRule="auto"/>
        </w:trPr>
        body 7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Hypertension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11% (n = 51)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8.4% (n = 36)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0.46)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0.038</w:t>
            </w:r>
          </w:p>
        </w:tc>
      </w:tr>
      <w:tr>
        <w:trPr>
          <w:trHeight w:val="360" w:hRule="auto"/>
        </w:trPr>
        body 8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Pre-CoV depression/anxiety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5.4% (n = 26)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5.2% (n = 22)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0.0061</w:t>
            </w:r>
          </w:p>
        </w:tc>
      </w:tr>
      <w:tr>
        <w:trPr>
          <w:trHeight w:val="360" w:hRule="auto"/>
        </w:trPr>
        body 9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Diabetes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1.5% (n = 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0.23% (n = 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0.26)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0.065</w:t>
            </w:r>
          </w:p>
        </w:tc>
      </w:tr>
      <w:tr>
        <w:trPr>
          <w:trHeight w:val="360" w:hRule="auto"/>
        </w:trPr>
        body10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Freq. resp. infections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6.7% (n = 32)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3.3% (n = 14)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0.077</w:t>
            </w:r>
          </w:p>
        </w:tc>
      </w:tr>
      <w:tr>
        <w:trPr>
          <w:trHeight w:val="360" w:hRule="auto"/>
        </w:trPr>
        body11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Cardiovascular disease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2.1% (n = 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 (n = 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0.62)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0.03</w:t>
            </w:r>
          </w:p>
        </w:tc>
      </w:tr>
      <w:tr>
        <w:trPr>
          <w:trHeight w:val="360" w:hRule="auto"/>
        </w:trPr>
        body12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Hay fever/allergy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18% (n = 88)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12% (n = 51)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0.045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0.089</w:t>
            </w:r>
          </w:p>
        </w:tc>
      </w:tr>
      <w:tr>
        <w:trPr>
          <w:trHeight w:val="360" w:hRule="auto"/>
        </w:trPr>
        body13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Malignancy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2.1% (n = 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 (n = 17)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0.31)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0.056</w:t>
            </w:r>
          </w:p>
        </w:tc>
      </w:tr>
      <w:tr>
        <w:trPr>
          <w:trHeight w:val="360" w:hRule="auto"/>
        </w:trPr>
        body14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Gastrointestinal disease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1.7% (n = 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0.7% (n = 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0.46)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0.044</w:t>
            </w:r>
          </w:p>
        </w:tc>
      </w:tr>
      <w:tr>
        <w:trPr>
          <w:trHeight w:val="360" w:hRule="auto"/>
        </w:trPr>
        body15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Pulmonary disease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3.8% (n = 18)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2.8% (n = 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0.67)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0.026</w:t>
            </w:r>
          </w:p>
        </w:tc>
      </w:tr>
      <w:tr>
        <w:trPr>
          <w:trHeight w:val="360" w:hRule="auto"/>
        </w:trPr>
        body16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Freq. bact. Infections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4.8% (n = 23)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1.2% (n = 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0.016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0.1</w:t>
            </w:r>
          </w:p>
        </w:tc>
      </w:tr>
      <w:tr>
        <w:trPr>
          <w:trHeight w:val="360" w:hRule="auto"/>
        </w:trPr>
        body17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Pre-CoV sleep disorders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3.5% (n = 17)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4.7% (n = 20)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0.62)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0.029</w:t>
            </w:r>
          </w:p>
        </w:tc>
      </w:tr>
      <w:tr>
        <w:trPr>
          <w:trHeight w:val="360" w:hRule="auto"/>
        </w:trPr>
        body18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Daily medication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absent: 62% (n = 295)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1 - 4 drugs: 37% (n = 175)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 drugs and more: 1.9% (n = 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absent: 74% (n = 317)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1 - 4 drugs: 25% (n = 106)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 drugs and more: 0.94% (n = 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0.0024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0.14</w:t>
            </w:r>
          </w:p>
        </w:tc>
      </w:tr>
      <w:tr>
        <w:trPr>
          <w:trHeight w:val="360" w:hRule="auto"/>
        </w:trPr>
        body19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Observation time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180 [IQR: 130 - 220]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90 - 400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140 [IQR: 120 - 270]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90 - 390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0.0036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 = 0.12</w:t>
            </w:r>
          </w:p>
        </w:tc>
      </w:tr>
      <w:tr>
        <w:trPr>
          <w:trHeight w:val="360" w:hRule="auto"/>
        </w:trPr>
        body20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Comorbidity</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49% (n = 237)</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43% (n = 185)</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0.22)</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0.062</w:t>
            </w:r>
          </w:p>
        </w:tc>
      </w:tr>
      <w:tr>
        <w:trPr>
          <w:trHeight w:val="360" w:hRule="auto"/>
        </w:trPr>
        footer 1
        <w:tc>
          <w:tcPr>
            <w:gridSpan w:val="5"/>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BMI: body mass index, normal: BMI &lt; 25 kg/m², overweight: BMI 25 - 30 kg/m², obesity: BMI &gt; 30 kg/m²; Pre-CoV depression/anxiety: depression or anxiety before COVID-19; Freq. resp. infections: frequent (&gt; 2 per year) respiratory infections; Freq. bact. Infections: frequent (&gt; two per year) bacterial infections with antibiotic therapy; Pre-CoV sleep disorders: sleep disorders before COVID-19.</w:t>
            </w:r>
          </w:p>
        </w:tc>
      </w:tr>
      <w:tr>
        <w:trPr>
          <w:trHeight w:val="360" w:hRule="auto"/>
        </w:trPr>
        footer 2
        <w:tc>
          <w:tcPr>
            <w:gridSpan w:val="5"/>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Categorical variables: χ² test with Cramer V effect size statistic. Numeric variables: Mann-Whitney U test with wilcoxon r effect size statistic. P values corrected form multiple testing with Benjamini-Hochberg method.</w:t>
            </w:r>
          </w:p>
        </w:tc>
      </w:tr>
    </w:tbl>
    <w:p>
      <w:r>
        <w:br w:type="page"/>
      </w:r>
    </w:p>
    <w:p>
      <w:pPr>
        <w:pStyle w:val="TableCaption"/>
      </w:pPr>
      <w:r>
        <w:t xml:space="preserve">Table 2:</w:t>
      </w:r>
      <w:r>
        <w:t xml:space="preserve"> </w:t>
      </w:r>
      <w:r>
        <w:t xml:space="preserve">Baseline characteristic of the CovILD study cohort and the study participants stratified by COVID-19 severity. Numeric variables are presented as medians with interquartile ranges (IQR) and ranges. Categorical variables are presented as percentages and counts within the complete observation set.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587"/>
        <w:gridCol w:w="1871"/>
        <w:gridCol w:w="1871"/>
        <w:gridCol w:w="1871"/>
        <w:gridCol w:w="1871"/>
        <w:gridCol w:w="1474"/>
        <w:gridCol w:w="1247"/>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Entire cohort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Ambulatory CoV subset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Moderate CoV subset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Severe CoV subset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Significance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b</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Effect size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b</w:t>
            </w:r>
          </w:p>
        </w:tc>
      </w:tr>
      <w:tr>
        <w:trPr>
          <w:trHeight w:val="360" w:hRule="auto"/>
        </w:trPr>
        body 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Sex</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female: 41% (n = 44)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male: 59% (n = 64)</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female: 67% (n = 18)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male: 33% (n = 9)</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female: 35% (n = 19)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male: 65% (n = 36)</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female: 27% (n = 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male: 73% (n = 19)</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0.31</w:t>
            </w:r>
          </w:p>
        </w:tc>
      </w:tr>
      <w:tr>
        <w:trPr>
          <w:trHeight w:val="360" w:hRule="auto"/>
        </w:trPr>
        body 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Age, years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56 [IQR: 49 - 68]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19 - 87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47 [IQR: 38 - 55]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19 - 70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62 [IQR: 53 - 72]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27 - 87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56 [IQR: 52 - 64]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44 - 79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η² = 0.21</w:t>
            </w:r>
          </w:p>
        </w:tc>
      </w:tr>
      <w:tr>
        <w:trPr>
          <w:trHeight w:val="360" w:hRule="auto"/>
        </w:trPr>
        body 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BMI at CoV onset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normal: 39% (n = 42)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overweight: 43% (n = 46)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obesity: 19% (n = 20)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normal: 56% (n = 15)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overweight: 33% (n = 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obesity: 11% (n = 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normal: 29% (n = 16)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overweight: 51% (n = 28)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obesity: 20% (n = 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normal: 42% (n = 11)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overweight: 35% (n = 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obesity: 23% (n = 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0.17</w:t>
            </w:r>
          </w:p>
        </w:tc>
      </w:tr>
      <w:tr>
        <w:trPr>
          <w:trHeight w:val="360" w:hRule="auto"/>
        </w:trPr>
        body 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Comorbidity present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75% (n = 81)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41% (n = 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85% (n = 47)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88% (n = 23)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0.46</w:t>
            </w:r>
          </w:p>
        </w:tc>
      </w:tr>
      <w:tr>
        <w:trPr>
          <w:trHeight w:val="360" w:hRule="auto"/>
        </w:trPr>
        body 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Cardiovascular disease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40% (n = 43)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7.4% (n = 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47% (n = 26)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58% (n = 15)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0.39</w:t>
            </w:r>
          </w:p>
        </w:tc>
      </w:tr>
      <w:tr>
        <w:trPr>
          <w:trHeight w:val="360" w:hRule="auto"/>
        </w:trPr>
        body 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Hypertension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27% (n = 29)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7.4% (n = 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27% (n = 15)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46% (n = 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0.31</w:t>
            </w:r>
          </w:p>
        </w:tc>
      </w:tr>
      <w:tr>
        <w:trPr>
          <w:trHeight w:val="360" w:hRule="auto"/>
        </w:trPr>
        body 7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Pulmonary disease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19% (n = 20)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11% (n = 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22% (n = 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19% (n = 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0.031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0.11</w:t>
            </w:r>
          </w:p>
        </w:tc>
      </w:tr>
      <w:tr>
        <w:trPr>
          <w:trHeight w:val="360" w:hRule="auto"/>
        </w:trPr>
        body 8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Metabolic disease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42% (n = 45)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19% (n = 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49% (n = 27)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50% (n = 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0.27</w:t>
            </w:r>
          </w:p>
        </w:tc>
      </w:tr>
      <w:tr>
        <w:trPr>
          <w:trHeight w:val="360" w:hRule="auto"/>
        </w:trPr>
        body 9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Diabetes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15% (n = 16)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3.7% (n = 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15% (n = 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27% (n = 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0.23</w:t>
            </w:r>
          </w:p>
        </w:tc>
      </w:tr>
      <w:tr>
        <w:trPr>
          <w:trHeight w:val="360" w:hRule="auto"/>
        </w:trPr>
        body10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Gastrointestinal disease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13% (n = 14)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 (n = 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20% (n = 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12% (n = 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0.24</w:t>
            </w:r>
          </w:p>
        </w:tc>
      </w:tr>
      <w:tr>
        <w:trPr>
          <w:trHeight w:val="360" w:hRule="auto"/>
        </w:trPr>
        body11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Malignancy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9.3% (n = 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3.7% (n = 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15% (n = 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3.8% (n = 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0.19</w:t>
            </w:r>
          </w:p>
        </w:tc>
      </w:tr>
      <w:tr>
        <w:trPr>
          <w:trHeight w:val="360" w:hRule="auto"/>
        </w:trPr>
        body12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Immune deficiency</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5.6% (n = 6)</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 (n = 0)</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3.6% (n = 2)</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15% (n = 4)</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0.25</w:t>
            </w:r>
          </w:p>
        </w:tc>
      </w:tr>
      <w:tr>
        <w:trPr>
          <w:trHeight w:val="360" w:hRule="auto"/>
        </w:trPr>
        footer 1
        <w:tc>
          <w:tcPr>
            <w:gridSpan w:val="7"/>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BMI at CoV onset: body mass index at COVID-19 onset, normal: BMI &lt; 25 kg/m², overweight: BMI 25 - 30 kg/m², obesity: BMI &gt; 30 kg/m².</w:t>
            </w:r>
          </w:p>
        </w:tc>
      </w:tr>
      <w:tr>
        <w:trPr>
          <w:trHeight w:val="360" w:hRule="auto"/>
        </w:trPr>
        footer 2
        <w:tc>
          <w:tcPr>
            <w:gridSpan w:val="7"/>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Comparison of ambulatory, moderate and severe COVID-19 individuals. Categorical variables: χ² test with Cramer V effect size statistic. Numeric variables: Kruskal-Wallis test with η² effect size statistic. P values corrected form multiple testing with Benjamini-Hochberg method.</w:t>
            </w:r>
          </w:p>
        </w:tc>
      </w:tr>
    </w:tbl>
    <w:p>
      <w:r>
        <w:br w:type="page"/>
      </w:r>
    </w:p>
    <w:bookmarkEnd w:id="20"/>
    <w:bookmarkStart w:id="36" w:name="sec:figures"/>
    <w:p>
      <w:pPr>
        <w:pStyle w:val="Heading1"/>
      </w:pPr>
      <w:r>
        <w:t xml:space="preserve">Figures</w:t>
      </w:r>
    </w:p>
    <w:p>
      <w:pPr>
        <w:pStyle w:val="CaptionedFigure"/>
      </w:pPr>
      <w:r>
        <w:drawing>
          <wp:inline>
            <wp:extent cx="5943600" cy="7264866"/>
            <wp:effectExtent b="0" l="0" r="0" t="0"/>
            <wp:docPr descr="Figure 1: Symptom-specific recovery times in the ambulatory COVID-19 survey study." title="" id="22" name="Picture"/>
            <a:graphic>
              <a:graphicData uri="http://schemas.openxmlformats.org/drawingml/2006/picture">
                <pic:pic>
                  <pic:nvPicPr>
                    <pic:cNvPr descr="C:\Users\piotr\Desktop\hyposmia%20revised\paper\figures_and_tables_files/figure-docx/fig-sympt-recovery-1.png" id="23" name="Picture"/>
                    <pic:cNvPicPr>
                      <a:picLocks noChangeArrowheads="1" noChangeAspect="1"/>
                    </pic:cNvPicPr>
                  </pic:nvPicPr>
                  <pic:blipFill>
                    <a:blip r:embed="rId21"/>
                    <a:stretch>
                      <a:fillRect/>
                    </a:stretch>
                  </pic:blipFill>
                  <pic:spPr bwMode="auto">
                    <a:xfrm>
                      <a:off x="0" y="0"/>
                      <a:ext cx="5943600" cy="7264866"/>
                    </a:xfrm>
                    <a:prstGeom prst="rect">
                      <a:avLst/>
                    </a:prstGeom>
                    <a:noFill/>
                    <a:ln w="9525">
                      <a:noFill/>
                      <a:headEnd/>
                      <a:tailEnd/>
                    </a:ln>
                  </pic:spPr>
                </pic:pic>
              </a:graphicData>
            </a:graphic>
          </wp:inline>
        </w:drawing>
      </w:r>
    </w:p>
    <w:p>
      <w:pPr>
        <w:pStyle w:val="ImageCaption"/>
      </w:pPr>
      <w:r>
        <w:t xml:space="preserve">Figure 1: Symptom-specific recovery times in the ambulatory COVID-19 survey study.</w:t>
      </w:r>
    </w:p>
    <w:p>
      <w:pPr>
        <w:pStyle w:val="TextBody"/>
      </w:pPr>
      <w:r>
        <w:rPr>
          <w:bCs/>
          <w:b/>
        </w:rPr>
        <w:t xml:space="preserve">Figure</w:t>
      </w:r>
      <w:r>
        <w:rPr>
          <w:bCs/>
          <w:b/>
        </w:rPr>
        <w:t xml:space="preserve"> </w:t>
      </w:r>
      <w:r>
        <w:rPr>
          <w:bCs/>
          <w:b/>
        </w:rPr>
        <w:t xml:space="preserve">1</w:t>
      </w:r>
      <w:r>
        <w:rPr>
          <w:bCs/>
          <w:b/>
        </w:rPr>
        <w:t xml:space="preserve">. Symptom-specific recovery times in the ambulatory COVID-19 survey study.</w:t>
      </w:r>
    </w:p>
    <w:p>
      <w:pPr>
        <w:pStyle w:val="TextBody"/>
      </w:pPr>
      <w:r>
        <w:rPr>
          <w:iCs/>
          <w:i/>
        </w:rPr>
        <w:t xml:space="preserve">Symptom-specific recovery times were calculated for each participant of the survey study cohorts (Austria: AT, Italy: IT).</w:t>
      </w:r>
    </w:p>
    <w:p>
      <w:pPr>
        <w:pStyle w:val="TextBody"/>
      </w:pPr>
      <w:r>
        <w:rPr>
          <w:iCs/>
          <w:i/>
        </w:rPr>
        <w:t xml:space="preserve">(a) Distribution of the recovery times in the individuals with the indicated symptoms present during acute COVID-19 (first 14 days after clinical onset). Diamonds represent median recovery times, tinted ellipses code for interquartile ranges. Numbers of complete observations are indicated in the plot captions.</w:t>
      </w:r>
    </w:p>
    <w:p>
      <w:pPr>
        <w:pStyle w:val="TextBody"/>
      </w:pPr>
      <w:r>
        <w:rPr>
          <w:iCs/>
          <w:i/>
        </w:rPr>
        <w:t xml:space="preserve">(b) Percentages of individuals with self-reported olfactory dysfunction and taste disorders in the AT and IT survey study cohorts at particular time points after clinical onset. Numbers of complete observations are indicated under the plots.</w:t>
      </w:r>
    </w:p>
    <w:p>
      <w:pPr>
        <w:pStyle w:val="TextBody"/>
      </w:pPr>
      <w:r>
        <w:rPr>
          <w:iCs/>
          <w:i/>
        </w:rPr>
        <w:t xml:space="preserve">OD: self-reported olfactory dysfunction; Imp. concentration: impaired concentration; Dim. appetite: diminished appetite; Imp. walk: impaired walk; Imp. FMS: impaired fine-motor skills.</w:t>
      </w:r>
    </w:p>
    <w:p>
      <w:r>
        <w:br w:type="page"/>
      </w:r>
    </w:p>
    <w:p>
      <w:pPr>
        <w:pStyle w:val="CaptionedFigure"/>
      </w:pPr>
      <w:r>
        <w:drawing>
          <wp:inline>
            <wp:extent cx="5943600" cy="5943600"/>
            <wp:effectExtent b="0" l="0" r="0" t="0"/>
            <wp:docPr descr="Figure 2: Rates of subjective and objective hyposmia in the CovILD cohort two months and one year after COVID-19." title="" id="25" name="Picture"/>
            <a:graphic>
              <a:graphicData uri="http://schemas.openxmlformats.org/drawingml/2006/picture">
                <pic:pic>
                  <pic:nvPicPr>
                    <pic:cNvPr descr="C:\Users\piotr\Desktop\hyposmia%20revised\paper\figures_and_tables_files/figure-docx/fig-sniff-test-1.png" id="26" name="Picture"/>
                    <pic:cNvPicPr>
                      <a:picLocks noChangeArrowheads="1" noChangeAspect="1"/>
                    </pic:cNvPicPr>
                  </pic:nvPicPr>
                  <pic:blipFill>
                    <a:blip r:embed="rId24"/>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2: Rates of subjective and objective hyposmia in the CovILD cohort two months and one year after COVID-19.</w:t>
      </w:r>
    </w:p>
    <w:p>
      <w:pPr>
        <w:pStyle w:val="TextBody"/>
      </w:pPr>
      <w:r>
        <w:rPr>
          <w:bCs/>
          <w:b/>
        </w:rPr>
        <w:t xml:space="preserve">Figure</w:t>
      </w:r>
      <w:r>
        <w:rPr>
          <w:bCs/>
          <w:b/>
        </w:rPr>
        <w:t xml:space="preserve"> </w:t>
      </w:r>
      <w:r>
        <w:rPr>
          <w:bCs/>
          <w:b/>
        </w:rPr>
        <w:t xml:space="preserve">2</w:t>
      </w:r>
      <w:r>
        <w:rPr>
          <w:bCs/>
          <w:b/>
        </w:rPr>
        <w:t xml:space="preserve">. Rates of subjective and objective hyposmia in the CovILD cohort two months and one year after COVID-19.</w:t>
      </w:r>
    </w:p>
    <w:p>
      <w:pPr>
        <w:pStyle w:val="TextBody"/>
      </w:pPr>
      <w:r>
        <w:rPr>
          <w:iCs/>
          <w:i/>
        </w:rPr>
        <w:t xml:space="preserve">Objective olfactory dysfunction (OD) was diagnosed in CovILD study participants with &lt; 13 correctly identified odorants in the 16-item Sniffin’ Sticks Identification Test. Frequencies of objective and self-reported olfactory dysfunction were compared at the three-month (a) and one-year follow-up (b) after COVID-19 in the entire cohort and the ambulatory (A), hospitalized moderate COVID-19 (HM) and hospitalized severe COVID-19 (HS) subset of the cohort. Concordance between the self-reported and objective olfactory dysfunction was assessed by Cohen’s</w:t>
      </w:r>
      <w:r>
        <w:rPr>
          <w:iCs/>
          <w:i/>
        </w:rPr>
        <w:t xml:space="preserve"> </w:t>
      </w:r>
      <m:oMath>
        <m:r>
          <m:t>κ</m:t>
        </m:r>
      </m:oMath>
      <w:r>
        <w:rPr>
          <w:iCs/>
          <w:i/>
        </w:rPr>
        <w:t xml:space="preserve"> </w:t>
      </w:r>
      <w:r>
        <w:rPr>
          <w:iCs/>
          <w:i/>
        </w:rPr>
        <w:t xml:space="preserve">inter-rater reliability statistic. Percentages of individuals with self-reported and objective hyposmia within the cohort or COVID-19 severity strata are presented in bar plots. Cohen’s</w:t>
      </w:r>
      <w:r>
        <w:rPr>
          <w:iCs/>
          <w:i/>
        </w:rPr>
        <w:t xml:space="preserve"> </w:t>
      </w:r>
      <m:oMath>
        <m:r>
          <m:t>κ</m:t>
        </m:r>
      </m:oMath>
      <w:r>
        <w:rPr>
          <w:iCs/>
          <w:i/>
        </w:rPr>
        <w:t xml:space="preserve"> </w:t>
      </w:r>
      <w:r>
        <w:rPr>
          <w:iCs/>
          <w:i/>
        </w:rPr>
        <w:t xml:space="preserve">with 95% confidence intervals (CI) are displayed in Forest plots.</w:t>
      </w:r>
    </w:p>
    <w:p>
      <w:r>
        <w:br w:type="page"/>
      </w:r>
    </w:p>
    <w:p>
      <w:pPr>
        <w:pStyle w:val="CaptionedFigure"/>
      </w:pPr>
      <w:r>
        <w:drawing>
          <wp:inline>
            <wp:extent cx="5943600" cy="5943600"/>
            <wp:effectExtent b="0" l="0" r="0" t="0"/>
            <wp:docPr descr="Figure 3: Self-reported olfactory dysfunction and taste disorders are isolated persistent symptoms of COVID-19." title="" id="28" name="Picture"/>
            <a:graphic>
              <a:graphicData uri="http://schemas.openxmlformats.org/drawingml/2006/picture">
                <pic:pic>
                  <pic:nvPicPr>
                    <pic:cNvPr descr="C:\Users\piotr\Desktop\hyposmia%20revised\paper\figures_and_tables_files/figure-docx/fig-sympt-mds-1.png" id="29" name="Picture"/>
                    <pic:cNvPicPr>
                      <a:picLocks noChangeArrowheads="1" noChangeAspect="1"/>
                    </pic:cNvPicPr>
                  </pic:nvPicPr>
                  <pic:blipFill>
                    <a:blip r:embed="rId27"/>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3: Self-reported olfactory dysfunction and taste disorders are isolated persistent symptoms of COVID-19.</w:t>
      </w:r>
    </w:p>
    <w:p>
      <w:pPr>
        <w:pStyle w:val="TextBody"/>
      </w:pPr>
      <w:r>
        <w:rPr>
          <w:bCs/>
          <w:b/>
        </w:rPr>
        <w:t xml:space="preserve">Figure</w:t>
      </w:r>
      <w:r>
        <w:rPr>
          <w:bCs/>
          <w:b/>
        </w:rPr>
        <w:t xml:space="preserve"> </w:t>
      </w:r>
      <w:r>
        <w:rPr>
          <w:bCs/>
          <w:b/>
        </w:rPr>
        <w:t xml:space="preserve">3</w:t>
      </w:r>
      <w:r>
        <w:rPr>
          <w:bCs/>
          <w:b/>
        </w:rPr>
        <w:t xml:space="preserve">. Self-reported olfactory dysfunction and taste disorders are isolated persistent symptoms of COVID-19.</w:t>
      </w:r>
    </w:p>
    <w:p>
      <w:pPr>
        <w:pStyle w:val="TextBody"/>
      </w:pPr>
      <w:r>
        <w:rPr>
          <w:iCs/>
          <w:i/>
        </w:rPr>
        <w:t xml:space="preserve">Symptom data during at 28 days (a) and 3 months (b) after clinical onset in the Austria (AT) and Italy (IT) survey study cohorts were subjected to two-dimensional multi-dimensional scaling (MDS) with simple matching distance (SMD) between the symptoms. MDS coordinates are presented in scatter plots. Selected data points are labeled with the symptom names. Percentages of the data set variance associated with the MDS dimensions are indicated in the plot axes. Numbers of complete observations are indicated in the plot captions.</w:t>
      </w:r>
    </w:p>
    <w:p>
      <w:pPr>
        <w:pStyle w:val="TextBody"/>
      </w:pPr>
      <w:r>
        <w:rPr>
          <w:iCs/>
          <w:i/>
        </w:rPr>
        <w:t xml:space="preserve">OD: self-reported olfactory dysfunction; Imp. concentration: impaired concentration.</w:t>
      </w:r>
    </w:p>
    <w:p>
      <w:r>
        <w:br w:type="page"/>
      </w:r>
    </w:p>
    <w:p>
      <w:pPr>
        <w:pStyle w:val="CaptionedFigure"/>
      </w:pPr>
      <w:r>
        <w:drawing>
          <wp:inline>
            <wp:extent cx="5943600" cy="5943600"/>
            <wp:effectExtent b="0" l="0" r="0" t="0"/>
            <wp:docPr descr="Figure 4: Differing duration of neurocognitive and respiratory symptoms, fatigue, olfactory dysfunction and taste disorders defines the COVID-19 recovery clusters." title="" id="31" name="Picture"/>
            <a:graphic>
              <a:graphicData uri="http://schemas.openxmlformats.org/drawingml/2006/picture">
                <pic:pic>
                  <pic:nvPicPr>
                    <pic:cNvPr descr="C:\Users\piotr\Desktop\hyposmia%20revised\paper\figures_and_tables_files/figure-docx/fig-sympt-clusters-1.png" id="32" name="Picture"/>
                    <pic:cNvPicPr>
                      <a:picLocks noChangeArrowheads="1" noChangeAspect="1"/>
                    </pic:cNvPicPr>
                  </pic:nvPicPr>
                  <pic:blipFill>
                    <a:blip r:embed="rId3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4: Differing duration of neurocognitive and respiratory symptoms, fatigue, olfactory dysfunction and taste disorders defines the COVID-19 recovery clusters.</w:t>
      </w:r>
    </w:p>
    <w:p>
      <w:pPr>
        <w:pStyle w:val="TextBody"/>
      </w:pPr>
      <w:r>
        <w:rPr>
          <w:bCs/>
          <w:b/>
        </w:rPr>
        <w:t xml:space="preserve">Figure</w:t>
      </w:r>
      <w:r>
        <w:rPr>
          <w:bCs/>
          <w:b/>
        </w:rPr>
        <w:t xml:space="preserve"> </w:t>
      </w:r>
      <w:r>
        <w:rPr>
          <w:bCs/>
          <w:b/>
        </w:rPr>
        <w:t xml:space="preserve">4</w:t>
      </w:r>
      <w:r>
        <w:rPr>
          <w:bCs/>
          <w:b/>
        </w:rPr>
        <w:t xml:space="preserve">. Differing duration of neurocognitive and respiratory symptoms, fatigue, olfactory dysfunction and taste disorders defines the COVID-19 recovery clusters.</w:t>
      </w:r>
    </w:p>
    <w:p>
      <w:pPr>
        <w:pStyle w:val="TextBody"/>
      </w:pPr>
      <w:r>
        <w:rPr>
          <w:iCs/>
          <w:i/>
        </w:rPr>
        <w:t xml:space="preserve">Clustering of the survey study participants in respect to symptom-specific recovery times was done by semi-supervised PAM algorithm (partitioning around medoids, Euclidean distance, training cohort: Austria [AT], test cohort: Italy [IT]). Mean recovery times in the recovery clusters are presented as lines, 2</w:t>
      </w:r>
      <w:r>
        <w:rPr>
          <w:iCs/>
          <w:i/>
        </w:rPr>
        <w:t xml:space="preserve"> </w:t>
      </w:r>
      <m:oMath>
        <m:r>
          <m:rPr>
            <m:sty m:val="p"/>
          </m:rPr>
          <m:t>×</m:t>
        </m:r>
      </m:oMath>
      <w:r>
        <w:rPr>
          <w:iCs/>
          <w:i/>
        </w:rPr>
        <w:t xml:space="preserve"> </w:t>
      </w:r>
      <w:r>
        <w:rPr>
          <w:iCs/>
          <w:i/>
        </w:rPr>
        <w:t xml:space="preserve">SEM intervals are displayed as tinted regions. Numbers of individuals assigned to the recovery clusters are indicated in the plot captions.</w:t>
      </w:r>
    </w:p>
    <w:p>
      <w:pPr>
        <w:pStyle w:val="TextBody"/>
      </w:pPr>
      <w:r>
        <w:rPr>
          <w:iCs/>
          <w:i/>
        </w:rPr>
        <w:t xml:space="preserve">OD: self-reported olfactory dysfunction; Dim. appetite: diminished appetite; Imp. concentration: impaired concentration; Imp. walk: impaired walk; Imp. FMS: impaired fine motor skills.</w:t>
      </w:r>
    </w:p>
    <w:p>
      <w:r>
        <w:br w:type="page"/>
      </w:r>
    </w:p>
    <w:p>
      <w:pPr>
        <w:pStyle w:val="CaptionedFigure"/>
      </w:pPr>
      <w:r>
        <w:drawing>
          <wp:inline>
            <wp:extent cx="5943600" cy="7264866"/>
            <wp:effectExtent b="0" l="0" r="0" t="0"/>
            <wp:docPr descr="Figure 5: Physical and mental health, and quality of life in the COVID-19 recovery clusters" title="" id="34" name="Picture"/>
            <a:graphic>
              <a:graphicData uri="http://schemas.openxmlformats.org/drawingml/2006/picture">
                <pic:pic>
                  <pic:nvPicPr>
                    <pic:cNvPr descr="C:\Users\piotr\Desktop\hyposmia%20revised\paper\figures_and_tables_files/figure-docx/fig-recovery-clusters-1.png" id="35" name="Picture"/>
                    <pic:cNvPicPr>
                      <a:picLocks noChangeArrowheads="1" noChangeAspect="1"/>
                    </pic:cNvPicPr>
                  </pic:nvPicPr>
                  <pic:blipFill>
                    <a:blip r:embed="rId33"/>
                    <a:stretch>
                      <a:fillRect/>
                    </a:stretch>
                  </pic:blipFill>
                  <pic:spPr bwMode="auto">
                    <a:xfrm>
                      <a:off x="0" y="0"/>
                      <a:ext cx="5943600" cy="7264866"/>
                    </a:xfrm>
                    <a:prstGeom prst="rect">
                      <a:avLst/>
                    </a:prstGeom>
                    <a:noFill/>
                    <a:ln w="9525">
                      <a:noFill/>
                      <a:headEnd/>
                      <a:tailEnd/>
                    </a:ln>
                  </pic:spPr>
                </pic:pic>
              </a:graphicData>
            </a:graphic>
          </wp:inline>
        </w:drawing>
      </w:r>
    </w:p>
    <w:p>
      <w:pPr>
        <w:pStyle w:val="ImageCaption"/>
      </w:pPr>
      <w:r>
        <w:t xml:space="preserve">Figure 5: Physical and mental health, and quality of life in the COVID-19 recovery clusters</w:t>
      </w:r>
    </w:p>
    <w:p>
      <w:pPr>
        <w:pStyle w:val="TextBody"/>
      </w:pPr>
      <w:r>
        <w:rPr>
          <w:bCs/>
          <w:b/>
        </w:rPr>
        <w:t xml:space="preserve">Figure</w:t>
      </w:r>
      <w:r>
        <w:rPr>
          <w:bCs/>
          <w:b/>
        </w:rPr>
        <w:t xml:space="preserve"> </w:t>
      </w:r>
      <w:r>
        <w:rPr>
          <w:bCs/>
          <w:b/>
        </w:rPr>
        <w:t xml:space="preserve">5</w:t>
      </w:r>
      <w:r>
        <w:rPr>
          <w:bCs/>
          <w:b/>
        </w:rPr>
        <w:t xml:space="preserve">. Physical and mental health, and quality of life in the COVID-19 recovery clusters</w:t>
      </w:r>
    </w:p>
    <w:p>
      <w:pPr>
        <w:pStyle w:val="TextBody"/>
      </w:pPr>
      <w:r>
        <w:rPr>
          <w:iCs/>
          <w:i/>
        </w:rPr>
        <w:t xml:space="preserve">Clustering of the survey study participants in respect to symptom-specific recovery times was done by the semi-supervised PAM algorithm (partitioning around medoids, Euclidean distance, training cohort: Austria [AT], test cohort: Italy [IT]). Minimum/maximum scaled readouts of clinical and physical recovery, mental health and quality of life at the time of survey completion in the clusters in the Austria (AT) and Italy (IT) survey study cohorts are presented. Dichotomous items (incomplete convalescence, weight loss, new medication and need for rehabilitation) were binarized (yes: 1, no: 0) prior to visualization. Statistical significance for differences between the clusters was assessed by Kruskal-Wallis with</w:t>
      </w:r>
      <w:r>
        <w:rPr>
          <w:iCs/>
          <w:i/>
        </w:rPr>
        <w:t xml:space="preserve"> </w:t>
      </w:r>
      <m:oMath>
        <m:sSup>
          <m:e>
            <m:r>
              <m:t>η</m:t>
            </m:r>
          </m:e>
          <m:sup>
            <m:r>
              <m:t>2</m:t>
            </m:r>
          </m:sup>
        </m:sSup>
      </m:oMath>
      <w:r>
        <w:rPr>
          <w:iCs/>
          <w:i/>
        </w:rPr>
        <w:t xml:space="preserve"> </w:t>
      </w:r>
      <w:r>
        <w:rPr>
          <w:iCs/>
          <w:i/>
        </w:rPr>
        <w:t xml:space="preserve">effect size statistic (numeric variables) or</w:t>
      </w:r>
      <w:r>
        <w:rPr>
          <w:iCs/>
          <w:i/>
        </w:rPr>
        <w:t xml:space="preserve"> </w:t>
      </w:r>
      <m:oMath>
        <m:sSup>
          <m:e>
            <m:r>
              <m:t>χ</m:t>
            </m:r>
          </m:e>
          <m:sup>
            <m:r>
              <m:t>2</m:t>
            </m:r>
          </m:sup>
        </m:sSup>
      </m:oMath>
      <w:r>
        <w:rPr>
          <w:iCs/>
          <w:i/>
        </w:rPr>
        <w:t xml:space="preserve"> </w:t>
      </w:r>
      <w:r>
        <w:rPr>
          <w:iCs/>
          <w:i/>
        </w:rPr>
        <w:t xml:space="preserve">test with Cramer V effect size statistic (categorical variables). P values were corrected for multiple testing with Benjamini-Hochberg method. Lines represent mean values, 2</w:t>
      </w:r>
      <w:r>
        <w:rPr>
          <w:iCs/>
          <w:i/>
        </w:rPr>
        <w:t xml:space="preserve"> </w:t>
      </w:r>
      <m:oMath>
        <m:r>
          <m:rPr>
            <m:sty m:val="p"/>
          </m:rPr>
          <m:t>×</m:t>
        </m:r>
      </m:oMath>
      <w:r>
        <w:rPr>
          <w:iCs/>
          <w:i/>
        </w:rPr>
        <w:t xml:space="preserve"> </w:t>
      </w:r>
      <w:r>
        <w:rPr>
          <w:iCs/>
          <w:i/>
        </w:rPr>
        <w:t xml:space="preserve">SEM intervals are displayed as tinted regions. Effect sizes and p values are shown in the plots. Numbers of individuals assigned to the recovery clusters are indicated in the plot legends.</w:t>
      </w:r>
    </w:p>
    <w:p>
      <w:pPr>
        <w:pStyle w:val="TextBody"/>
      </w:pPr>
      <w:r>
        <w:rPr>
          <w:iCs/>
          <w:i/>
        </w:rPr>
        <w:t xml:space="preserve">incomplete recovery: self-reported incomplete recovery; # persist. symptoms: number of symptoms at 28 days after clinical onset; phys. performance loss: physical performance loss as compared with the time before COVID-19; QoL impairment score: score of impaired quality of life; OMH impairment score: overall mental health impairment score; ANX score: anxiety score, Patient Health Questionnaire, PHQ-4; DPR: depression score, Patient Health Questionnaire, PHQ-4; stress score: mental stress score, 7 item PHQ stress module.</w:t>
      </w:r>
    </w:p>
    <w:bookmarkEnd w:id="36"/>
    <w:sectPr>
      <w:footerReference r:id="rId9" w:type="default"/>
      <w:footnotePr>
        <w:numFmt w:val="decimal"/>
      </w:footnotePr>
      <w:type w:val="nextPage"/>
      <w:pgSz w:h="15840" w:w="12240"/>
      <w:pgMar w:bottom="2204" w:footer="1440" w:gutter="0" w:header="0" w:left="1440" w:right="1440" w:top="1440"/>
      <w:pgNumType w:fmt="decimal"/>
      <w:formProt w:val="false"/>
      <w:textDirection w:val="lrTb"/>
      <w:docGrid w:charSpace="0" w:linePitch="100" w:type="default"/>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spacing w:before="0" w:after="200"/>
      <w:rPr/>
    </w:pPr>
    <w:r>
      <w:rPr/>
      <w:fldChar w:fldCharType="begin"/>
    </w:r>
    <w:r>
      <w:rPr/>
      <w:instrText> PAGE </w:instrText>
    </w:r>
    <w:r>
      <w:rPr/>
      <w:fldChar w:fldCharType="separate"/>
    </w:r>
    <w:r>
      <w:rPr/>
      <w:t>2</w:t>
    </w:r>
    <w:r>
      <w:rP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drawingGridHorizontalSpacing w:val="360"/>
  <w:drawingGridVerticalSpacing w:val="360"/>
  <w:displayHorizontalDrawingGridEvery w:val="0"/>
  <w:displayVerticalDrawingGridEvery w:val="0"/>
  <w:characterSpacingControl w:val="doNotCompress"/>
  <w:savePreviewPicture/>
  <w:rsids>
  </w:rsids>
  <m:mathPr>
    <m:mathFont m:val="Cambria Math"/>
    <m:brkBin m:val="before"/>
    <m:brkBinSub m:val="--"/>
    <m:smallFrac m:val="0"/>
    <m:dispDef/>
    <m:lMargin m:val="0"/>
    <m:rMargin m:val="0"/>
    <m:wrapRight/>
    <m:intLim m:val="subSup"/>
    <m:naryLim m:val="undOvr"/>
  </m:mathPr>
  <w:clrSchemeMapping w:accent1="accent1" w:accent2="accent2" w:accent3="accent3" w:accent4="accent4" w:accent5="accent5" w:accent6="accent6" w:bg1="light1" w:bg2="light2" w:followedHyperlink="followedHyperlink" w:hyperlink="hyperlink" w:t1="dark1" w:t2="dark2"/>
  <w:decimalSymbol w:val="."/>
  <w:listSeparator w:val=","/>
  <w:zoom w:percent="90"/>
  <w:embedSystemFonts/>
  <w:defaultTabStop w:val="720"/>
  <w:autoHyphenation w:val="true"/>
  <w:compat>
    <w:compatSetting w:name="compatibilityMode" w:uri="http://schemas.microsoft.com/office/word" w:val="12"/>
  </w:compat>
  <w:themeFontLang w:bidi="" w:eastAsia="" w:val="en-US"/>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mbria" w:asciiTheme="minorHAnsi" w:cs="" w:cstheme="minorBidi" w:eastAsia="Cambria" w:eastAsiaTheme="minorHAnsi" w:hAnsi="Cambria" w:hAnsiTheme="minorHAnsi"/>
        <w:sz w:val="24"/>
        <w:szCs w:val="24"/>
        <w:lang w:bidi="ar-SA" w:eastAsia="en-US" w:val="en-US"/>
      </w:rPr>
    </w:rPrDefault>
    <w:pPrDefault>
      <w:pPr>
        <w:suppressAutoHyphens w:val="true"/>
      </w:pPr>
    </w:pPrDefault>
  </w:docDefaults>
  <w:latentStyles w:count="276" w:defLockedState="0" w:defQFormat="0" w:defSemiHidden="0" w:defUIPriority="0" w:defUnhideWhenUsed="0"/>
  <w:style w:default="1" w:styleId="Normal" w:type="paragraph">
    <w:name w:val="Normal"/>
    <w:qFormat/>
    <w:pPr>
      <w:widowControl/>
      <w:suppressAutoHyphens w:val="true"/>
      <w:bidi w:val="0"/>
      <w:spacing w:after="200" w:before="0"/>
      <w:jc w:val="left"/>
    </w:pPr>
    <w:rPr>
      <w:rFonts w:ascii="Cambria" w:asciiTheme="minorHAnsi" w:cs="" w:cstheme="minorBidi" w:eastAsia="Cambria" w:eastAsiaTheme="minorHAnsi" w:hAnsi="Cambria" w:hAnsiTheme="minorHAnsi"/>
      <w:color w:val="auto"/>
      <w:kern w:val="0"/>
      <w:sz w:val="24"/>
      <w:szCs w:val="24"/>
      <w:lang w:bidi="ar-SA" w:eastAsia="en-US" w:val="en-US"/>
    </w:rPr>
  </w:style>
  <w:style w:styleId="Heading1" w:type="paragraph">
    <w:name w:val="Heading 1"/>
    <w:basedOn w:val="Normal"/>
    <w:next w:val="TextBody"/>
    <w:uiPriority w:val="9"/>
    <w:qFormat/>
    <w:pPr>
      <w:keepNext w:val="true"/>
      <w:keepLines/>
      <w:spacing w:after="202" w:before="475" w:line="240" w:lineRule="auto"/>
      <w:outlineLvl w:val="0"/>
    </w:pPr>
    <w:rPr>
      <w:rFonts w:ascii="Calibri" w:asciiTheme="majorHAnsi" w:cs="" w:cstheme="majorBidi" w:eastAsia="" w:eastAsiaTheme="majorEastAsia" w:hAnsi="Calibri" w:hAnsiTheme="majorHAnsi"/>
      <w:b/>
      <w:bCs/>
      <w:color w:themeColor="accent1" w:themeShade="b5" w:val="345A8A"/>
      <w:sz w:val="32"/>
      <w:szCs w:val="32"/>
    </w:rPr>
  </w:style>
  <w:style w:styleId="Heading2" w:type="paragraph">
    <w:name w:val="Heading 2"/>
    <w:basedOn w:val="Normal"/>
    <w:next w:val="TextBody"/>
    <w:uiPriority w:val="9"/>
    <w:unhideWhenUsed/>
    <w:qFormat/>
    <w:pPr>
      <w:keepNext w:val="true"/>
      <w:keepLines/>
      <w:spacing w:after="202" w:before="202" w:line="240" w:lineRule="auto"/>
      <w:outlineLvl w:val="1"/>
    </w:pPr>
    <w:rPr>
      <w:rFonts w:ascii="Calibri" w:asciiTheme="majorHAnsi" w:cs="" w:cstheme="majorBidi" w:eastAsia="" w:eastAsiaTheme="majorEastAsia" w:hAnsi="Calibri" w:hAnsiTheme="majorHAnsi"/>
      <w:b/>
      <w:bCs/>
      <w:color w:themeColor="accent1" w:val="4F81BD"/>
      <w:sz w:val="28"/>
      <w:szCs w:val="28"/>
    </w:rPr>
  </w:style>
  <w:style w:styleId="Heading3" w:type="paragraph">
    <w:name w:val="Heading 3"/>
    <w:basedOn w:val="Normal"/>
    <w:next w:val="TextBody"/>
    <w:uiPriority w:val="9"/>
    <w:unhideWhenUsed/>
    <w:qFormat/>
    <w:pPr>
      <w:keepNext w:val="true"/>
      <w:keepLines/>
      <w:spacing w:after="202" w:before="202" w:line="240" w:lineRule="auto"/>
      <w:outlineLvl w:val="2"/>
    </w:pPr>
    <w:rPr>
      <w:rFonts w:ascii="Calibri" w:asciiTheme="majorHAnsi" w:cs="" w:cstheme="majorBidi" w:eastAsia="" w:eastAsiaTheme="majorEastAsia" w:hAnsi="Calibri" w:hAnsiTheme="majorHAnsi"/>
      <w:b/>
      <w:bCs/>
      <w:color w:themeColor="accent1" w:val="4F81BD"/>
      <w:sz w:val="24"/>
      <w:szCs w:val="24"/>
    </w:rPr>
  </w:style>
  <w:style w:styleId="Heading4" w:type="paragraph">
    <w:name w:val="Heading 4"/>
    <w:basedOn w:val="Normal"/>
    <w:next w:val="TextBody"/>
    <w:uiPriority w:val="9"/>
    <w:unhideWhenUsed/>
    <w:qFormat/>
    <w:pPr>
      <w:keepNext w:val="true"/>
      <w:keepLines/>
      <w:spacing w:after="0" w:before="200"/>
      <w:outlineLvl w:val="3"/>
    </w:pPr>
    <w:rPr>
      <w:rFonts w:ascii="Calibri" w:asciiTheme="majorHAnsi" w:cs="" w:cstheme="majorBidi" w:eastAsia="" w:eastAsiaTheme="majorEastAsia" w:hAnsi="Calibri" w:hAnsiTheme="majorHAnsi"/>
      <w:b/>
      <w:bCs/>
      <w:color w:themeColor="accent1" w:val="4F81BD"/>
      <w:sz w:val="24"/>
      <w:szCs w:val="24"/>
    </w:rPr>
  </w:style>
  <w:style w:styleId="Heading5" w:type="paragraph">
    <w:name w:val="Heading 5"/>
    <w:basedOn w:val="Normal"/>
    <w:next w:val="TextBody"/>
    <w:uiPriority w:val="9"/>
    <w:unhideWhenUsed/>
    <w:qFormat/>
    <w:pPr>
      <w:keepNext w:val="true"/>
      <w:keepLines/>
      <w:spacing w:after="0" w:before="200"/>
      <w:outlineLvl w:val="4"/>
    </w:pPr>
    <w:rPr>
      <w:rFonts w:ascii="Calibri" w:asciiTheme="majorHAnsi" w:cs="" w:cstheme="majorBidi" w:eastAsia="" w:eastAsiaTheme="majorEastAsia" w:hAnsi="Calibri" w:hAnsiTheme="majorHAnsi"/>
      <w:i/>
      <w:iCs/>
      <w:color w:themeColor="accent1" w:val="4F81BD"/>
      <w:sz w:val="24"/>
      <w:szCs w:val="24"/>
    </w:rPr>
  </w:style>
  <w:style w:styleId="Heading6" w:type="paragraph">
    <w:name w:val="Heading 6"/>
    <w:basedOn w:val="Normal"/>
    <w:next w:val="TextBody"/>
    <w:uiPriority w:val="9"/>
    <w:unhideWhenUsed/>
    <w:qFormat/>
    <w:pPr>
      <w:keepNext w:val="true"/>
      <w:keepLines/>
      <w:spacing w:after="0" w:before="200"/>
      <w:outlineLvl w:val="5"/>
    </w:pPr>
    <w:rPr>
      <w:rFonts w:ascii="Calibri" w:asciiTheme="majorHAnsi" w:cs="" w:cstheme="majorBidi" w:eastAsia="" w:eastAsiaTheme="majorEastAsia" w:hAnsi="Calibri" w:hAnsiTheme="majorHAnsi"/>
      <w:color w:themeColor="accent1" w:val="4F81BD"/>
      <w:sz w:val="24"/>
      <w:szCs w:val="24"/>
    </w:rPr>
  </w:style>
  <w:style w:styleId="Heading7" w:type="paragraph">
    <w:name w:val="Heading 7"/>
    <w:basedOn w:val="Normal"/>
    <w:next w:val="TextBody"/>
    <w:uiPriority w:val="9"/>
    <w:unhideWhenUsed/>
    <w:qFormat/>
    <w:pPr>
      <w:keepNext w:val="true"/>
      <w:keepLines/>
      <w:spacing w:after="0" w:before="200"/>
      <w:outlineLvl w:val="6"/>
    </w:pPr>
    <w:rPr>
      <w:rFonts w:ascii="Calibri" w:asciiTheme="majorHAnsi" w:cs="" w:cstheme="majorBidi" w:eastAsia="" w:eastAsiaTheme="majorEastAsia" w:hAnsi="Calibri" w:hAnsiTheme="majorHAnsi"/>
      <w:color w:themeColor="accent1" w:val="4F81BD"/>
      <w:sz w:val="24"/>
      <w:szCs w:val="24"/>
    </w:rPr>
  </w:style>
  <w:style w:styleId="Heading8" w:type="paragraph">
    <w:name w:val="Heading 8"/>
    <w:basedOn w:val="Normal"/>
    <w:next w:val="TextBody"/>
    <w:uiPriority w:val="9"/>
    <w:unhideWhenUsed/>
    <w:qFormat/>
    <w:pPr>
      <w:keepNext w:val="true"/>
      <w:keepLines/>
      <w:spacing w:after="0" w:before="200"/>
      <w:outlineLvl w:val="7"/>
    </w:pPr>
    <w:rPr>
      <w:rFonts w:ascii="Calibri" w:asciiTheme="majorHAnsi" w:cs="" w:cstheme="majorBidi" w:eastAsia="" w:eastAsiaTheme="majorEastAsia" w:hAnsi="Calibri" w:hAnsiTheme="majorHAnsi"/>
      <w:color w:themeColor="accent1" w:val="4F81BD"/>
      <w:sz w:val="24"/>
      <w:szCs w:val="24"/>
    </w:rPr>
  </w:style>
  <w:style w:styleId="Heading9" w:type="paragraph">
    <w:name w:val="Heading 9"/>
    <w:basedOn w:val="Normal"/>
    <w:next w:val="TextBody"/>
    <w:uiPriority w:val="9"/>
    <w:unhideWhenUsed/>
    <w:qFormat/>
    <w:pPr>
      <w:keepNext w:val="true"/>
      <w:keepLines/>
      <w:spacing w:after="0" w:before="200"/>
      <w:outlineLvl w:val="8"/>
    </w:pPr>
    <w:rPr>
      <w:rFonts w:ascii="Calibri" w:asciiTheme="majorHAnsi" w:cs="" w:cstheme="majorBidi" w:eastAsia="" w:eastAsiaTheme="majorEastAsia" w:hAnsi="Calibri" w:hAnsiTheme="majorHAnsi"/>
      <w:color w:themeColor="accent1" w:val="4F81BD"/>
      <w:sz w:val="24"/>
      <w:szCs w:val="24"/>
    </w:rPr>
  </w:style>
  <w:style w:default="1" w:styleId="DefaultParagraphFont" w:type="character">
    <w:name w:val="Default Paragraph Font"/>
    <w:semiHidden/>
    <w:unhideWhenUsed/>
    <w:qFormat/>
    <w:rPr/>
  </w:style>
  <w:style w:customStyle="1" w:styleId="BodyTextChar" w:type="character">
    <w:name w:val="Body Text Char"/>
    <w:basedOn w:val="DefaultParagraphFont"/>
    <w:link w:val="BodyText"/>
    <w:qFormat/>
    <w:rPr/>
  </w:style>
  <w:style w:customStyle="1" w:styleId="VerbatimChar" w:type="character">
    <w:name w:val="Verbatim Char"/>
    <w:basedOn w:val="BodyTextChar"/>
    <w:qFormat/>
    <w:rPr>
      <w:rFonts w:ascii="Consolas" w:hAnsi="Consolas"/>
      <w:color w:val="127622"/>
      <w:sz w:val="22"/>
    </w:rPr>
  </w:style>
  <w:style w:styleId="FootnoteCharacters" w:type="character">
    <w:name w:val="Footnote Characters"/>
    <w:basedOn w:val="BodyTextChar"/>
    <w:qFormat/>
    <w:rPr>
      <w:vertAlign w:val="superscript"/>
    </w:rPr>
  </w:style>
  <w:style w:styleId="FootnoteAnchor" w:type="character">
    <w:name w:val="Footnote Anchor"/>
    <w:rPr>
      <w:vertAlign w:val="superscript"/>
    </w:rPr>
  </w:style>
  <w:style w:styleId="InternetLink" w:type="character">
    <w:name w:val="Hyperlink"/>
    <w:basedOn w:val="BodyTextChar"/>
    <w:rPr>
      <w:color w:themeColor="accent1" w:val="4F81BD"/>
    </w:rPr>
  </w:style>
  <w:style w:customStyle="1" w:styleId="KeywordTok" w:type="character">
    <w:name w:val="KeywordTok"/>
    <w:basedOn w:val="VerbatimChar"/>
    <w:qFormat/>
    <w:rPr>
      <w:b/>
      <w:color w:val="204A87"/>
      <w:shd w:fill="F8F8F8" w:val="clear"/>
    </w:rPr>
  </w:style>
  <w:style w:customStyle="1" w:styleId="DataTypeTok" w:type="character">
    <w:name w:val="DataTypeTok"/>
    <w:basedOn w:val="VerbatimChar"/>
    <w:qFormat/>
    <w:rPr>
      <w:color w:val="204A87"/>
      <w:shd w:fill="F8F8F8" w:val="clear"/>
    </w:rPr>
  </w:style>
  <w:style w:customStyle="1" w:styleId="DecValTok" w:type="character">
    <w:name w:val="DecValTok"/>
    <w:basedOn w:val="VerbatimChar"/>
    <w:qFormat/>
    <w:rPr>
      <w:color w:val="0000CF"/>
      <w:shd w:fill="F8F8F8" w:val="clear"/>
    </w:rPr>
  </w:style>
  <w:style w:customStyle="1" w:styleId="BaseNTok" w:type="character">
    <w:name w:val="BaseNTok"/>
    <w:basedOn w:val="VerbatimChar"/>
    <w:qFormat/>
    <w:rPr>
      <w:color w:val="0000CF"/>
      <w:shd w:fill="F8F8F8" w:val="clear"/>
    </w:rPr>
  </w:style>
  <w:style w:customStyle="1" w:styleId="FloatTok" w:type="character">
    <w:name w:val="FloatTok"/>
    <w:basedOn w:val="VerbatimChar"/>
    <w:qFormat/>
    <w:rPr>
      <w:color w:val="0000CF"/>
      <w:shd w:fill="F8F8F8" w:val="clear"/>
    </w:rPr>
  </w:style>
  <w:style w:customStyle="1" w:styleId="ConstantTok" w:type="character">
    <w:name w:val="ConstantTok"/>
    <w:basedOn w:val="VerbatimChar"/>
    <w:qFormat/>
    <w:rPr>
      <w:color w:val="000000"/>
      <w:shd w:fill="F8F8F8" w:val="clear"/>
    </w:rPr>
  </w:style>
  <w:style w:customStyle="1" w:styleId="CharTok" w:type="character">
    <w:name w:val="CharTok"/>
    <w:basedOn w:val="VerbatimChar"/>
    <w:qFormat/>
    <w:rPr>
      <w:color w:val="4E9A06"/>
      <w:shd w:fill="F8F8F8" w:val="clear"/>
    </w:rPr>
  </w:style>
  <w:style w:customStyle="1" w:styleId="SpecialCharTok" w:type="character">
    <w:name w:val="SpecialCharTok"/>
    <w:basedOn w:val="VerbatimChar"/>
    <w:qFormat/>
    <w:rPr>
      <w:color w:val="000000"/>
      <w:shd w:fill="F8F8F8" w:val="clear"/>
    </w:rPr>
  </w:style>
  <w:style w:customStyle="1" w:styleId="StringTok" w:type="character">
    <w:name w:val="StringTok"/>
    <w:basedOn w:val="VerbatimChar"/>
    <w:qFormat/>
    <w:rPr>
      <w:color w:val="4E9A06"/>
      <w:shd w:fill="F8F8F8" w:val="clear"/>
    </w:rPr>
  </w:style>
  <w:style w:customStyle="1" w:styleId="VerbatimStringTok" w:type="character">
    <w:name w:val="VerbatimStringTok"/>
    <w:basedOn w:val="VerbatimChar"/>
    <w:qFormat/>
    <w:rPr>
      <w:color w:val="4E9A06"/>
      <w:shd w:fill="F8F8F8" w:val="clear"/>
    </w:rPr>
  </w:style>
  <w:style w:customStyle="1" w:styleId="SpecialStringTok" w:type="character">
    <w:name w:val="SpecialStringTok"/>
    <w:basedOn w:val="VerbatimChar"/>
    <w:qFormat/>
    <w:rPr>
      <w:color w:val="4E9A06"/>
      <w:shd w:fill="F8F8F8" w:val="clear"/>
    </w:rPr>
  </w:style>
  <w:style w:customStyle="1" w:styleId="ImportTok" w:type="character">
    <w:name w:val="ImportTok"/>
    <w:basedOn w:val="VerbatimChar"/>
    <w:qFormat/>
    <w:rPr>
      <w:shd w:fill="F8F8F8" w:val="clear"/>
    </w:rPr>
  </w:style>
  <w:style w:customStyle="1" w:styleId="CommentTok" w:type="character">
    <w:name w:val="CommentTok"/>
    <w:basedOn w:val="VerbatimChar"/>
    <w:qFormat/>
    <w:rPr>
      <w:i/>
      <w:color w:val="8F5902"/>
      <w:shd w:fill="F8F8F8" w:val="clear"/>
    </w:rPr>
  </w:style>
  <w:style w:customStyle="1" w:styleId="DocumentationTok" w:type="character">
    <w:name w:val="DocumentationTok"/>
    <w:basedOn w:val="VerbatimChar"/>
    <w:qFormat/>
    <w:rPr>
      <w:b/>
      <w:i/>
      <w:color w:val="8F5902"/>
      <w:shd w:fill="F8F8F8" w:val="clear"/>
    </w:rPr>
  </w:style>
  <w:style w:customStyle="1" w:styleId="AnnotationTok" w:type="character">
    <w:name w:val="AnnotationTok"/>
    <w:basedOn w:val="VerbatimChar"/>
    <w:qFormat/>
    <w:rPr>
      <w:b/>
      <w:i/>
      <w:color w:val="8F5902"/>
      <w:shd w:fill="F8F8F8" w:val="clear"/>
    </w:rPr>
  </w:style>
  <w:style w:customStyle="1" w:styleId="CommentVarTok" w:type="character">
    <w:name w:val="CommentVarTok"/>
    <w:basedOn w:val="VerbatimChar"/>
    <w:qFormat/>
    <w:rPr>
      <w:b/>
      <w:i/>
      <w:color w:val="8F5902"/>
      <w:shd w:fill="F8F8F8" w:val="clear"/>
    </w:rPr>
  </w:style>
  <w:style w:customStyle="1" w:styleId="OtherTok" w:type="character">
    <w:name w:val="OtherTok"/>
    <w:basedOn w:val="VerbatimChar"/>
    <w:qFormat/>
    <w:rPr>
      <w:color w:val="8F5902"/>
      <w:shd w:fill="F8F8F8" w:val="clear"/>
    </w:rPr>
  </w:style>
  <w:style w:customStyle="1" w:styleId="FunctionTok" w:type="character">
    <w:name w:val="FunctionTok"/>
    <w:basedOn w:val="VerbatimChar"/>
    <w:qFormat/>
    <w:rPr>
      <w:color w:val="000000"/>
      <w:shd w:fill="F8F8F8" w:val="clear"/>
    </w:rPr>
  </w:style>
  <w:style w:customStyle="1" w:styleId="VariableTok" w:type="character">
    <w:name w:val="VariableTok"/>
    <w:basedOn w:val="VerbatimChar"/>
    <w:qFormat/>
    <w:rPr>
      <w:color w:val="000000"/>
      <w:shd w:fill="F8F8F8" w:val="clear"/>
    </w:rPr>
  </w:style>
  <w:style w:customStyle="1" w:styleId="ControlFlowTok" w:type="character">
    <w:name w:val="ControlFlowTok"/>
    <w:basedOn w:val="VerbatimChar"/>
    <w:qFormat/>
    <w:rPr>
      <w:b/>
      <w:color w:val="204A87"/>
      <w:shd w:fill="F8F8F8" w:val="clear"/>
    </w:rPr>
  </w:style>
  <w:style w:customStyle="1" w:styleId="OperatorTok" w:type="character">
    <w:name w:val="OperatorTok"/>
    <w:basedOn w:val="VerbatimChar"/>
    <w:qFormat/>
    <w:rPr>
      <w:b/>
      <w:color w:val="CE5C00"/>
      <w:shd w:fill="F8F8F8" w:val="clear"/>
    </w:rPr>
  </w:style>
  <w:style w:customStyle="1" w:styleId="BuiltInTok" w:type="character">
    <w:name w:val="BuiltInTok"/>
    <w:basedOn w:val="VerbatimChar"/>
    <w:qFormat/>
    <w:rPr>
      <w:shd w:fill="F8F8F8" w:val="clear"/>
    </w:rPr>
  </w:style>
  <w:style w:customStyle="1" w:styleId="ExtensionTok" w:type="character">
    <w:name w:val="ExtensionTok"/>
    <w:basedOn w:val="VerbatimChar"/>
    <w:qFormat/>
    <w:rPr>
      <w:shd w:fill="F8F8F8" w:val="clear"/>
    </w:rPr>
  </w:style>
  <w:style w:customStyle="1" w:styleId="PreprocessorTok" w:type="character">
    <w:name w:val="PreprocessorTok"/>
    <w:basedOn w:val="VerbatimChar"/>
    <w:qFormat/>
    <w:rPr>
      <w:i/>
      <w:color w:val="8F5902"/>
      <w:shd w:fill="F8F8F8" w:val="clear"/>
    </w:rPr>
  </w:style>
  <w:style w:customStyle="1" w:styleId="AttributeTok" w:type="character">
    <w:name w:val="AttributeTok"/>
    <w:basedOn w:val="VerbatimChar"/>
    <w:qFormat/>
    <w:rPr>
      <w:color w:val="C4A000"/>
      <w:shd w:fill="F8F8F8" w:val="clear"/>
    </w:rPr>
  </w:style>
  <w:style w:customStyle="1" w:styleId="RegionMarkerTok" w:type="character">
    <w:name w:val="RegionMarkerTok"/>
    <w:basedOn w:val="VerbatimChar"/>
    <w:qFormat/>
    <w:rPr>
      <w:shd w:fill="F8F8F8" w:val="clear"/>
    </w:rPr>
  </w:style>
  <w:style w:customStyle="1" w:styleId="InformationTok" w:type="character">
    <w:name w:val="InformationTok"/>
    <w:basedOn w:val="VerbatimChar"/>
    <w:qFormat/>
    <w:rPr>
      <w:b/>
      <w:i/>
      <w:color w:val="8F5902"/>
      <w:shd w:fill="F8F8F8" w:val="clear"/>
    </w:rPr>
  </w:style>
  <w:style w:customStyle="1" w:styleId="WarningTok" w:type="character">
    <w:name w:val="WarningTok"/>
    <w:basedOn w:val="VerbatimChar"/>
    <w:qFormat/>
    <w:rPr>
      <w:b/>
      <w:i/>
      <w:color w:val="8F5902"/>
      <w:shd w:fill="F8F8F8" w:val="clear"/>
    </w:rPr>
  </w:style>
  <w:style w:customStyle="1" w:styleId="AlertTok" w:type="character">
    <w:name w:val="AlertTok"/>
    <w:basedOn w:val="VerbatimChar"/>
    <w:qFormat/>
    <w:rPr>
      <w:color w:val="EF2929"/>
      <w:shd w:fill="F8F8F8" w:val="clear"/>
    </w:rPr>
  </w:style>
  <w:style w:customStyle="1" w:styleId="ErrorTok" w:type="character">
    <w:name w:val="ErrorTok"/>
    <w:basedOn w:val="VerbatimChar"/>
    <w:qFormat/>
    <w:rPr>
      <w:b/>
      <w:color w:val="A40000"/>
      <w:shd w:fill="F8F8F8" w:val="clear"/>
    </w:rPr>
  </w:style>
  <w:style w:customStyle="1" w:styleId="NormalTok" w:type="character">
    <w:name w:val="NormalTok"/>
    <w:basedOn w:val="VerbatimChar"/>
    <w:qFormat/>
    <w:rPr>
      <w:shd w:fill="F8F8F8" w:val="clear"/>
    </w:rPr>
  </w:style>
  <w:style w:styleId="EndnoteAnchor" w:type="character">
    <w:name w:val="Endnote Anchor"/>
    <w:rPr>
      <w:vertAlign w:val="superscript"/>
    </w:rPr>
  </w:style>
  <w:style w:styleId="EndnoteCharacters" w:type="character">
    <w:name w:val="Endnote Characters"/>
    <w:qFormat/>
    <w:rPr/>
  </w:style>
  <w:style w:styleId="Revision" w:type="character">
    <w:name w:val="revision"/>
    <w:qFormat/>
    <w:rPr>
      <w:color w:val="C9211E"/>
    </w:rPr>
  </w:style>
  <w:style w:styleId="Revision2" w:type="character">
    <w:name w:val="revision2"/>
    <w:basedOn w:val="Revision"/>
    <w:qFormat/>
    <w:rPr>
      <w:color w:val="2A6099"/>
    </w:rPr>
  </w:style>
  <w:style w:styleId="Reviewer" w:type="character">
    <w:name w:val="reviewer"/>
    <w:qFormat/>
    <w:rPr>
      <w:rFonts w:ascii="Calibri" w:cs="" w:cstheme="minorBidi" w:eastAsia="Cambria" w:eastAsiaTheme="minorHAnsi" w:hAnsi="Calibri"/>
      <w:color w:val="666666"/>
      <w:kern w:val="0"/>
      <w:sz w:val="24"/>
      <w:szCs w:val="24"/>
      <w:lang w:bidi="ar-SA" w:eastAsia="en-US" w:val="en-US"/>
    </w:rPr>
  </w:style>
  <w:style w:styleId="Reference" w:type="character">
    <w:name w:val="reference"/>
    <w:qFormat/>
    <w:rPr>
      <w:rFonts w:ascii="Cambria" w:asciiTheme="minorHAnsi" w:cs="" w:cstheme="minorBidi" w:eastAsia="Cambria" w:eastAsiaTheme="minorHAnsi" w:hAnsi="Cambria" w:hAnsiTheme="minorHAnsi"/>
      <w:i/>
      <w:iCs/>
      <w:color w:val="auto"/>
      <w:kern w:val="0"/>
      <w:sz w:val="24"/>
      <w:szCs w:val="24"/>
      <w:lang w:bidi="ar-SA" w:eastAsia="en-US" w:val="en-US"/>
    </w:rPr>
  </w:style>
  <w:style w:styleId="Heading" w:type="paragraph">
    <w:name w:val="Heading"/>
    <w:basedOn w:val="Normal"/>
    <w:next w:val="TextBody"/>
    <w:qFormat/>
    <w:pPr>
      <w:keepNext w:val="true"/>
      <w:spacing w:after="120" w:before="240"/>
    </w:pPr>
    <w:rPr>
      <w:rFonts w:ascii="Liberation Sans" w:cs="Arial" w:eastAsia="Microsoft YaHei" w:hAnsi="Liberation Sans"/>
      <w:sz w:val="28"/>
      <w:szCs w:val="28"/>
    </w:rPr>
  </w:style>
  <w:style w:styleId="TextBody" w:type="paragraph">
    <w:name w:val="Body Text"/>
    <w:basedOn w:val="Normal"/>
    <w:link w:val="BodyTextChar"/>
    <w:qFormat/>
    <w:pPr>
      <w:spacing w:after="180" w:before="180"/>
    </w:pPr>
    <w:rPr/>
  </w:style>
  <w:style w:styleId="List" w:type="paragraph">
    <w:name w:val="List"/>
    <w:basedOn w:val="TextBody"/>
    <w:pPr/>
    <w:rPr>
      <w:rFonts w:cs="Arial"/>
    </w:rPr>
  </w:style>
  <w:style w:styleId="Caption" w:type="paragraph">
    <w:name w:val="Caption"/>
    <w:basedOn w:val="Normal"/>
    <w:link w:val="BodyTextChar"/>
    <w:qFormat/>
    <w:pPr>
      <w:spacing w:after="120" w:before="0"/>
    </w:pPr>
    <w:rPr>
      <w:i/>
    </w:rPr>
  </w:style>
  <w:style w:styleId="Index" w:type="paragraph">
    <w:name w:val="Index"/>
    <w:basedOn w:val="Normal"/>
    <w:qFormat/>
    <w:pPr>
      <w:suppressLineNumbers/>
    </w:pPr>
    <w:rPr>
      <w:rFonts w:cs="Arial"/>
    </w:rPr>
  </w:style>
  <w:style w:customStyle="1" w:styleId="FirstParagraph" w:type="paragraph">
    <w:name w:val="First Paragraph"/>
    <w:basedOn w:val="TextBody"/>
    <w:next w:val="TextBody"/>
    <w:qFormat/>
    <w:pPr/>
    <w:rPr/>
  </w:style>
  <w:style w:customStyle="1" w:styleId="Compact" w:type="paragraph">
    <w:name w:val="Compact"/>
    <w:basedOn w:val="TextBody"/>
    <w:qFormat/>
    <w:pPr>
      <w:spacing w:after="36" w:before="36"/>
    </w:pPr>
    <w:rPr/>
  </w:style>
  <w:style w:styleId="Title" w:type="paragraph">
    <w:name w:val="Title"/>
    <w:basedOn w:val="Normal"/>
    <w:next w:val="TextBody"/>
    <w:qFormat/>
    <w:pPr>
      <w:keepNext w:val="true"/>
      <w:keepLines/>
      <w:spacing w:after="240" w:before="480"/>
      <w:jc w:val="center"/>
    </w:pPr>
    <w:rPr>
      <w:rFonts w:ascii="Calibri" w:asciiTheme="majorHAnsi" w:cs="" w:cstheme="majorBidi" w:eastAsia="" w:eastAsiaTheme="majorEastAsia" w:hAnsi="Calibri" w:hAnsiTheme="majorHAnsi"/>
      <w:b/>
      <w:bCs/>
      <w:color w:themeColor="accent1" w:themeShade="b5" w:val="345A8A"/>
      <w:sz w:val="36"/>
      <w:szCs w:val="36"/>
    </w:rPr>
  </w:style>
  <w:style w:styleId="Subtitle" w:type="paragraph">
    <w:name w:val="Subtitle"/>
    <w:basedOn w:val="Title"/>
    <w:next w:val="TextBody"/>
    <w:qFormat/>
    <w:pPr>
      <w:keepNext w:val="true"/>
      <w:keepLines/>
      <w:spacing w:after="240" w:before="240"/>
      <w:jc w:val="center"/>
    </w:pPr>
    <w:rPr>
      <w:sz w:val="30"/>
      <w:szCs w:val="30"/>
    </w:rPr>
  </w:style>
  <w:style w:customStyle="1" w:styleId="Author" w:type="paragraph">
    <w:name w:val="Author"/>
    <w:next w:val="TextBody"/>
    <w:qFormat/>
    <w:pPr>
      <w:keepNext w:val="true"/>
      <w:keepLines/>
      <w:widowControl/>
      <w:suppressAutoHyphens w:val="true"/>
      <w:bidi w:val="0"/>
      <w:spacing w:after="200" w:before="0"/>
      <w:jc w:val="center"/>
    </w:pPr>
    <w:rPr>
      <w:rFonts w:ascii="Cambria" w:asciiTheme="minorHAnsi" w:cs="" w:cstheme="minorBidi" w:eastAsia="Cambria" w:eastAsiaTheme="minorHAnsi" w:hAnsi="Cambria" w:hAnsiTheme="minorHAnsi"/>
      <w:color w:val="auto"/>
      <w:kern w:val="0"/>
      <w:sz w:val="24"/>
      <w:szCs w:val="24"/>
      <w:lang w:bidi="ar-SA" w:eastAsia="en-US" w:val="en-US"/>
    </w:rPr>
  </w:style>
  <w:style w:styleId="Date" w:type="paragraph">
    <w:name w:val="Date"/>
    <w:next w:val="TextBody"/>
    <w:qFormat/>
    <w:pPr>
      <w:keepNext w:val="true"/>
      <w:keepLines/>
      <w:widowControl/>
      <w:suppressAutoHyphens w:val="true"/>
      <w:bidi w:val="0"/>
      <w:spacing w:after="200" w:before="0"/>
      <w:jc w:val="center"/>
    </w:pPr>
    <w:rPr>
      <w:rFonts w:ascii="Cambria" w:asciiTheme="minorHAnsi" w:cs="" w:cstheme="minorBidi" w:eastAsia="Cambria" w:eastAsiaTheme="minorHAnsi" w:hAnsi="Cambria" w:hAnsiTheme="minorHAnsi"/>
      <w:color w:val="auto"/>
      <w:kern w:val="0"/>
      <w:sz w:val="24"/>
      <w:szCs w:val="24"/>
      <w:lang w:bidi="ar-SA" w:eastAsia="en-US" w:val="en-US"/>
    </w:rPr>
  </w:style>
  <w:style w:customStyle="1" w:styleId="Abstract" w:type="paragraph">
    <w:name w:val="Abstract"/>
    <w:basedOn w:val="Normal"/>
    <w:next w:val="TextBody"/>
    <w:qFormat/>
    <w:pPr>
      <w:keepNext w:val="true"/>
      <w:keepLines/>
      <w:spacing w:after="300" w:before="300"/>
    </w:pPr>
    <w:rPr>
      <w:sz w:val="20"/>
      <w:szCs w:val="20"/>
    </w:rPr>
  </w:style>
  <w:style w:styleId="Bibliography" w:type="paragraph">
    <w:name w:val="Bibliography"/>
    <w:basedOn w:val="Normal"/>
    <w:qFormat/>
    <w:pPr/>
    <w:rPr/>
  </w:style>
  <w:style w:styleId="BlockText" w:type="paragraph">
    <w:name w:val="Block Text"/>
    <w:basedOn w:val="TextBody"/>
    <w:next w:val="TextBody"/>
    <w:uiPriority w:val="9"/>
    <w:unhideWhenUsed/>
    <w:qFormat/>
    <w:pPr>
      <w:spacing w:after="100" w:before="100"/>
      <w:ind w:hanging="0"/>
    </w:pPr>
    <w:rPr>
      <w:rFonts w:ascii="Calibri" w:asciiTheme="majorHAnsi" w:cs="" w:cstheme="majorBidi" w:eastAsia="" w:eastAsiaTheme="majorEastAsia" w:hAnsi="Calibri" w:hAnsiTheme="majorHAnsi"/>
      <w:bCs/>
      <w:sz w:val="20"/>
      <w:szCs w:val="20"/>
    </w:rPr>
  </w:style>
  <w:style w:styleId="Footnote" w:type="paragraph">
    <w:name w:val="Footnote Text"/>
    <w:basedOn w:val="Normal"/>
    <w:uiPriority w:val="9"/>
    <w:unhideWhenUsed/>
    <w:qFormat/>
    <w:pPr/>
    <w:rPr/>
  </w:style>
  <w:style w:customStyle="1" w:styleId="DefinitionTerm" w:type="paragraph">
    <w:name w:val="Definition Term"/>
    <w:basedOn w:val="Normal"/>
    <w:next w:val="Definition"/>
    <w:qFormat/>
    <w:pPr>
      <w:keepNext w:val="true"/>
      <w:keepLines/>
      <w:spacing w:after="0" w:before="0"/>
    </w:pPr>
    <w:rPr>
      <w:b/>
    </w:rPr>
  </w:style>
  <w:style w:customStyle="1" w:styleId="Definition" w:type="paragraph">
    <w:name w:val="Definition"/>
    <w:basedOn w:val="Normal"/>
    <w:qFormat/>
    <w:pPr/>
    <w:rPr/>
  </w:style>
  <w:style w:customStyle="1" w:styleId="TableCaption" w:type="paragraph">
    <w:name w:val="Table Caption"/>
    <w:basedOn w:val="Caption"/>
    <w:qFormat/>
    <w:pPr>
      <w:keepNext w:val="true"/>
    </w:pPr>
    <w:rPr/>
  </w:style>
  <w:style w:customStyle="1" w:styleId="ImageCaption" w:type="paragraph">
    <w:name w:val="Image Caption"/>
    <w:basedOn w:val="Caption"/>
    <w:qFormat/>
    <w:pPr/>
    <w:rPr/>
  </w:style>
  <w:style w:customStyle="1" w:styleId="Figure" w:type="paragraph">
    <w:name w:val="Figure"/>
    <w:basedOn w:val="Normal"/>
    <w:qFormat/>
    <w:pPr/>
    <w:rPr/>
  </w:style>
  <w:style w:customStyle="1" w:styleId="CaptionedFigure" w:type="paragraph">
    <w:name w:val="Captioned Figure"/>
    <w:basedOn w:val="Figure"/>
    <w:qFormat/>
    <w:pPr>
      <w:keepNext w:val="true"/>
    </w:pPr>
    <w:rPr/>
  </w:style>
  <w:style w:styleId="TOCHeading" w:type="paragraph">
    <w:name w:val="TOC Heading"/>
    <w:basedOn w:val="Heading1"/>
    <w:next w:val="TextBody"/>
    <w:uiPriority w:val="39"/>
    <w:unhideWhenUsed/>
    <w:qFormat/>
    <w:pPr>
      <w:spacing w:after="0" w:before="240" w:line="259" w:lineRule="auto"/>
    </w:pPr>
    <w:rPr>
      <w:rFonts w:ascii="Calibri" w:asciiTheme="majorHAnsi" w:cs="" w:cstheme="majorBidi" w:eastAsia="" w:eastAsiaTheme="majorEastAsia" w:hAnsi="Calibri" w:hAnsiTheme="majorHAnsi"/>
      <w:b w:val="false"/>
      <w:bCs w:val="false"/>
      <w:color w:themeColor="accent1" w:themeShade="bf" w:val="365F91"/>
    </w:rPr>
  </w:style>
  <w:style w:customStyle="1" w:styleId="SourceCode" w:type="paragraph">
    <w:name w:val="Source Code"/>
    <w:basedOn w:val="Normal"/>
    <w:link w:val="VerbatimChar"/>
    <w:qFormat/>
    <w:pPr>
      <w:shd w:fill="F8F8F8" w:val="clear"/>
    </w:pPr>
    <w:rPr/>
  </w:style>
  <w:style w:styleId="HeaderandFooter" w:type="paragraph">
    <w:name w:val="Header and Footer"/>
    <w:basedOn w:val="Normal"/>
    <w:qFormat/>
    <w:pPr>
      <w:suppressLineNumbers/>
      <w:tabs>
        <w:tab w:pos="720" w:val="clear"/>
        <w:tab w:leader="none" w:pos="4680" w:val="center"/>
        <w:tab w:leader="none" w:pos="9360" w:val="right"/>
      </w:tabs>
    </w:pPr>
    <w:rPr/>
  </w:style>
  <w:style w:styleId="Footer" w:type="paragraph">
    <w:name w:val="Footer"/>
    <w:basedOn w:val="HeaderandFooter"/>
    <w:pPr>
      <w:suppressLineNumbers/>
    </w:pPr>
    <w:rPr/>
  </w:style>
  <w:style w:styleId="TableContents" w:type="paragraph">
    <w:name w:val="Table Contents"/>
    <w:basedOn w:val="Normal"/>
    <w:qFormat/>
    <w:pPr>
      <w:widowControl w:val="false"/>
      <w:suppressLineNumbers/>
    </w:pPr>
    <w:rPr/>
  </w:style>
  <w:style w:styleId="TableHeading" w:type="paragraph">
    <w:name w:val="Table Heading"/>
    <w:basedOn w:val="TableContents"/>
    <w:qFormat/>
    <w:pPr>
      <w:suppressLineNumbers/>
      <w:jc w:val="left"/>
    </w:pPr>
    <w:rPr>
      <w:b/>
      <w:bCs/>
      <w:i/>
      <w:iCs/>
    </w:rPr>
  </w:style>
  <w:style w:default="1" w:styleId="Table" w:type="table">
    <w:name w:val="Table"/>
    <w:basedOn w:val="TableNormal"/>
    <w:semiHidden/>
    <w:unhideWhenUsed/>
    <w:qFormat/>
    <w:tblPr>
      <w:tblCellMar>
        <w:top w:type="dxa" w:w="0"/>
        <w:left w:type="dxa" w:w="108"/>
        <w:bottom w:type="dxa" w:w="0"/>
        <w:right w:type="dxa" w:w="108"/>
      </w:tblCellMar>
    </w:tbl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33" Target="media/rId33.png" /><Relationship Type="http://schemas.openxmlformats.org/officeDocument/2006/relationships/image" Id="rId24" Target="media/rId24.png" /><Relationship Type="http://schemas.openxmlformats.org/officeDocument/2006/relationships/image" Id="rId30" Target="media/rId30.png" /><Relationship Type="http://schemas.openxmlformats.org/officeDocument/2006/relationships/image" Id="rId27" Target="media/rId27.png" /><Relationship Type="http://schemas.openxmlformats.org/officeDocument/2006/relationships/image" Id="rId21" Target="media/rId21.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Application>LibreOffice/7.0.5.2$Windows_X86_64 LibreOffice_project/64390860c6cd0aca4beafafcfd84613dd9dfb63a</Application>
  <AppVersion>15.0000</AppVersion>
  <Pages>2</Pages>
  <Words>66</Words>
  <Characters>445</Characters>
  <CharactersWithSpaces>499</CharactersWithSpaces>
  <Paragraphs>14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Distinct smell and taste disorder phenotype of post-acute COVID-19 sequelae</dc:title>
  <dc:creator>Health after COVID-19 in Tyrol and CovILD study team</dc:creator>
  <cp:keywords/>
  <dcterms:created xsi:type="dcterms:W3CDTF">2023-05-30T17:20:42Z</dcterms:created>
  <dcterms:modified xsi:type="dcterms:W3CDTF">2023-05-30T17:20:42Z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hyposmia_biblio.bib</vt:lpwstr>
  </property>
  <property fmtid="{D5CDD505-2E9C-101B-9397-08002B2CF9AE}" pid="3" name="csl">
    <vt:lpwstr>european-archives-of-oto-rhino-laryngology.csl</vt:lpwstr>
  </property>
  <property fmtid="{D5CDD505-2E9C-101B-9397-08002B2CF9AE}" pid="4" name="date">
    <vt:lpwstr>2023-05-30</vt:lpwstr>
  </property>
  <property fmtid="{D5CDD505-2E9C-101B-9397-08002B2CF9AE}" pid="5" name="header-includes">
    <vt:lpwstr>  </vt:lpwstr>
  </property>
  <property fmtid="{D5CDD505-2E9C-101B-9397-08002B2CF9AE}" pid="6" name="output">
    <vt:lpwstr/>
  </property>
  <property fmtid="{D5CDD505-2E9C-101B-9397-08002B2CF9AE}" pid="7" name="subtitle">
    <vt:lpwstr>Tables and figures</vt:lpwstr>
  </property>
</Properties>
</file>