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response after mountain sport accidents</w:t>
      </w:r>
    </w:p>
    <w:p>
      <w:pPr>
        <w:pStyle w:val="Subtitle"/>
        <w:rPr/>
      </w:pPr>
      <w:r>
        <w:rPr/>
        <w:t>Manuscript</w:t>
      </w:r>
    </w:p>
    <w:p>
      <w:pPr>
        <w:pStyle w:val="Author"/>
        <w:rPr/>
      </w:pPr>
      <w:r>
        <w:rPr/>
        <w:t>Katharina Hüfner, MD</w:t>
      </w:r>
      <w:r>
        <w:rPr>
          <w:vertAlign w:val="superscript"/>
        </w:rPr>
        <w:t>1,✉</w:t>
      </w:r>
      <w:r>
        <w:rPr/>
        <w:t>, Hanna Salvotti, MD</w:t>
      </w:r>
      <w:r>
        <w:rPr>
          <w:vertAlign w:val="superscript"/>
        </w:rPr>
        <w:t>1</w:t>
      </w:r>
      <w:r>
        <w:rPr/>
        <w:t>, and Piotr Tymoszuk, PhD</w:t>
      </w:r>
      <w:r>
        <w:rPr>
          <w:vertAlign w:val="superscript"/>
        </w:rPr>
        <w:t>2</w:t>
      </w:r>
    </w:p>
    <w:p>
      <w:pPr>
        <w:pStyle w:val="Date"/>
        <w:rPr/>
      </w:pPr>
      <w:r>
        <w:rPr/>
        <w:t>2023-03-30</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Data Analysis as a Service Tirol, Innsbruck, Austria</w:t>
      </w:r>
    </w:p>
    <w:p>
      <w:pPr>
        <w:pStyle w:val="TextBody"/>
        <w:rPr/>
      </w:pPr>
      <w:r>
        <w:rPr>
          <w:vertAlign w:val="superscript"/>
        </w:rPr>
        <w:t>✉</w:t>
      </w:r>
      <w:r>
        <w:rPr/>
        <w:t xml:space="preserve"> </w:t>
      </w:r>
      <w:r>
        <w:rPr/>
        <w:t xml:space="preserve">Correspondence: </w:t>
      </w:r>
      <w:hyperlink r:id="rId2">
        <w:r>
          <w:rPr>
            <w:rStyle w:val="InternetLink"/>
          </w:rPr>
          <w:t>Katharina Hüfner, MD &lt;katharina.huefner@tirol-kliniken.at&gt;</w:t>
        </w:r>
      </w:hyperlink>
    </w:p>
    <w:p>
      <w:pPr>
        <w:pStyle w:val="Normal"/>
        <w:rPr/>
      </w:pPr>
      <w:r>
        <w:rPr/>
      </w:r>
      <w:r>
        <w:br w:type="page"/>
      </w:r>
    </w:p>
    <w:p>
      <w:pPr>
        <w:pStyle w:val="Heading1"/>
        <w:rPr/>
      </w:pPr>
      <w:r>
        <w:rPr/>
        <w:t>Abstract</w:t>
      </w:r>
    </w:p>
    <w:p>
      <w:pPr>
        <w:pStyle w:val="FirstParagraph"/>
        <w:rPr/>
      </w:pPr>
      <w:r>
        <w:rPr>
          <w:b/>
          <w:bCs/>
        </w:rPr>
        <w:t>Background:</w:t>
      </w:r>
      <w:r>
        <w:rPr/>
        <w:t xml:space="preserve"> Psychological consequences of mountain sport accidents are poorly characterized. We investigated patterns of mental response to mountain sport accidents and their victims at risk of mental deterioration.</w:t>
      </w:r>
    </w:p>
    <w:p>
      <w:pPr>
        <w:pStyle w:val="TextBody"/>
        <w:rPr/>
      </w:pPr>
      <w:r>
        <w:rPr>
          <w:b/>
          <w:bCs/>
        </w:rPr>
        <w:t>Methods:</w:t>
      </w:r>
      <w:r>
        <w:rPr/>
        <w:t xml:space="preserve"> A cross-sectional survey was conducted with 307 adult victims of mountain sport accidents treated at the Innsbruck University Hospital (Austria). Anxiety (GAD-7), depression, somatic symptoms and panic (PHQ), resilient comping (RS-13), sense of coherence (SOC-9L), quality of life (EUROHIS), post-traumatic growth (PTGI) and post-traumatic stress disorder (PTSD) were recorded along with demographic, socioeconomic, medical history, accident- and injury-related data. Patterns of mental readouts were defined by semi-supervised medoid clustering and models of cluster assignment based on non-mental measures were developed by the random forest algorithm.</w:t>
      </w:r>
    </w:p>
    <w:p>
      <w:pPr>
        <w:pStyle w:val="TextBody"/>
        <w:rPr/>
      </w:pPr>
      <w:r>
        <w:rPr>
          <w:b/>
          <w:bCs/>
        </w:rPr>
        <w:t>Results:</w:t>
      </w:r>
      <w:r>
        <w:rPr/>
        <w:t xml:space="preserve"> Three mental clusters of accident victims were hallmarked by a neutral mental response, post-traumatic growth and post-traumatic burden of mental disorders, respectively. Despite relatively frequent hospitalization, surgery, pre-existing mental or somatic illness, low income, and female gender in the post-traumatic growth and post-traumatic burden clusters, overall differences in non-mental variables between the clusters were weak. Consequently, no reliable model of the cluster assignment employing explanatory factors available during acute medical accident management could be established.</w:t>
      </w:r>
    </w:p>
    <w:p>
      <w:pPr>
        <w:pStyle w:val="TextBody"/>
        <w:rPr/>
      </w:pPr>
      <w:r>
        <w:rPr>
          <w:b/>
          <w:bCs/>
        </w:rPr>
        <w:t>Conclusion:</w:t>
      </w:r>
      <w:r>
        <w:rPr/>
        <w:t xml:space="preserve"> A subset of mountain sport accident victims develops symptoms of anxiety, depression, post-traumatic stress disorder and other mental health problems. Since identification of these vulnerable patients with demographic, socioeconomic, accident- and injury-related predictors remains challenging, early and low-threshold psychological support is key to prevention of mental disorders following mountain sport accidents.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mountain sport accident, mental health, post-traumatic stress disorder, post-traumatic growth, clustering, random forest, machine learning</w:t>
      </w:r>
    </w:p>
    <w:p>
      <w:pPr>
        <w:pStyle w:val="Normal"/>
        <w:rPr/>
      </w:pPr>
      <w:r>
        <w:rPr/>
      </w:r>
      <w:bookmarkStart w:id="2" w:name="keywords"/>
      <w:bookmarkStart w:id="3" w:name="keywords"/>
      <w:bookmarkEnd w:id="3"/>
      <w:r>
        <w:br w:type="page"/>
      </w:r>
    </w:p>
    <w:p>
      <w:pPr>
        <w:pStyle w:val="Heading1"/>
        <w:rPr/>
      </w:pPr>
      <w:r>
        <w:rPr/>
        <w:t>Introduction</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Ethics</w:t>
      </w:r>
    </w:p>
    <w:p>
      <w:pPr>
        <w:pStyle w:val="FirstParagraph"/>
        <w:rPr/>
      </w:pPr>
      <w:r>
        <w:rPr/>
        <w:t xml:space="preserve">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w:t>
      </w:r>
      <w:r>
        <w:rPr>
          <w:i/>
          <w:iCs/>
        </w:rPr>
        <w:t>please fill in!</w:t>
      </w:r>
      <w:r>
        <w:rPr/>
        <w:t>).</w:t>
      </w:r>
      <w:bookmarkStart w:id="6" w:name="ethics"/>
      <w:bookmarkEnd w:id="6"/>
    </w:p>
    <w:p>
      <w:pPr>
        <w:pStyle w:val="Heading2"/>
        <w:rPr/>
      </w:pPr>
      <w:r>
        <w:rPr/>
        <w:t>Participants</w:t>
      </w:r>
    </w:p>
    <w:p>
      <w:pPr>
        <w:pStyle w:val="FirstParagraph"/>
        <w:rPr/>
      </w:pPr>
      <w:r>
        <w:rPr/>
        <w:t xml:space="preserve">In- and outpatients treated at the orthopedics and trauma departments of the Medical University of Innsbruck (Austria) between 2018 and 2020 were screened for participation. Patients fulfilling the inclusion criteria: age </w:t>
      </w:r>
      <w:r>
        <w:rPr/>
      </w:r>
      <m:oMath xmlns:m="http://schemas.openxmlformats.org/officeDocument/2006/math">
        <m:r>
          <w:rPr>
            <w:rFonts w:ascii="Cambria Math" w:hAnsi="Cambria Math"/>
          </w:rPr>
          <m:t xml:space="preserve">≥</m:t>
        </m:r>
      </m:oMath>
      <w:r>
        <w:rPr/>
        <w:t xml:space="preserve"> 16 years, proficiency in German and treatment due to a mountain sport accident (n = 4559) were invited to participate in the online study survey. Out of them, 370 completed the survey and 307 individuals with the complete psychometry data were analyzed (</w:t>
      </w:r>
      <w:r>
        <w:rPr>
          <w:b/>
          <w:bCs/>
        </w:rPr>
        <w:t>Figure 1</w:t>
      </w:r>
      <w:r>
        <w:rPr/>
        <w:t xml:space="preserve">, </w:t>
      </w:r>
      <w:r>
        <w:rPr>
          <w:b/>
          <w:bCs/>
        </w:rPr>
        <w:t>Supplementary Tables S1</w:t>
      </w:r>
      <w:r>
        <w:rPr/>
        <w:t xml:space="preserve"> - </w:t>
      </w:r>
      <w:r>
        <w:rPr>
          <w:b/>
          <w:bCs/>
        </w:rPr>
        <w:t>S2</w:t>
      </w:r>
      <w:r>
        <w:rPr/>
        <w:t>).</w:t>
      </w:r>
      <w:bookmarkStart w:id="7" w:name="participants"/>
      <w:bookmarkEnd w:id="7"/>
    </w:p>
    <w:p>
      <w:pPr>
        <w:pStyle w:val="Heading2"/>
        <w:rPr/>
      </w:pPr>
      <w:r>
        <w:rPr/>
        <w:t>Procedures</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 xml:space="preserve">The psychometric battery consisted of German versions of assessment tools for anxiety (GAD-7: 7-item general anxiety disorder scale) (1), depression (PHQ: patient health questionnaire, PHQ-9) (2,3), panic (PHQ-panic module) (2,3), persistent somatic symptoms (PHQ-15) (4), resilient coping (RS13: 13-item resilience scale) (5), loss of sense of coherence (SOC-9L: Leipzig 9-item sense of coherence questionnaire) (6), quality of life (EUROHIS-QOL 8: 8-item EUROHIS project quality of life scale) (7), post-traumatic growth (PTGI: post-traumatic growth inventory) (8) and post-traumatic stress disorder (PCL-5 DSM-5: PTSD checklist for DSM-5) (9). The tools displayed good-to-excellent consistency (10)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 xml:space="preserve">). Signs of anxiety (GAD-7 </w:t>
      </w:r>
      <w:r>
        <w:rPr/>
      </w:r>
      <m:oMath xmlns:m="http://schemas.openxmlformats.org/officeDocument/2006/math">
        <m:r>
          <w:rPr>
            <w:rFonts w:ascii="Cambria Math" w:hAnsi="Cambria Math"/>
          </w:rPr>
          <m:t xml:space="preserve">≥</m:t>
        </m:r>
      </m:oMath>
      <w:r>
        <w:rPr/>
        <w:t xml:space="preserve"> 10), depression (PHQ-9 </w:t>
      </w:r>
      <w:r>
        <w:rPr/>
      </w:r>
      <m:oMath xmlns:m="http://schemas.openxmlformats.org/officeDocument/2006/math">
        <m:r>
          <w:rPr>
            <w:rFonts w:ascii="Cambria Math" w:hAnsi="Cambria Math"/>
          </w:rPr>
          <m:t xml:space="preserve">≥</m:t>
        </m:r>
      </m:oMath>
      <w:r>
        <w:rPr/>
        <w:t xml:space="preserve"> 11) (11), persistent somatic symptoms (PHQ-15 </w:t>
      </w:r>
      <w:r>
        <w:rPr/>
      </w:r>
      <m:oMath xmlns:m="http://schemas.openxmlformats.org/officeDocument/2006/math">
        <m:r>
          <w:rPr>
            <w:rFonts w:ascii="Cambria Math" w:hAnsi="Cambria Math"/>
          </w:rPr>
          <m:t xml:space="preserve">≥</m:t>
        </m:r>
      </m:oMath>
      <w:r>
        <w:rPr/>
        <w:t xml:space="preserve"> 11) (4) and resilient coping classes (low: RS-13 0 - 65, moderate: 66 - 72, high: </w:t>
      </w:r>
      <w:r>
        <w:rPr/>
      </w:r>
      <m:oMath xmlns:m="http://schemas.openxmlformats.org/officeDocument/2006/math">
        <m:r>
          <w:rPr>
            <w:rFonts w:ascii="Cambria Math" w:hAnsi="Cambria Math"/>
          </w:rPr>
          <m:t xml:space="preserve">≥</m:t>
        </m:r>
      </m:oMath>
      <w:r>
        <w:rPr/>
        <w:t xml:space="preserve"> 73)(5) were defined as described before. The total PTGI and PCL-5 DSM-5 scores were calculated as the sum of all items of the respective tools (8,9). Significant PTSD symptoms were defined as positivity in at least one PCL-5 DSM-5 domain (9).</w:t>
      </w:r>
    </w:p>
    <w:p>
      <w:pPr>
        <w:pStyle w:val="TextBody"/>
        <w:rPr/>
      </w:pPr>
      <w:r>
        <w:rPr/>
        <w:t>Traumatic events before the accident were assessed with the DIA-X tool (12). Flashbacks frequency was surveyed as none, &gt; 1/month and &gt; 1/year. Smoking was surveyed as a single yes/no question. Alcohol abuse was investigated with the CAGE tool (13). Data on injury (AIS: abbreviated injury scale) (14) and medical treatment were extracted from electronic patient’s records.</w:t>
      </w:r>
    </w:p>
    <w:p>
      <w:pPr>
        <w:pStyle w:val="TextBody"/>
        <w:rPr/>
      </w:pPr>
      <w:r>
        <w:rPr/>
        <w:t>The training and test participant subsets (2:1 size ratio) were obtained by random splitting which minimized differences in accident year, age, gender, pre-existing traumatic events, somatic and mental illness, and injury severity (</w:t>
      </w:r>
      <w:r>
        <w:rPr>
          <w:b/>
          <w:bCs/>
        </w:rPr>
        <w:t>Figure 1</w:t>
      </w:r>
      <w:r>
        <w:rPr/>
        <w:t>). The training subset size (n = 204) was sufficient for clustering analysis as assessed by Hopkins metrics = 0.72 (15).</w:t>
      </w:r>
      <w:bookmarkStart w:id="8" w:name="procedures"/>
      <w:bookmarkEnd w:id="8"/>
    </w:p>
    <w:p>
      <w:pPr>
        <w:pStyle w:val="Heading2"/>
        <w:rPr/>
      </w:pPr>
      <w:r>
        <w:rPr/>
        <w:t>Analysis endpoints</w:t>
      </w:r>
    </w:p>
    <w:p>
      <w:pPr>
        <w:pStyle w:val="FirstParagraph"/>
        <w:rPr/>
      </w:pPr>
      <w:r>
        <w:rPr/>
        <w:t>The primary analysis endpoint was identification of subsets of mountain sport accident victims by clustering in respect to scores of anxiety, depression, panic, persistent somatic symptoms, quality of life, post-traumatic growth and post-traumatic stress disorder. The secondary analysis endpoints were demographic, socioeconomic and clinical characteristic of the mental clusters and development of a mental cluster assignment model to discern accident victims at risk of mental disorders.</w:t>
      </w:r>
      <w:bookmarkStart w:id="9" w:name="analysis-endpoints"/>
      <w:bookmarkEnd w:id="9"/>
    </w:p>
    <w:p>
      <w:pPr>
        <w:pStyle w:val="Heading2"/>
        <w:rPr/>
      </w:pPr>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(16).</w:t>
      </w:r>
    </w:p>
    <w:p>
      <w:pPr>
        <w:pStyle w:val="TextBody"/>
        <w:rPr/>
      </w:pPr>
      <w:r>
        <w:rPr/>
        <w:t>The training subset was clustered in respect to normalized median-centered psychometric scores by partition around medoids with cosine distance (17,18). This algorithm had a good explanatory performance (ratio of between-cluster sum of squares to total sum of squares) and the superior accuracy in 10-fold cross-validation (19) as compared with the hierarchical and KMEANS algorithms. The k = 3 cluster number choice was based on the bend of within-cluster sum of squares curve and maximal mean silhouette statistic (15,20). The training subset observations were assigned to the clusters with an inverse distance weighted 7-nearest neighbor classifier.</w:t>
      </w:r>
    </w:p>
    <w:p>
      <w:pPr>
        <w:pStyle w:val="TextBody"/>
        <w:rPr/>
      </w:pPr>
      <w:r>
        <w:rPr/>
        <w:t xml:space="preserve">The uni- and multi-parameter classifiers were trained with the one-rule (21,22) and conditional random forest algorithms (23–25), respectively. The cluster assignment was predicted for the test subset and assessed by the accuracy and </w:t>
      </w:r>
      <w:r>
        <w:rPr/>
      </w:r>
      <m:oMath xmlns:m="http://schemas.openxmlformats.org/officeDocument/2006/math">
        <m:r>
          <w:rPr>
            <w:rFonts w:ascii="Cambria Math" w:hAnsi="Cambria Math"/>
          </w:rPr>
          <m:t xml:space="preserve">κ</m:t>
        </m:r>
      </m:oMath>
      <w:r>
        <w:rPr/>
        <w:t xml:space="preserve"> statistics (26). Conditional variable importance in the random forest classifiers was expressed as accuracy loss (27).</w:t>
      </w:r>
    </w:p>
    <w:p>
      <w:pPr>
        <w:pStyle w:val="Normal"/>
        <w:rPr/>
      </w:pPr>
      <w:r>
        <w:rPr/>
      </w:r>
      <w:bookmarkStart w:id="10" w:name="methods"/>
      <w:bookmarkStart w:id="11" w:name="statistical-analysis"/>
      <w:bookmarkStart w:id="12" w:name="methods"/>
      <w:bookmarkStart w:id="13" w:name="statistical-analysis"/>
      <w:bookmarkEnd w:id="12"/>
      <w:bookmarkEnd w:id="13"/>
      <w:r>
        <w:br w:type="page"/>
      </w:r>
    </w:p>
    <w:p>
      <w:pPr>
        <w:pStyle w:val="Heading1"/>
        <w:rPr/>
      </w:pPr>
      <w:r>
        <w:rPr/>
        <w:t>Results</w:t>
      </w:r>
      <w:bookmarkStart w:id="14" w:name="results"/>
      <w:bookmarkEnd w:id="14"/>
    </w:p>
    <w:p>
      <w:pPr>
        <w:pStyle w:val="Heading1"/>
        <w:rPr/>
      </w:pPr>
      <w:r>
        <w:rPr/>
        <w:t>Characteristic of the study cohort</w:t>
      </w:r>
    </w:p>
    <w:p>
      <w:pPr>
        <w:pStyle w:val="FirstParagraph"/>
        <w:rPr/>
      </w:pPr>
      <w:r>
        <w:rPr/>
        <w:t xml:space="preserve">In- and outpatient adult victims of mountain sport accidents treated at the Medical University of Innsbruck (Austria) between 2018 and 2020 were invited to participate (n = 4559). Out of them, 370 completed the study survey and 307 individuals with the complete psychometric parameter set were analyzed (overall response rate: 6.7%, </w:t>
      </w:r>
      <w:r>
        <w:rPr>
          <w:b/>
          <w:bCs/>
        </w:rPr>
        <w:t>Figure 1</w:t>
      </w:r>
      <w:r>
        <w:rPr/>
        <w:t xml:space="preserve">, </w:t>
      </w:r>
      <w:r>
        <w:rPr>
          <w:b/>
          <w:bCs/>
        </w:rPr>
        <w:t>Supplementary Tables S1</w:t>
      </w:r>
      <w:r>
        <w:rPr/>
        <w:t xml:space="preserve"> - </w:t>
      </w:r>
      <w:r>
        <w:rPr>
          <w:b/>
          <w:bCs/>
        </w:rPr>
        <w:t>S3</w:t>
      </w:r>
      <w:r>
        <w:rPr/>
        <w:t>).</w:t>
      </w:r>
    </w:p>
    <w:p>
      <w:pPr>
        <w:pStyle w:val="TextBody"/>
        <w:rPr/>
      </w:pPr>
      <w:r>
        <w:rPr/>
        <w:t xml:space="preserve">As compared with the participants, the individuals excluded from the analysis had lower income, less frequent ski and more frequent biking accidents, less severe injuries, and lower hospitalization and surgery rates. The excluded individuals had also lower ratings of post-traumatic growth ratings and lower sense of coherence. Effects of these differences were weak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 </w:t>
      </w:r>
      <w:r>
        <w:rPr>
          <w:b/>
          <w:bCs/>
        </w:rPr>
        <w:t>Supplementary Table S4</w:t>
      </w:r>
      <w:r>
        <w:rPr/>
        <w:t>).</w:t>
      </w:r>
    </w:p>
    <w:p>
      <w:pPr>
        <w:pStyle w:val="TextBody"/>
        <w:rPr/>
      </w:pPr>
      <w:r>
        <w:rPr/>
        <w:t xml:space="preserve">In the analyzed cohort, the median time between the medical accident management and survey completion was 1343 days. The participants were predominantly middle-aged (median 51 years) and 45% of them were females. The vast majority had secondary or tertiary education grade and were professionally active. Sport and trauma-risk professions constituted &lt; 8% of the cohort. High annual household incomes of </w:t>
      </w:r>
      <w:r>
        <w:rPr/>
      </w:r>
      <m:oMath xmlns:m="http://schemas.openxmlformats.org/officeDocument/2006/math">
        <m:r>
          <w:rPr>
            <w:rFonts w:ascii="Cambria Math" w:hAnsi="Cambria Math"/>
          </w:rPr>
          <m:t xml:space="preserve">≥</m:t>
        </m:r>
      </m:oMath>
      <w:r>
        <w:rPr/>
        <w:t xml:space="preserve"> 45000 Euro was reported by &gt; 40% of participants. Less than 10% of participants were smokers or at risk of alcohol addiction. Chronic somatic conditions prior to the accident were reported by 15% of participants with cardiovascular, neurological and metabolic illness being the most frequent. The rates of smoking (Austria: 20.6%) and somatic illness (38.3%) were lower than in the general Austrian population (28,29). Psychiatric disorders before the accident affected 5.2% of the cohort. Four of ten participants were affected by or witnessed a traumatic event prior to the accident (</w:t>
      </w:r>
      <w:r>
        <w:rPr>
          <w:b/>
          <w:bCs/>
        </w:rPr>
        <w:t>Table 1</w:t>
      </w:r>
      <w:r>
        <w:rPr/>
        <w:t>).</w:t>
      </w:r>
    </w:p>
    <w:p>
      <w:pPr>
        <w:pStyle w:val="TextBody"/>
        <w:rPr/>
      </w:pPr>
      <w:r>
        <w:rPr/>
        <w:t xml:space="preserve">Nearly 40% of participants had sport accidents in the past. Almost two-thirds of the investigated accidents happened during skiing or snowboarding followed by biking and classical mountain sports such as climbing, hiking or mountaineering. One-third participants were alone during the accident and, in most cases, were the sole culprit and victim. Roughly half of participants could rescue themselves, 29% required a professional rescue. In 35% of participants the injury was moderate (AIS 2) and in 28% severe-to-critical (AIS </w:t>
      </w:r>
      <w:r>
        <w:rPr/>
      </w:r>
      <m:oMath xmlns:m="http://schemas.openxmlformats.org/officeDocument/2006/math">
        <m:r>
          <w:rPr>
            <w:rFonts w:ascii="Cambria Math" w:hAnsi="Cambria Math"/>
          </w:rPr>
          <m:t xml:space="preserve">≥</m:t>
        </m:r>
      </m:oMath>
      <w:r>
        <w:rPr/>
        <w:t xml:space="preserve"> 3). Limb injuries were the most common followed by head and face (</w:t>
      </w:r>
      <w:r>
        <w:rPr>
          <w:b/>
          <w:bCs/>
        </w:rPr>
        <w:t>Supplementary Figure S1A</w:t>
      </w:r>
      <w:r>
        <w:rPr/>
        <w:t>). Hospitalization and surgery rates were 26% and 14%, respectively. Psychological or psychiatric support after the accident was applied to 9.1% individuals. Among those who had not received it, 7.5% declared psychological support need. Despite fairly common somatic health consequences of the accident (37%) and flashbacks during sport (40%), most participants returned to the accident sport type ( 85%). Yet, two-third described their behavior during sport as more cautious (</w:t>
      </w:r>
      <w:r>
        <w:rPr>
          <w:b/>
          <w:bCs/>
        </w:rPr>
        <w:t>Table 2</w:t>
      </w:r>
      <w:r>
        <w:rPr/>
        <w:t>).</w:t>
      </w:r>
    </w:p>
    <w:p>
      <w:pPr>
        <w:pStyle w:val="TextBody"/>
        <w:rPr/>
      </w:pPr>
      <w:r>
        <w:rPr/>
        <w:t>Signs of anxiety (2.3%), depression (5.5%) and persistent somatic symptoms (4.9%) were rare in the study cohort (</w:t>
      </w:r>
      <w:r>
        <w:rPr>
          <w:b/>
          <w:bCs/>
        </w:rPr>
        <w:t>Table 3</w:t>
      </w:r>
      <w:r>
        <w:rPr/>
        <w:t>). Quality of life was rated with median 4.4 EUROHIS points, which was comparable to the generalized Western European population (7); overall quality of life and housing domains received the highest ratings. Roughly two-thirds of participants were assigned to the high resilient coping class (5). Overall post-traumatic growth (median: 32) and its specific domains were rated lower than originally reported for the PTGI tool (8). Symptoms of post-traumatic stress disorder were observed in 19% of participants with domain B symptoms (11%) being most common (</w:t>
      </w:r>
      <w:r>
        <w:rPr>
          <w:b/>
          <w:bCs/>
        </w:rPr>
        <w:t>Table 3</w:t>
      </w:r>
      <w:r>
        <w:rPr/>
        <w:t xml:space="preserve"> and </w:t>
      </w:r>
      <w:r>
        <w:rPr>
          <w:b/>
          <w:bCs/>
        </w:rPr>
        <w:t>Supplementary Figure S1</w:t>
      </w:r>
      <w:r>
        <w:rPr/>
        <w:t>).</w:t>
      </w:r>
    </w:p>
    <w:p>
      <w:pPr>
        <w:pStyle w:val="TextBody"/>
        <w:rPr/>
      </w:pPr>
      <w:r>
        <w:rPr/>
        <w:t>For clustering and modeling, the cohort was split into the training (n = 204) and test subset (n = 103). There were no significant differences between the subsets in demographic, socioeconomic, clinical and accident-related parameters (not shown).</w:t>
      </w:r>
      <w:bookmarkStart w:id="15" w:name="characteristic-of-the-study-cohort"/>
      <w:bookmarkEnd w:id="15"/>
    </w:p>
    <w:p>
      <w:pPr>
        <w:pStyle w:val="Heading1"/>
        <w:rPr/>
      </w:pPr>
      <w:r>
        <w:rPr/>
        <w:t>Three clusters of mental response in sport accident victims</w:t>
      </w:r>
    </w:p>
    <w:p>
      <w:pPr>
        <w:pStyle w:val="FirstParagraph"/>
        <w:rPr/>
      </w:pPr>
      <w:r>
        <w:rPr/>
        <w:t>To explore mental responses to mountain sport accidents, we subjected the participants to clustering in respect to a broad range of numeric psychometry variables (</w:t>
      </w:r>
      <w:r>
        <w:rPr>
          <w:b/>
          <w:bCs/>
        </w:rPr>
        <w:t>Supplementary Table S2</w:t>
      </w:r>
      <w:r>
        <w:rPr/>
        <w:t>). Among clustering algorithms compared in the training subset, partition around medoids with cosine distance (17,18) demonstrated good explanatory power and superior reproducibility in cross-validation (19) (</w:t>
      </w:r>
      <w:r>
        <w:rPr>
          <w:b/>
          <w:bCs/>
        </w:rPr>
        <w:t>Supplementary Figure S2A</w:t>
      </w:r>
      <w:r>
        <w:rPr/>
        <w:t>). Three mental clusters: ‘neutral’, ‘PTG’ (post-traumatic growth) and ‘PTB’ (post-traumatic burden), named after their key mental characteristic were identified in the training subset. Subsequently, the mental cluster assignment could be robustly validated in the test subset as evident from comparable fractions of explained clustering variance (training: 0.54, test: 0.54), comparable cluster sizes and good visual clusetr separation in both study cohort subsets (</w:t>
      </w:r>
      <w:r>
        <w:rPr>
          <w:b/>
          <w:bCs/>
        </w:rPr>
        <w:t>Supplementary Figures S2B</w:t>
      </w:r>
      <w:r>
        <w:rPr/>
        <w:t xml:space="preserve"> - </w:t>
      </w:r>
      <w:r>
        <w:rPr>
          <w:b/>
          <w:bCs/>
        </w:rPr>
        <w:t>S4</w:t>
      </w:r>
      <w:r>
        <w:rPr/>
        <w:t>).</w:t>
      </w:r>
    </w:p>
    <w:p>
      <w:pPr>
        <w:pStyle w:val="TextBody"/>
        <w:rPr/>
      </w:pPr>
      <w:r>
        <w:rPr/>
        <w:t>The neutral cluster encompassing roughly one-third participants was characterized by low levels of anxiety, depression, panic, somatic symptoms, post-traumatic stress and post-traumatic growth along with high rating of coherence, resilient coping and quality of life. The PTG cluster demonstrated similarly low scores of major mental health disorders. By contrast, levels of post-traumatic growth were the highest in the PTG cluster. Furthermore, ratings of post-traumatic stress were slightly higher in the PTG than in the neutral cluster. The remaining PTB cluster displayed the highest scores of anxiety, depression, panic, somatic symptoms and post-traumatic stress as well as poor sense of coherence, resilient coping and low quality of life. Post-traumatic growth scores in the PTB cluster were higher than in neutral but lower than in PTB cluster participants (</w:t>
      </w:r>
      <w:r>
        <w:rPr>
          <w:b/>
          <w:bCs/>
        </w:rPr>
        <w:t>Figure 2</w:t>
      </w:r>
      <w:r>
        <w:rPr/>
        <w:t xml:space="preserve">, </w:t>
      </w:r>
      <w:r>
        <w:rPr>
          <w:b/>
          <w:bCs/>
        </w:rPr>
        <w:t>Supplementary Table S5</w:t>
      </w:r>
      <w:r>
        <w:rPr/>
        <w:t>). Consequently, clinically relevant symptoms of anxiety, depression and persistent somatic symptoms were present virtually only in the PTB cluster. Furthermore, frequencies of low and moderate resilient classes peaked in the PTB cluster. Finally, symptoms of post-traumatic stress disorder were way more frequent in the PTB cluster (any symptoms: &gt; 36%) than in the remaining clusters (</w:t>
      </w:r>
      <w:r>
        <w:rPr>
          <w:b/>
          <w:bCs/>
        </w:rPr>
        <w:t>Figure 3</w:t>
      </w:r>
      <w:r>
        <w:rPr/>
        <w:t>).</w:t>
      </w:r>
    </w:p>
    <w:p>
      <w:pPr>
        <w:pStyle w:val="TextBody"/>
        <w:rPr/>
      </w:pPr>
      <w:r>
        <w:rPr/>
        <w:t>Collectively, the PTG cluster may represent individuals with salutary reaction to mountain sport accident, whereas the PTB cluster may pose a group at risk of mental health deterioration.</w:t>
      </w:r>
      <w:bookmarkStart w:id="16" w:name="X4dde367d8b00698b69aaf50deecab71d224058b"/>
      <w:bookmarkEnd w:id="16"/>
    </w:p>
    <w:p>
      <w:pPr>
        <w:pStyle w:val="Heading1"/>
        <w:rPr/>
      </w:pPr>
      <w:r>
        <w:rPr/>
        <w:t>Demographic, socioeconomic and clinical background of the mental clusters</w:t>
      </w:r>
    </w:p>
    <w:p>
      <w:pPr>
        <w:pStyle w:val="FirstParagraph"/>
        <w:rPr/>
      </w:pPr>
      <w:r>
        <w:rPr/>
        <w:t>Among 51 investigated demographic, socioeconomic, clinical, accident- and accident consequence-related variables, only 5 parameters were found to differ significantly between the mental clusters in both the training and test subsets. The effect size of such differences was weak (</w:t>
      </w:r>
      <w:r>
        <w:rPr>
          <w:b/>
          <w:bCs/>
        </w:rPr>
        <w:t>Supplementary Table S6</w:t>
      </w:r>
      <w:r>
        <w:rPr/>
        <w:t>).</w:t>
      </w:r>
    </w:p>
    <w:p>
      <w:pPr>
        <w:pStyle w:val="TextBody"/>
        <w:rPr/>
      </w:pPr>
      <w:r>
        <w:rPr/>
        <w:t>A substantial enrichment of females, low-to-middle income and non-tertiary education participants was observed in the PTB cluster. The PTG cluster had the highest share of middle-aged individuals. Frequency of somatic conditions before the accident were the highest in the PTG and PTB clusters. Participants with pre-existing mental illness were in turn represented virtually only in the PTB cluster. Although frequencies of previous sport accidents were comparable between the clusters, PTG cluster individuals were affected by prior traumatic events more often than neutral cluster individuals. These differences were, however, non or borderline significant and of weak effect size (</w:t>
      </w:r>
      <w:r>
        <w:rPr>
          <w:b/>
          <w:bCs/>
        </w:rPr>
        <w:t>Figure 4</w:t>
      </w:r>
      <w:r>
        <w:rPr/>
        <w:t xml:space="preserve">, </w:t>
      </w:r>
      <w:r>
        <w:rPr>
          <w:b/>
          <w:bCs/>
        </w:rPr>
        <w:t>Supplementary Figure S5</w:t>
      </w:r>
      <w:r>
        <w:rPr/>
        <w:t>). There were no consistent differences in accident sport type, rescue, injury severity and location between the mental clusters. Yet, PTG and PTB cluster individuals tended towards higher hospitalization and surgery rates (</w:t>
      </w:r>
      <w:r>
        <w:rPr>
          <w:b/>
          <w:bCs/>
        </w:rPr>
        <w:t>Figure 5</w:t>
      </w:r>
      <w:r>
        <w:rPr/>
        <w:t xml:space="preserve"> and </w:t>
      </w:r>
      <w:r>
        <w:rPr>
          <w:b/>
          <w:bCs/>
        </w:rPr>
        <w:t>Supplementary Figure S6</w:t>
      </w:r>
      <w:r>
        <w:rPr/>
        <w:t>).</w:t>
      </w:r>
    </w:p>
    <w:p>
      <w:pPr>
        <w:pStyle w:val="TextBody"/>
        <w:rPr/>
      </w:pPr>
      <w:r>
        <w:rPr/>
        <w:t>Somatic health consequences of the accident and flashbacks were significantly more common in the PTB than the neutral cluster. Additionally, PTG and PTB cluster individuals tended towards more caution during sport as compared with the neutral cluster. Roughly one-sixth PTB cluster individuals reported need for psychological support following the accident as compared with none in the neutral cluster. Rates psychological support after the accident tended to be higher in the PTG (12 - 16%) than in the remaining clusters, yet this effect was significant only in the training subset (</w:t>
      </w:r>
      <w:r>
        <w:rPr>
          <w:b/>
          <w:bCs/>
        </w:rPr>
        <w:t>Figure 6</w:t>
      </w:r>
      <w:r>
        <w:rPr/>
        <w:t>). Given the low frequency of psychological support after the accident in the study cohort and particular clusters, it is unlikely, that psychological support affected the mental cluster assignment .</w:t>
      </w:r>
      <w:bookmarkStart w:id="17" w:name="Xb2c5e96b6d727a9917754773896ed81a3cbf29d"/>
      <w:bookmarkEnd w:id="17"/>
    </w:p>
    <w:p>
      <w:pPr>
        <w:pStyle w:val="Heading1"/>
        <w:rPr/>
      </w:pPr>
      <w:r>
        <w:rPr/>
        <w:t>Prediction of the mental cluster assignment by demographic, socioeconomic and accident-related factors</w:t>
      </w:r>
    </w:p>
    <w:p>
      <w:pPr>
        <w:pStyle w:val="FirstParagraph"/>
        <w:rPr/>
      </w:pPr>
      <w:r>
        <w:rPr/>
        <w:t>Finally, we intended to model the mental cluster assignment with 39 demographic, socioeconomic, clinical and accident-related factors available during acute medical management of the accident (</w:t>
      </w:r>
      <w:r>
        <w:rPr>
          <w:b/>
          <w:bCs/>
        </w:rPr>
        <w:t>Supplementary Table S7</w:t>
      </w:r>
      <w:r>
        <w:rPr/>
        <w:t>). Such models would enable early identification of mountain sport accident victims at risk of mental health problems.</w:t>
      </w:r>
    </w:p>
    <w:p>
      <w:pPr>
        <w:pStyle w:val="TextBody"/>
        <w:rPr/>
      </w:pPr>
      <w:r>
        <w:rPr/>
        <w:t xml:space="preserve">Predictive value (21,22) of single early explanatory parameters was poor (maximum accuracy: 0.45, maximum </w:t>
      </w:r>
      <w:r>
        <w:rPr/>
      </w:r>
      <m:oMath xmlns:m="http://schemas.openxmlformats.org/officeDocument/2006/math">
        <m:r>
          <w:rPr>
            <w:rFonts w:ascii="Cambria Math" w:hAnsi="Cambria Math"/>
          </w:rPr>
          <m:t xml:space="preserve">κ</m:t>
        </m:r>
      </m:oMath>
      <w:r>
        <w:rPr/>
        <w:t>: 0.18) and inconsistent between the subsets of the study cohort. In such univariable analysis, age class, annual income and traumatic events in the past were the most predictive factors (</w:t>
      </w:r>
      <w:r>
        <w:rPr>
          <w:b/>
          <w:bCs/>
        </w:rPr>
        <w:t>Supplementary Figure S7</w:t>
      </w:r>
      <w:r>
        <w:rPr/>
        <w:t>).</w:t>
      </w:r>
    </w:p>
    <w:p>
      <w:pPr>
        <w:pStyle w:val="TextBody"/>
        <w:rPr/>
      </w:pPr>
      <w:r>
        <w:rPr/>
        <w:t>To account for cumulative effects and interactions of multiple weak predictors of the mental cluster assignment, we resorted to conditional random forest modeling (23–25). This multi-parameter model employing early candidate cluster predictors could correctly assign 81% training subset observations to their mental clusters (</w:t>
      </w:r>
      <w:r>
        <w:rPr/>
      </w:r>
      <m:oMath xmlns:m="http://schemas.openxmlformats.org/officeDocument/2006/math">
        <m:r>
          <w:rPr>
            <w:rFonts w:ascii="Cambria Math" w:hAnsi="Cambria Math"/>
          </w:rPr>
          <m:t xml:space="preserve">κ</m:t>
        </m:r>
      </m:oMath>
      <w:r>
        <w:rPr/>
        <w:t xml:space="preserve"> = 0.71). However, its predictive performance in the test subset was poor (accuracy: 42, </w:t>
      </w:r>
      <w:r>
        <w:rPr/>
      </w:r>
      <m:oMath xmlns:m="http://schemas.openxmlformats.org/officeDocument/2006/math">
        <m:r>
          <w:rPr>
            <w:rFonts w:ascii="Cambria Math" w:hAnsi="Cambria Math"/>
          </w:rPr>
          <m:t xml:space="preserve">κ</m:t>
        </m:r>
      </m:oMath>
      <w:r>
        <w:rPr/>
        <w:t xml:space="preserve"> = 0.14). The prediction quality was the best for the PTG cluster (accuracy, training: 89.5%, test: 59.4%, </w:t>
      </w:r>
      <w:r>
        <w:rPr>
          <w:b/>
          <w:bCs/>
        </w:rPr>
        <w:t>Figure 7A</w:t>
      </w:r>
      <w:r>
        <w:rPr/>
        <w:t>). The most important early explanatory variables for the cluster prediction by conditional random forests were annual income, sex, mode of rescue, leg injury and pre-existing mental illness (</w:t>
      </w:r>
      <w:r>
        <w:rPr>
          <w:b/>
          <w:bCs/>
        </w:rPr>
        <w:t>Figure 7B</w:t>
      </w:r>
      <w:r>
        <w:rPr/>
        <w:t xml:space="preserve">). Inclusion of late accident consequences such as cautious behavior during sport, flashbacks or somatic health burden of the accident in the random forest model could only marginally improve its performance (training: accuracy = 0.82, </w:t>
      </w:r>
      <w:r>
        <w:rPr/>
      </w:r>
      <m:oMath xmlns:m="http://schemas.openxmlformats.org/officeDocument/2006/math">
        <m:r>
          <w:rPr>
            <w:rFonts w:ascii="Cambria Math" w:hAnsi="Cambria Math"/>
          </w:rPr>
          <m:t xml:space="preserve">κ</m:t>
        </m:r>
      </m:oMath>
      <w:r>
        <w:rPr/>
        <w:t xml:space="preserve"> = 0.72; test subset: accuracy = 0.5, </w:t>
      </w:r>
      <w:r>
        <w:rPr/>
      </w:r>
      <m:oMath xmlns:m="http://schemas.openxmlformats.org/officeDocument/2006/math">
        <m:r>
          <w:rPr>
            <w:rFonts w:ascii="Cambria Math" w:hAnsi="Cambria Math"/>
          </w:rPr>
          <m:t xml:space="preserve">κ</m:t>
        </m:r>
      </m:oMath>
      <w:r>
        <w:rPr/>
        <w:t xml:space="preserve"> = 0.25). The most important late predictors of the cluster assignment were caution during sport and flashbacks (</w:t>
      </w:r>
      <w:r>
        <w:rPr>
          <w:b/>
          <w:bCs/>
        </w:rPr>
        <w:t>Supplementary Figure S8</w:t>
      </w:r>
      <w:r>
        <w:rPr/>
        <w:t>).</w:t>
      </w:r>
    </w:p>
    <w:p>
      <w:pPr>
        <w:pStyle w:val="TextBody"/>
        <w:rPr/>
      </w:pPr>
      <w:r>
        <w:rPr/>
        <w:t>Collectively, we could not establish a reliable model for identification of patients at risk of mental disorders represented by the PTB cluster with a broad ensemble of early non-mental predictors.</w:t>
      </w:r>
    </w:p>
    <w:p>
      <w:pPr>
        <w:pStyle w:val="Normal"/>
        <w:rPr/>
      </w:pPr>
      <w:r>
        <w:rPr/>
      </w:r>
      <w:bookmarkStart w:id="18" w:name="Xfd5bf1287b09cdfcfc4ffba6e9e6544347fdc28"/>
      <w:bookmarkStart w:id="19" w:name="Xfd5bf1287b09cdfcfc4ffba6e9e6544347fdc28"/>
      <w:bookmarkEnd w:id="19"/>
      <w:r>
        <w:br w:type="page"/>
      </w:r>
    </w:p>
    <w:p>
      <w:pPr>
        <w:pStyle w:val="Heading1"/>
        <w:rPr/>
      </w:pPr>
      <w:r>
        <w:rPr/>
        <w:t>Discussion</w:t>
      </w:r>
    </w:p>
    <w:p>
      <w:pPr>
        <w:pStyle w:val="FirstParagraph"/>
        <w:rPr/>
      </w:pPr>
      <w:r>
        <w:rPr/>
        <w:t>In individuals surveyed on average 3.5 years after the non-professional sport accident, some of its consequences like somatic health problems, unwilling flashbacks as well as phenomena of post-traumatic growth and symptoms of post-traumatic stress disorder were still tangible. By semi-supervised clustering we could discern three distinct patterns of mental health in this collective with each present in approximately one-third of participants: (1) a neutral mental response reaction, (2) salutatory reaction to the accident characterized by post-traumatic growth and (3) mental health deterioration hallmarked by mental accident burden such as symptoms of anxiety, depression, somatization, resilience loss and signs of post-traumatic stress disorder. Notably, separation of the PTG and PTB clusters was in part blurry. Symptoms of post-traumatic stress were observed also in PTG cluster participants albeit less frequently than in the PTB cluster. Conversely, mental health problems in PTB cluster participants were paralleled by some signs of post-traumatic growth. In a detailed comparison of 51 factors between the clusters, no distinct demographic, socioeconomic, clinical or accident-related background of the mental clusters could be identified. We found a moderate enrichment of females, low-to-moderate income participants, non-academic graduates, chronic somatic and psychiatric conditions as well as individuals requiring hospitalization and surgery in the PTG and, in particular, in the PTB cluster. Injury severity and localization or professional rescue rates indicative of potentially more severe accident were comparable between the clusters. Similarly, the cluster assignment was unlikely affected by psychological support after the accident. In turn, the PTB and, to a lesser extent, the PTG cluster were characterized by somatic health consequences of the accident, flashbacks, more caution during sport activity and subjective need for psychological support. Finally, the lacking non-mental explanatory variables strongly associated with the cluster assignment likely resulted in sub-optimal performance of machine learning classifiers employed for prediction of the cluster assignment and identification of accident victims at risk of mental health problems.</w:t>
      </w:r>
    </w:p>
    <w:p>
      <w:pPr>
        <w:pStyle w:val="TextBody"/>
        <w:rPr/>
      </w:pPr>
      <w:r>
        <w:rPr>
          <w:i/>
          <w:iCs/>
        </w:rPr>
        <w:t>Hanna and Katharina: your turn now:)</w:t>
      </w:r>
    </w:p>
    <w:p>
      <w:pPr>
        <w:pStyle w:val="TextBody"/>
        <w:rPr/>
      </w:pPr>
      <w:r>
        <w:rPr/>
        <w:t>Our study bears limitations. First, although the key phenomena phenomena in the newly identified mental clusters, post-traumatic growth and post-traumatic stress disorder, are clearly associated with trauma (8,9), we could not exclude the mental cluster assignment to be affected by other events than the sport accident. To account for that, follow-up studies including a control group are needed. Second, our variable set misses potentially important explanatory factors for the mental cluster classification such as length of hospital stay, rehabilitation need or ability to work. Finally, effects of the accident, injury severity, hospitalization or surgery on mental health after an accident may have been obscured in the cross-sectional cohort and needs to be investigated in a more defined collective e.g. of high risk sport accident victims or hospitalized individuals.</w:t>
      </w:r>
      <w:bookmarkStart w:id="20" w:name="discussion"/>
      <w:bookmarkEnd w:id="20"/>
    </w:p>
    <w:p>
      <w:pPr>
        <w:pStyle w:val="Heading1"/>
        <w:rPr/>
      </w:pPr>
      <w:r>
        <w:rPr/>
        <w:t>Conclusion</w:t>
      </w:r>
    </w:p>
    <w:p>
      <w:pPr>
        <w:pStyle w:val="FirstParagraph"/>
        <w:rPr/>
      </w:pPr>
      <w:r>
        <w:rPr>
          <w:i/>
          <w:iCs/>
        </w:rPr>
        <w:t>Your part again please</w:t>
      </w:r>
    </w:p>
    <w:p>
      <w:pPr>
        <w:pStyle w:val="Normal"/>
        <w:rPr/>
      </w:pPr>
      <w:r>
        <w:rPr/>
      </w:r>
      <w:bookmarkStart w:id="21" w:name="conclusion"/>
      <w:bookmarkStart w:id="22" w:name="conclusion"/>
      <w:bookmarkEnd w:id="22"/>
      <w:r>
        <w:br w:type="page"/>
      </w:r>
    </w:p>
    <w:p>
      <w:pPr>
        <w:pStyle w:val="Heading1"/>
        <w:rPr/>
      </w:pPr>
      <w:r>
        <w:rPr/>
        <w:t>Acknowledgments</w:t>
      </w:r>
      <w:bookmarkStart w:id="23" w:name="acknowledgments"/>
      <w:bookmarkEnd w:id="23"/>
    </w:p>
    <w:p>
      <w:pPr>
        <w:pStyle w:val="Heading1"/>
        <w:rPr/>
      </w:pPr>
      <w:r>
        <w:rPr/>
        <w:t>Author’s contribution</w:t>
      </w:r>
      <w:bookmarkStart w:id="24" w:name="authors-contribution"/>
      <w:bookmarkEnd w:id="24"/>
    </w:p>
    <w:p>
      <w:pPr>
        <w:pStyle w:val="Heading1"/>
        <w:rPr/>
      </w:pPr>
      <w:r>
        <w:rPr/>
        <w:t>Conflict of interest</w:t>
      </w:r>
      <w:bookmarkStart w:id="25" w:name="conflict-of-interest"/>
      <w:bookmarkEnd w:id="25"/>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p>
    <w:p>
      <w:pPr>
        <w:pStyle w:val="Normal"/>
        <w:rPr/>
      </w:pPr>
      <w:r>
        <w:rPr/>
      </w:r>
      <w:bookmarkStart w:id="26" w:name="data-and-code-availability"/>
      <w:bookmarkStart w:id="27" w:name="data-and-code-availability"/>
      <w:bookmarkEnd w:id="27"/>
      <w:r>
        <w:br w:type="page"/>
      </w:r>
    </w:p>
    <w:p>
      <w:pPr>
        <w:pStyle w:val="Heading1"/>
        <w:rPr/>
      </w:pPr>
      <w:r>
        <w:rPr/>
        <w:t>Tables</w:t>
      </w:r>
    </w:p>
    <w:p>
      <w:pPr>
        <w:pStyle w:val="TableCaption"/>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 visit – survey time, days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1300 [IQR: 800 - 1400], range: 390 - 1600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33 - 60], range: 18 - 82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class, years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16-30: 20% (n = 61)</w:t>
              <w:br/>
              <w:t>31-65: 66% (n = 202)</w:t>
              <w:br/>
              <w:t>&gt;65: 14% (n = 44)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45% (n = 137)</w:t>
              <w:br/>
              <w:t>male: 55% (n = 170)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Residence in the Alps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225)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Education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primary/apprenticeship: 16% (n = 49)</w:t>
              <w:br/>
              <w:t>secondary: 38% (n = 115)</w:t>
              <w:br/>
              <w:t>tertiary: 45% (n = 136)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68% (n = 210)</w:t>
              <w:br/>
              <w:t>unemployed: 3.6% (n = 11)</w:t>
              <w:br/>
              <w:t>student: 10% (n = 32)</w:t>
              <w:br/>
              <w:t>retired: 18% (n = 54)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Sport profession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Trauma-risk profession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(n = 22)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Income/year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income: 21% (n = 63)</w:t>
              <w:br/>
              <w:t>&lt; 30000 EUR: 18% (n = 56)</w:t>
              <w:br/>
              <w:t>30000 - 45000 EUR: 19% (n = 59)</w:t>
              <w:br/>
              <w:t>≥ 45000 EUR: 42% (n = 129)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(n = 24)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Alcohol abuse (CAGE ≥2)</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 (n = 29)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somatic illness type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85% (n = 260)</w:t>
              <w:br/>
              <w:t>CVD: 2.9% (n = 9)</w:t>
              <w:br/>
              <w:t>neurological: 1.3% (n = 4)</w:t>
              <w:br/>
              <w:t>metabolic: 1.3% (n = 4)</w:t>
              <w:br/>
              <w:t>pulmonary: 0.65% (n = 2)</w:t>
              <w:br/>
              <w:t>cancer: 0.65% (n = 2)</w:t>
              <w:br/>
              <w:t>rheumatoid: 0.33% (n = 1)</w:t>
              <w:br/>
              <w:t>skin: 0.33% (n = 1)</w:t>
              <w:br/>
              <w:t>other: 7.8% (n = 24)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mental illness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Prior traumatic event/DIA-X</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40% (n = 124)</w:t>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CAGE: Cut/Annoyed/Guilty/Eye substance abuse scale; DIA-X: Diagnostic Expert System, traumatic event score</w:t>
            </w:r>
          </w:p>
        </w:tc>
      </w:tr>
    </w:tbl>
    <w:p>
      <w:pPr>
        <w:pStyle w:val="Normal"/>
        <w:rPr/>
      </w:pPr>
      <w:r>
        <w:rPr/>
      </w:r>
      <w:r>
        <w:br w:type="page"/>
      </w:r>
    </w:p>
    <w:p>
      <w:pPr>
        <w:pStyle w:val="TableCaption"/>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Prior sport accidents</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118)</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Sport type</w:t>
            </w:r>
            <w:r>
              <w:rPr>
                <w:rFonts w:eastAsia="Arial" w:cs="Arial"/>
                <w:b w:val="false"/>
                <w:i w:val="false"/>
                <w:color w:val="000000"/>
                <w:sz w:val="20"/>
                <w:szCs w:val="20"/>
                <w:u w:val="none"/>
                <w:vertAlign w:val="superscript"/>
              </w:rPr>
              <w:t>a</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ski/snowboard: 64% (n = 197)</w:t>
              <w:br/>
              <w:t>sledding: 3.9% (n = 12)</w:t>
              <w:br/>
              <w:t>climbing/hiking/mountaineering: 14% (n = 42)</w:t>
              <w:br/>
              <w:t>biking: 16% (n = 48)</w:t>
              <w:br/>
              <w:t>other: 2.6% (n = 8)</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Alone during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97)</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Accident culprit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77% (n = 237)</w:t>
              <w:br/>
              <w:t>non-self: 23% (n = 70)</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Injured persons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only self: 64% (n = 195)</w:t>
              <w:br/>
              <w:t>self and partner: 3.6% (n = 11)</w:t>
              <w:br/>
              <w:t>3+ persons: 1.3% (n = 4)</w:t>
              <w:br/>
              <w:t>no information: 32% (n = 97)</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Rescue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50% (n = 155)</w:t>
              <w:br/>
              <w:t>partner/third party: 21% (n = 63)</w:t>
              <w:br/>
              <w:t>rescue team: 29% (n = 89)</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Injury severity class, AIS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37% (n = 108)</w:t>
              <w:br/>
              <w:t>2: 35% (n = 103)</w:t>
              <w:br/>
              <w:t>3+: 28% (n = 83)</w:t>
              <w:br/>
              <w:t>n = 294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Hospitalized</w:t>
            </w:r>
            <w:r>
              <w:rPr>
                <w:rFonts w:eastAsia="Arial" w:cs="Arial"/>
                <w:b w:val="false"/>
                <w:i w:val="false"/>
                <w:color w:val="000000"/>
                <w:sz w:val="20"/>
                <w:szCs w:val="20"/>
                <w:u w:val="none"/>
                <w:vertAlign w:val="superscript"/>
              </w:rPr>
              <w:t>b</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(n = 80)</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Surgery</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43)</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 support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 (n = 28)</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 support need</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 (n = 23)</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Somatic accident aftermath</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(n = 115)</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Returned to same sport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(n = 262)</w:t>
              <w:br/>
              <w:t>n = 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Caution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change: 35% (n = 106)</w:t>
              <w:br/>
              <w:t>more cautious: 65% (n = 199)</w:t>
              <w:br/>
              <w:t>less cautious: 0.65% (n = 2)</w:t>
              <w:br/>
              <w:t>n = 307</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Flashback frequency</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185)</w:t>
              <w:br/>
              <w:t>&gt; 1/month: 18% (n = 54)</w:t>
              <w:br/>
              <w:t>&gt; 1/year: 22% (n = 68)</w:t>
              <w:br/>
              <w:t>n = 307</w:t>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ski/snowdoard: alpine skiing, snowboarding and cross-country skiing</w:t>
              <w:br/>
              <w:t>sledding: sledding or bobsled</w:t>
              <w:br/>
              <w:t>climbing/hiking/mountaineering: hiking, rock and ice climbing, mountaineering, skitouring</w:t>
              <w:br/>
              <w:t>biking: mountainbike, tour and road cycling</w:t>
            </w:r>
          </w:p>
        </w:tc>
      </w:tr>
      <w:tr>
        <w:trPr>
          <w:trHeight w:val="360" w:hRule="atLeast"/>
        </w:trPr>
        <w:tc>
          <w:tcPr>
            <w:tcW w:w="7369" w:type="dxa"/>
            <w:gridSpan w:val="2"/>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AIS: abbreviated injury scale</w:t>
            </w:r>
          </w:p>
        </w:tc>
      </w:tr>
    </w:tbl>
    <w:p>
      <w:pPr>
        <w:pStyle w:val="Normal"/>
        <w:rPr/>
      </w:pPr>
      <w:r>
        <w:rPr/>
      </w:r>
      <w:r>
        <w:br w:type="page"/>
      </w:r>
    </w:p>
    <w:p>
      <w:pPr>
        <w:pStyle w:val="TableCaption"/>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GAD-7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 range: 0 - 15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Anxiety symptoms (GAD-7 ≥10)</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(n = 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PHQ-9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1 - 5], range: 0 - 16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Depression symptoms (PHQ-9 ≥11)</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 (n = 17)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PHQ-15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1 - 4], range: 0 - 23</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Somatization symptoms (PHQ-15 ≥11)</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 (n = 15)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EUROHIS-QOL 8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4 - 4.6], range: 2 - 5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SOC-9L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[IQR: 16 - 25], range: 10 - 49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70 - 85], range: 15 - 91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coping class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low: 18% (n = 56)</w:t>
              <w:br/>
              <w:t>moderate: 14% (n = 42)</w:t>
              <w:br/>
              <w:t>high: 68% (n = 209)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PTGI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[IQR: 16 - 48], range: 0 - 100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PCL-5 DSM-5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1 - 7], range: 0 - 44</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PTSD+ (at least one domain)</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(n = 58)</w:t>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pPr>
        <w:pStyle w:val="Normal"/>
        <w:rPr/>
      </w:pPr>
      <w:r>
        <w:rPr/>
      </w:r>
      <w:bookmarkStart w:id="28" w:name="tables"/>
      <w:bookmarkStart w:id="29" w:name="tables"/>
      <w:bookmarkEnd w:id="29"/>
      <w:r>
        <w:br w:type="page"/>
      </w:r>
    </w:p>
    <w:p>
      <w:pPr>
        <w:pStyle w:val="Heading1"/>
        <w:rPr/>
      </w:pPr>
      <w:r>
        <w:rPr/>
        <w:t>Figures</w:t>
      </w:r>
    </w:p>
    <w:p>
      <w:pPr>
        <w:pStyle w:val="CaptionedFigure"/>
        <w:rPr/>
      </w:pPr>
      <w:r>
        <w:rPr/>
        <w:drawing>
          <wp:inline distT="0" distB="0" distL="114935" distR="114935">
            <wp:extent cx="4326255" cy="6008370"/>
            <wp:effectExtent l="0" t="0" r="0" b="0"/>
            <wp:docPr id="1" name="Picture" descr="Figure 1: Flow diagram of the analysis inclusion process and the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and the analysis strategy."/>
                    <pic:cNvPicPr>
                      <a:picLocks noChangeAspect="1" noChangeArrowheads="1"/>
                    </pic:cNvPicPr>
                  </pic:nvPicPr>
                  <pic:blipFill>
                    <a:blip r:embed="rId4"/>
                    <a:stretch>
                      <a:fillRect/>
                    </a:stretch>
                  </pic:blipFill>
                  <pic:spPr bwMode="auto">
                    <a:xfrm>
                      <a:off x="0" y="0"/>
                      <a:ext cx="4326255" cy="6008370"/>
                    </a:xfrm>
                    <a:prstGeom prst="rect">
                      <a:avLst/>
                    </a:prstGeom>
                  </pic:spPr>
                </pic:pic>
              </a:graphicData>
            </a:graphic>
          </wp:inline>
        </w:drawing>
      </w:r>
    </w:p>
    <w:p>
      <w:pPr>
        <w:pStyle w:val="TextBody"/>
        <w:rPr/>
      </w:pPr>
      <w:r>
        <w:rPr>
          <w:b/>
          <w:bCs/>
        </w:rPr>
        <w:t>Figure 1. Flow diagram of the analysis inclusion process and the analysis strategy.</w:t>
      </w:r>
    </w:p>
    <w:p>
      <w:pPr>
        <w:pStyle w:val="Normal"/>
        <w:rPr/>
      </w:pPr>
      <w:r>
        <w:rPr/>
      </w:r>
      <w:r>
        <w:br w:type="page"/>
      </w:r>
    </w:p>
    <w:p>
      <w:pPr>
        <w:pStyle w:val="CaptionedFigure"/>
        <w:rPr/>
      </w:pPr>
      <w:r>
        <w:rPr/>
        <w:drawing>
          <wp:inline distT="0" distB="0" distL="114935" distR="114935">
            <wp:extent cx="5943600" cy="7596505"/>
            <wp:effectExtent l="0" t="0" r="0" b="0"/>
            <wp:docPr id="2" name="Image1" descr="Figure 2: Scores of psychometry readou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psychometry readouts in the mental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TextBody"/>
        <w:rPr/>
      </w:pPr>
      <w:r>
        <w:rPr>
          <w:b/>
          <w:bCs/>
        </w:rPr>
        <w:t>Figure 2. Scores of psychometry readouts in the mental clusters.</w:t>
      </w:r>
    </w:p>
    <w:p>
      <w:pPr>
        <w:pStyle w:val="TextBody"/>
        <w:rPr/>
      </w:pPr>
      <w:r>
        <w:rPr>
          <w:i/>
          <w:iCs/>
        </w:rPr>
        <w:t xml:space="preserve">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Three mental clusters were identified: neutral, PTG (post-traumatic growth) and PTB (post-traumatic burden), All clustering parameters differed significantly between the clusters 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Mean normalized scores of major mental health readouts (A), diminished quality of life (B), post-traumatic growth (C) and post-traumatic symptom disorder (D) in the mental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Signs of mental health problem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igns of mental health problems in the mental clusters."/>
                    <pic:cNvPicPr>
                      <a:picLocks noChangeAspect="1" noChangeArrowheads="1"/>
                    </pic:cNvPicPr>
                  </pic:nvPicPr>
                  <pic:blipFill>
                    <a:blip r:embed="rId6"/>
                    <a:stretch>
                      <a:fillRect/>
                    </a:stretch>
                  </pic:blipFill>
                  <pic:spPr bwMode="auto">
                    <a:xfrm>
                      <a:off x="0" y="0"/>
                      <a:ext cx="5943600" cy="7265035"/>
                    </a:xfrm>
                    <a:prstGeom prst="rect">
                      <a:avLst/>
                    </a:prstGeom>
                  </pic:spPr>
                </pic:pic>
              </a:graphicData>
            </a:graphic>
          </wp:inline>
        </w:drawing>
      </w:r>
    </w:p>
    <w:p>
      <w:pPr>
        <w:pStyle w:val="TextBody"/>
        <w:rPr/>
      </w:pPr>
      <w:r>
        <w:rPr>
          <w:b/>
          <w:bCs/>
        </w:rPr>
        <w:t>Figure 3. Signs of mental health problems in the mental clusters.</w:t>
      </w:r>
    </w:p>
    <w:p>
      <w:pPr>
        <w:pStyle w:val="TextBody"/>
        <w:rPr/>
      </w:pPr>
      <w:r>
        <w:rPr>
          <w:i/>
          <w:iCs/>
        </w:rPr>
        <w:t xml:space="preserve">Frequencies of symptoms of anxiety (A, GAD-7 ≥10), depression (B, PHQ-9 ≥ 11) and somatization (C, PHQ-15 ≥ 11), distribution of resilient coping classes (D, RS13) and symptoms of post-traumatic stress disorder (E, PTSD, PCL-5 DSM-5, positivity for PTSD domains and frequency of participants positive for at least one PTSD domain [PTSD+])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Fractions of symptom-positive and -negative participants in the mental clusters in the training and test subset of the study cohort are presented in stack and bar plots. Effect sizes and p-values are shown in the plot captions or Y axes. Numbers of observations in the clusters are shown in the X axes or plot captions. Significant effects in (E) are highlighted in bold. GAD-7: 7-item general anxiety disorder scale; PHQ: patient health questionnaire; RS13: 13-item resilience scale; PCL-5 DSM-5: PTSD checklist for DSM-5; PTSD: post-traumatic stress disorder.</w:t>
      </w:r>
    </w:p>
    <w:p>
      <w:pPr>
        <w:pStyle w:val="Normal"/>
        <w:rPr/>
      </w:pPr>
      <w:r>
        <w:rPr/>
      </w:r>
      <w:r>
        <w:br w:type="page"/>
      </w:r>
    </w:p>
    <w:p>
      <w:pPr>
        <w:pStyle w:val="CaptionedFigure"/>
        <w:rPr/>
      </w:pPr>
      <w:r>
        <w:rPr/>
        <w:drawing>
          <wp:inline distT="0" distB="0" distL="114935" distR="114935">
            <wp:extent cx="5943600" cy="4624070"/>
            <wp:effectExtent l="0" t="0" r="0" b="0"/>
            <wp:docPr id="4" name="Image3" descr="Figure 4: Demographic and clinical factors differing between the mental clusters of accident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Demographic and clinical factors differing between the mental clusters of accident victims."/>
                    <pic:cNvPicPr>
                      <a:picLocks noChangeAspect="1" noChangeArrowheads="1"/>
                    </pic:cNvPicPr>
                  </pic:nvPicPr>
                  <pic:blipFill>
                    <a:blip r:embed="rId7"/>
                    <a:stretch>
                      <a:fillRect/>
                    </a:stretch>
                  </pic:blipFill>
                  <pic:spPr bwMode="auto">
                    <a:xfrm>
                      <a:off x="0" y="0"/>
                      <a:ext cx="5943600" cy="4624070"/>
                    </a:xfrm>
                    <a:prstGeom prst="rect">
                      <a:avLst/>
                    </a:prstGeom>
                  </pic:spPr>
                </pic:pic>
              </a:graphicData>
            </a:graphic>
          </wp:inline>
        </w:drawing>
      </w:r>
    </w:p>
    <w:p>
      <w:pPr>
        <w:pStyle w:val="TextBody"/>
        <w:rPr/>
      </w:pPr>
      <w:r>
        <w:rPr>
          <w:b/>
          <w:bCs/>
        </w:rPr>
        <w:t>Figure 4. Demographic and clinical factors differing between the mental clusters of accident victims.</w:t>
      </w:r>
    </w:p>
    <w:p>
      <w:pPr>
        <w:pStyle w:val="TextBody"/>
        <w:rPr/>
      </w:pPr>
      <w:r>
        <w:rPr>
          <w:i/>
          <w:iCs/>
        </w:rPr>
        <w:t xml:space="preserve">Distribution of gender (A), annual household income (B), and frequencies of self-reported pre-existing somatic conditions (C) and self-reported pre-existing mental illness (D)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596505"/>
            <wp:effectExtent l="0" t="0" r="0" b="0"/>
            <wp:docPr id="5" name="Image4" descr="Figure 5: Injury severity and location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Injury severity and location in the mental clusters."/>
                    <pic:cNvPicPr>
                      <a:picLocks noChangeAspect="1" noChangeArrowheads="1"/>
                    </pic:cNvPicPr>
                  </pic:nvPicPr>
                  <pic:blipFill>
                    <a:blip r:embed="rId8"/>
                    <a:stretch>
                      <a:fillRect/>
                    </a:stretch>
                  </pic:blipFill>
                  <pic:spPr bwMode="auto">
                    <a:xfrm>
                      <a:off x="0" y="0"/>
                      <a:ext cx="5943600" cy="7596505"/>
                    </a:xfrm>
                    <a:prstGeom prst="rect">
                      <a:avLst/>
                    </a:prstGeom>
                  </pic:spPr>
                </pic:pic>
              </a:graphicData>
            </a:graphic>
          </wp:inline>
        </w:drawing>
      </w:r>
    </w:p>
    <w:p>
      <w:pPr>
        <w:pStyle w:val="TextBody"/>
        <w:rPr/>
      </w:pPr>
      <w:r>
        <w:rPr>
          <w:b/>
          <w:bCs/>
        </w:rPr>
        <w:t>Figure 5. Injury severity and location in the mental clusters.</w:t>
      </w:r>
    </w:p>
    <w:p>
      <w:pPr>
        <w:pStyle w:val="TextBody"/>
        <w:rPr/>
      </w:pPr>
      <w:r>
        <w:rPr>
          <w:i/>
          <w:iCs/>
        </w:rPr>
        <w:t xml:space="preserve">Distribution of injury severity grades (A, AIS: abbreviated injury scale), hospitalization (B) and surgery rates (C), and injuries of the body parts (D)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and bar plots. Effect sizes and p-values are displayed in the plot captions or Y axes. Numbers of observations in the clusters are presented in the X axes or plot captions.</w:t>
      </w:r>
    </w:p>
    <w:p>
      <w:pPr>
        <w:pStyle w:val="Normal"/>
        <w:rPr/>
      </w:pPr>
      <w:r>
        <w:rPr/>
      </w:r>
      <w:r>
        <w:br w:type="page"/>
      </w:r>
    </w:p>
    <w:p>
      <w:pPr>
        <w:pStyle w:val="CaptionedFigure"/>
        <w:rPr/>
      </w:pPr>
      <w:r>
        <w:rPr/>
        <w:drawing>
          <wp:inline distT="0" distB="0" distL="114935" distR="114935">
            <wp:extent cx="5943600" cy="7596505"/>
            <wp:effectExtent l="0" t="0" r="0" b="0"/>
            <wp:docPr id="6" name="Image5" descr="Figure 6: Consequences of the accident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nsequences of the accident in the mental clusters."/>
                    <pic:cNvPicPr>
                      <a:picLocks noChangeAspect="1" noChangeArrowheads="1"/>
                    </pic:cNvPicPr>
                  </pic:nvPicPr>
                  <pic:blipFill>
                    <a:blip r:embed="rId9"/>
                    <a:stretch>
                      <a:fillRect/>
                    </a:stretch>
                  </pic:blipFill>
                  <pic:spPr bwMode="auto">
                    <a:xfrm>
                      <a:off x="0" y="0"/>
                      <a:ext cx="5943600" cy="7596505"/>
                    </a:xfrm>
                    <a:prstGeom prst="rect">
                      <a:avLst/>
                    </a:prstGeom>
                  </pic:spPr>
                </pic:pic>
              </a:graphicData>
            </a:graphic>
          </wp:inline>
        </w:drawing>
      </w:r>
    </w:p>
    <w:p>
      <w:pPr>
        <w:pStyle w:val="TextBody"/>
        <w:rPr/>
      </w:pPr>
      <w:r>
        <w:rPr>
          <w:b/>
          <w:bCs/>
        </w:rPr>
        <w:t>Figure 6. Consequences of the accident in the mental clusters.</w:t>
      </w:r>
    </w:p>
    <w:p>
      <w:pPr>
        <w:pStyle w:val="TextBody"/>
        <w:rPr/>
      </w:pPr>
      <w:r>
        <w:rPr>
          <w:i/>
          <w:iCs/>
        </w:rPr>
        <w:t xml:space="preserve">Frequencies of self-reported somatic health consequences of the accident (A), flashbacks during sport (B), more or less cautious behavior during sport activity (C), self-reported psychological support need (D) and of a received psychological support (E)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4953635"/>
            <wp:effectExtent l="0" t="0" r="0" b="0"/>
            <wp:docPr id="7" name="Image6" descr="Figure 7: Assignment of accident victims to the mental clusters based on explanatory fa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clusters based on explanatory factors available during acute medical management of the accident."/>
                    <pic:cNvPicPr>
                      <a:picLocks noChangeAspect="1" noChangeArrowheads="1"/>
                    </pic:cNvPicPr>
                  </pic:nvPicPr>
                  <pic:blipFill>
                    <a:blip r:embed="rId10"/>
                    <a:stretch>
                      <a:fillRect/>
                    </a:stretch>
                  </pic:blipFill>
                  <pic:spPr bwMode="auto">
                    <a:xfrm>
                      <a:off x="0" y="0"/>
                      <a:ext cx="5943600" cy="4953635"/>
                    </a:xfrm>
                    <a:prstGeom prst="rect">
                      <a:avLst/>
                    </a:prstGeom>
                  </pic:spPr>
                </pic:pic>
              </a:graphicData>
            </a:graphic>
          </wp:inline>
        </w:drawing>
      </w:r>
    </w:p>
    <w:p>
      <w:pPr>
        <w:pStyle w:val="TextBody"/>
        <w:rPr/>
      </w:pPr>
      <w:r>
        <w:rPr>
          <w:b/>
          <w:bCs/>
        </w:rPr>
        <w:t>Figure 7. Assignment of accident victims to the mental clusters based on explanatory factors available during acute medical management of the accident.</w:t>
      </w:r>
    </w:p>
    <w:p>
      <w:pPr>
        <w:pStyle w:val="TextBody"/>
        <w:rPr/>
      </w:pPr>
      <w:r>
        <w:rPr>
          <w:i/>
          <w:iCs/>
        </w:rPr>
        <w:t>A conditional random forest classifier for the mental cluster assignment based on demographic, socioeconomic, clinical and accident-related factors available during acute medical management of the accident was trained in the training subset of the study cohort.</w:t>
      </w:r>
    </w:p>
    <w:p>
      <w:pPr>
        <w:pStyle w:val="TextBody"/>
        <w:rPr/>
      </w:pPr>
      <w:r>
        <w:rPr>
          <w:i/>
          <w:iCs/>
        </w:rPr>
        <w:t xml:space="preserve">(A) Prediction accuracy of the classifier in the training and test subset of the study cohort presented in a heat map plot of the confusion matrices. Color codes for number of cases. The overall prediction accuracy, </w:t>
      </w:r>
      <w:r>
        <w:rPr/>
      </w:r>
      <m:oMath xmlns:m="http://schemas.openxmlformats.org/officeDocument/2006/math">
        <m:r>
          <w:rPr>
            <w:rFonts w:ascii="Cambria Math" w:hAnsi="Cambria Math"/>
          </w:rPr>
          <m:t xml:space="preserve">κ</m:t>
        </m:r>
      </m:oMath>
      <w:r>
        <w:rPr>
          <w:i/>
          <w:iCs/>
        </w:rPr>
        <w:t xml:space="preserve"> and observation numbers are displayed in the plot caption. Prediction accuracy for particular clusters is shown in the X axis.</w:t>
      </w:r>
    </w:p>
    <w:p>
      <w:pPr>
        <w:pStyle w:val="TextBody"/>
        <w:rPr/>
      </w:pPr>
      <w:r>
        <w:rPr>
          <w:i/>
          <w:iCs/>
        </w:rPr>
        <w:t>(B) Conditional importance of the explanatory variables for prediction of the mental cluster assignment expressed as accuracy loss (</w:t>
      </w:r>
      <w:r>
        <w:rPr/>
      </w:r>
      <m:oMath xmlns:m="http://schemas.openxmlformats.org/officeDocument/2006/math">
        <m:r>
          <w:rPr>
            <w:rFonts w:ascii="Cambria Math" w:hAnsi="Cambria Math"/>
          </w:rPr>
          <m:t xml:space="preserve">Δ</m:t>
        </m:r>
      </m:oMath>
      <w:r>
        <w:rPr>
          <w:i/>
          <w:iCs/>
        </w:rPr>
        <w:t xml:space="preserve"> accuracy).</w:t>
      </w:r>
    </w:p>
    <w:p>
      <w:pPr>
        <w:pStyle w:val="Normal"/>
        <w:rPr/>
      </w:pPr>
      <w:r>
        <w:rPr/>
      </w:r>
      <w:bookmarkStart w:id="30" w:name="figures"/>
      <w:bookmarkStart w:id="31" w:name="figures"/>
      <w:bookmarkEnd w:id="31"/>
      <w:r>
        <w:br w:type="page"/>
      </w:r>
    </w:p>
    <w:p>
      <w:pPr>
        <w:pStyle w:val="Heading1"/>
        <w:rPr/>
      </w:pPr>
      <w:r>
        <w:rPr/>
        <w:t>References</w:t>
      </w:r>
    </w:p>
    <w:p>
      <w:pPr>
        <w:pStyle w:val="Bibliography"/>
        <w:rPr/>
      </w:pPr>
      <w:r>
        <w:rPr/>
        <w:t xml:space="preserve">1. </w:t>
        <w:tab/>
        <w:t xml:space="preserve">Spitzer RL, Kroenke K, Williams JBW, Löwe B. A Brief Measure for Assessing Generalized Anxiety Disorder: The GAD-7. </w:t>
      </w:r>
      <w:r>
        <w:rPr>
          <w:i/>
          <w:iCs/>
        </w:rPr>
        <w:t>Archives of Internal Medicine</w:t>
      </w:r>
      <w:r>
        <w:rPr/>
        <w:t xml:space="preserve"> (2006) 166:1092–1097. doi: </w:t>
      </w:r>
      <w:hyperlink r:id="rId11">
        <w:r>
          <w:rPr>
            <w:rStyle w:val="InternetLink"/>
          </w:rPr>
          <w:t>10.1001/ARCHINTE.166.10.1092</w:t>
        </w:r>
      </w:hyperlink>
      <w:bookmarkStart w:id="32" w:name="ref-Spitzer2006"/>
      <w:bookmarkEnd w:id="32"/>
    </w:p>
    <w:p>
      <w:pPr>
        <w:pStyle w:val="Bibliography"/>
        <w:rPr/>
      </w:pPr>
      <w:r>
        <w:rPr/>
        <w:t xml:space="preserve">2. </w:t>
        <w:tab/>
        <w:t>Löwe B, Spitzer RL, Zipfel S, Herzog W. Auflage Manual 17.07. (2002).</w:t>
      </w:r>
      <w:bookmarkStart w:id="33" w:name="ref-Lowe2002"/>
      <w:bookmarkEnd w:id="33"/>
    </w:p>
    <w:p>
      <w:pPr>
        <w:pStyle w:val="Bibliography"/>
        <w:rPr/>
      </w:pPr>
      <w:r>
        <w:rPr/>
        <w:t xml:space="preserve">3.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12">
        <w:r>
          <w:rPr>
            <w:rStyle w:val="InternetLink"/>
          </w:rPr>
          <w:t>10.1026/0012-1924.50.4.171</w:t>
        </w:r>
      </w:hyperlink>
      <w:bookmarkStart w:id="34" w:name="ref-Grafe2004"/>
      <w:bookmarkEnd w:id="34"/>
    </w:p>
    <w:p>
      <w:pPr>
        <w:pStyle w:val="Bibliography"/>
        <w:rPr/>
      </w:pPr>
      <w:r>
        <w:rPr/>
        <w:t xml:space="preserve">4. </w:t>
        <w:tab/>
        <w:t xml:space="preserve">Kroenke K, Spitzer RL, Williams JBW. The PHQ-15: validity of a new measure for evaluating the severity of somatic symptoms. </w:t>
      </w:r>
      <w:r>
        <w:rPr>
          <w:i/>
          <w:iCs/>
        </w:rPr>
        <w:t>Psychosomatic medicine</w:t>
      </w:r>
      <w:r>
        <w:rPr/>
        <w:t xml:space="preserve"> (2002) 64:258–266. doi: </w:t>
      </w:r>
      <w:hyperlink r:id="rId13">
        <w:r>
          <w:rPr>
            <w:rStyle w:val="InternetLink"/>
          </w:rPr>
          <w:t>10.1097/00006842-200203000-00008</w:t>
        </w:r>
      </w:hyperlink>
      <w:bookmarkStart w:id="35" w:name="ref-Kroenke2002"/>
      <w:bookmarkEnd w:id="35"/>
    </w:p>
    <w:p>
      <w:pPr>
        <w:pStyle w:val="Bibliography"/>
        <w:rPr/>
      </w:pPr>
      <w:r>
        <w:rPr/>
        <w:t xml:space="preserve">5.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14">
        <w:r>
          <w:rPr>
            <w:rStyle w:val="InternetLink"/>
          </w:rPr>
          <w:t>https://www.academia.edu/download/44388154/A_406.pdf</w:t>
        </w:r>
      </w:hyperlink>
      <w:bookmarkStart w:id="36" w:name="ref-Leppert2008"/>
      <w:bookmarkEnd w:id="36"/>
    </w:p>
    <w:p>
      <w:pPr>
        <w:pStyle w:val="Bibliography"/>
        <w:rPr/>
      </w:pPr>
      <w:r>
        <w:rPr/>
        <w:t xml:space="preserve">6.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15">
        <w:r>
          <w:rPr>
            <w:rStyle w:val="InternetLink"/>
          </w:rPr>
          <w:t>10.1055/s-2000-9207</w:t>
        </w:r>
      </w:hyperlink>
      <w:bookmarkStart w:id="37" w:name="ref-Schumacher2000"/>
      <w:bookmarkEnd w:id="37"/>
    </w:p>
    <w:p>
      <w:pPr>
        <w:pStyle w:val="Bibliography"/>
        <w:rPr/>
      </w:pPr>
      <w:r>
        <w:rPr/>
        <w:t xml:space="preserve">7. </w:t>
        <w:tab/>
        <w:t xml:space="preserve">Schmidt S, Mühlan H, Power M. The EUROHIS-QOL 8-item index: psychometric results of a cross-cultural field study. </w:t>
      </w:r>
      <w:r>
        <w:rPr>
          <w:i/>
          <w:iCs/>
        </w:rPr>
        <w:t>European Journal of Public Health</w:t>
      </w:r>
      <w:r>
        <w:rPr/>
        <w:t xml:space="preserve"> (2006) 16:420–428. doi: </w:t>
      </w:r>
      <w:hyperlink r:id="rId16">
        <w:r>
          <w:rPr>
            <w:rStyle w:val="InternetLink"/>
          </w:rPr>
          <w:t>10.1093/EURPUB/CKI155</w:t>
        </w:r>
      </w:hyperlink>
      <w:bookmarkStart w:id="38" w:name="ref-Schmidt2006"/>
      <w:bookmarkEnd w:id="38"/>
    </w:p>
    <w:p>
      <w:pPr>
        <w:pStyle w:val="Bibliography"/>
        <w:rPr/>
      </w:pPr>
      <w:r>
        <w:rPr/>
        <w:t xml:space="preserve">8. </w:t>
        <w:tab/>
        <w:t xml:space="preserve">Tedeschi RG, Calhoun LG. The Posttraumatic Growth Inventory: measuring the positive legacy of trauma. </w:t>
      </w:r>
      <w:r>
        <w:rPr>
          <w:i/>
          <w:iCs/>
        </w:rPr>
        <w:t>Journal of traumatic stress</w:t>
      </w:r>
      <w:r>
        <w:rPr/>
        <w:t xml:space="preserve"> (1996) 9:455–471. doi: </w:t>
      </w:r>
      <w:hyperlink r:id="rId17">
        <w:r>
          <w:rPr>
            <w:rStyle w:val="InternetLink"/>
          </w:rPr>
          <w:t>10.1007/BF02103658</w:t>
        </w:r>
      </w:hyperlink>
      <w:bookmarkStart w:id="39" w:name="ref-Tedeschi1996"/>
      <w:bookmarkEnd w:id="39"/>
    </w:p>
    <w:p>
      <w:pPr>
        <w:pStyle w:val="Bibliography"/>
        <w:rPr/>
      </w:pPr>
      <w:r>
        <w:rPr/>
        <w:t xml:space="preserve">9.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18">
        <w:r>
          <w:rPr>
            <w:rStyle w:val="InternetLink"/>
          </w:rPr>
          <w:t>10.1037/PAS0000254</w:t>
        </w:r>
      </w:hyperlink>
      <w:bookmarkStart w:id="40" w:name="ref-Bovin2016"/>
      <w:bookmarkEnd w:id="40"/>
    </w:p>
    <w:p>
      <w:pPr>
        <w:pStyle w:val="Bibliography"/>
        <w:rPr/>
      </w:pPr>
      <w:r>
        <w:rPr/>
        <w:t xml:space="preserve">10. </w:t>
        <w:tab/>
        <w:t xml:space="preserve">McDonald RP. </w:t>
      </w:r>
      <w:r>
        <w:rPr>
          <w:i/>
          <w:iCs/>
        </w:rPr>
        <w:t>Test theory: A unified treatment</w:t>
      </w:r>
      <w:r>
        <w:rPr/>
        <w:t xml:space="preserve">. 1st Editio. New Yor: Psychology Press (1999). doi: </w:t>
      </w:r>
      <w:hyperlink r:id="rId19">
        <w:r>
          <w:rPr>
            <w:rStyle w:val="InternetLink"/>
          </w:rPr>
          <w:t>10.4324/9781410601087</w:t>
        </w:r>
      </w:hyperlink>
      <w:bookmarkStart w:id="41" w:name="ref-McDonald1999"/>
      <w:bookmarkEnd w:id="41"/>
    </w:p>
    <w:p>
      <w:pPr>
        <w:pStyle w:val="Bibliography"/>
        <w:rPr/>
      </w:pPr>
      <w:r>
        <w:rPr/>
        <w:t xml:space="preserve">11. </w:t>
        <w:tab/>
        <w:t xml:space="preserve">Manea L, Gilbody S, McMillan D. Optimal cut-off score for diagnosing depression with the Patient Health Questionnaire (PHQ-9): A meta-analysis. </w:t>
      </w:r>
      <w:r>
        <w:rPr>
          <w:i/>
          <w:iCs/>
        </w:rPr>
        <w:t>CMAJ</w:t>
      </w:r>
      <w:r>
        <w:rPr/>
        <w:t xml:space="preserve"> (2012) 184:E191. doi: </w:t>
      </w:r>
      <w:hyperlink r:id="rId20">
        <w:r>
          <w:rPr>
            <w:rStyle w:val="InternetLink"/>
          </w:rPr>
          <w:t>10.1503/CMAJ.110829/-/DC1</w:t>
        </w:r>
      </w:hyperlink>
      <w:bookmarkStart w:id="42" w:name="ref-Manea2012"/>
      <w:bookmarkEnd w:id="42"/>
    </w:p>
    <w:p>
      <w:pPr>
        <w:pStyle w:val="Bibliography"/>
        <w:rPr/>
      </w:pPr>
      <w:r>
        <w:rPr/>
        <w:t xml:space="preserve">12. </w:t>
        <w:tab/>
        <w:t xml:space="preserve">Maercker A, Bromberger F. Checklisten und Fragebogen zur Erfassung traumatischer Ereignisse in deutscher Sprache. </w:t>
      </w:r>
      <w:r>
        <w:rPr>
          <w:i/>
          <w:iCs/>
        </w:rPr>
        <w:t>Trierer Psychologische Berichte</w:t>
      </w:r>
      <w:r>
        <w:rPr/>
        <w:t xml:space="preserve"> (2005) 32:</w:t>
      </w:r>
      <w:bookmarkStart w:id="43" w:name="ref-Maercker2005"/>
      <w:bookmarkEnd w:id="43"/>
    </w:p>
    <w:p>
      <w:pPr>
        <w:pStyle w:val="Bibliography"/>
        <w:rPr/>
      </w:pPr>
      <w:r>
        <w:rPr/>
        <w:t xml:space="preserve">13. </w:t>
        <w:tab/>
        <w:t xml:space="preserve">O’Brien CP. The CAGE Questionnaire for Detection of Alcoholism. </w:t>
      </w:r>
      <w:r>
        <w:rPr>
          <w:i/>
          <w:iCs/>
        </w:rPr>
        <w:t>JAMA</w:t>
      </w:r>
      <w:r>
        <w:rPr/>
        <w:t xml:space="preserve"> (2008) 300:2054–2056. doi: </w:t>
      </w:r>
      <w:hyperlink r:id="rId21">
        <w:r>
          <w:rPr>
            <w:rStyle w:val="InternetLink"/>
          </w:rPr>
          <w:t>10.1001/JAMA.2008.570</w:t>
        </w:r>
      </w:hyperlink>
      <w:bookmarkStart w:id="44" w:name="ref-OBrien2008"/>
      <w:bookmarkEnd w:id="44"/>
    </w:p>
    <w:p>
      <w:pPr>
        <w:pStyle w:val="Bibliography"/>
        <w:rPr/>
      </w:pPr>
      <w:r>
        <w:rPr/>
        <w:t xml:space="preserve">14. </w:t>
        <w:tab/>
        <w:t xml:space="preserve">Gennarelli TA, Wodzin E. AIS 2005: A contemporary injury scale. </w:t>
      </w:r>
      <w:r>
        <w:rPr>
          <w:i/>
          <w:iCs/>
        </w:rPr>
        <w:t>Injury</w:t>
      </w:r>
      <w:r>
        <w:rPr/>
        <w:t xml:space="preserve"> (2006) 37:1083–1091. doi: </w:t>
      </w:r>
      <w:hyperlink r:id="rId22">
        <w:r>
          <w:rPr>
            <w:rStyle w:val="InternetLink"/>
          </w:rPr>
          <w:t>10.1016/j.injury.2006.07.009</w:t>
        </w:r>
      </w:hyperlink>
      <w:bookmarkStart w:id="45" w:name="ref-Gennarelli2006"/>
      <w:bookmarkEnd w:id="45"/>
    </w:p>
    <w:p>
      <w:pPr>
        <w:pStyle w:val="Bibliography"/>
        <w:rPr/>
      </w:pPr>
      <w:r>
        <w:rPr/>
        <w:t xml:space="preserve">15. </w:t>
        <w:tab/>
        <w:t xml:space="preserve">Kassambara A, Mundt F. factoextra: Extract and Visualize the Results of Multivariate Data Analyses. (2020) </w:t>
      </w:r>
      <w:hyperlink r:id="rId23">
        <w:r>
          <w:rPr>
            <w:rStyle w:val="InternetLink"/>
          </w:rPr>
          <w:t>https://cran.r-project.org/web/packages/factoextra/index.html</w:t>
        </w:r>
      </w:hyperlink>
      <w:bookmarkStart w:id="46" w:name="ref-Kassambara2020"/>
      <w:bookmarkEnd w:id="46"/>
    </w:p>
    <w:p>
      <w:pPr>
        <w:pStyle w:val="Bibliography"/>
        <w:rPr/>
      </w:pPr>
      <w:r>
        <w:rPr/>
        <w:t xml:space="preserve">16. </w:t>
        <w:tab/>
        <w:t xml:space="preserve">Kassambara A. rstatix: Pipe-Friendly Framework for Basic Statistical Tests. (2021) </w:t>
      </w:r>
      <w:hyperlink r:id="rId24">
        <w:r>
          <w:rPr>
            <w:rStyle w:val="InternetLink"/>
          </w:rPr>
          <w:t>https://cran.r-project.org/package=rstatix</w:t>
        </w:r>
      </w:hyperlink>
      <w:bookmarkStart w:id="47" w:name="ref-Kassambara2021"/>
      <w:bookmarkEnd w:id="47"/>
    </w:p>
    <w:p>
      <w:pPr>
        <w:pStyle w:val="Bibliography"/>
        <w:rPr/>
      </w:pPr>
      <w:r>
        <w:rPr/>
        <w:t xml:space="preserve">17. </w:t>
        <w:tab/>
        <w:t xml:space="preserve">Drost H-G. Philentropy: Information Theory and Distance Quantification with R. </w:t>
      </w:r>
      <w:r>
        <w:rPr>
          <w:i/>
          <w:iCs/>
        </w:rPr>
        <w:t>Journal of Open Source Software</w:t>
      </w:r>
      <w:r>
        <w:rPr/>
        <w:t xml:space="preserve"> (2018) 3:765. doi: </w:t>
      </w:r>
      <w:hyperlink r:id="rId25">
        <w:r>
          <w:rPr>
            <w:rStyle w:val="InternetLink"/>
          </w:rPr>
          <w:t>10.21105/joss.00765</w:t>
        </w:r>
      </w:hyperlink>
      <w:bookmarkStart w:id="48" w:name="ref-Drost2018"/>
      <w:bookmarkEnd w:id="48"/>
    </w:p>
    <w:p>
      <w:pPr>
        <w:pStyle w:val="Bibliography"/>
        <w:rPr/>
      </w:pPr>
      <w:r>
        <w:rPr/>
        <w:t xml:space="preserve">18.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26">
        <w:r>
          <w:rPr>
            <w:rStyle w:val="InternetLink"/>
          </w:rPr>
          <w:t>10.1007/978-3-030-32047-8_16</w:t>
        </w:r>
      </w:hyperlink>
      <w:bookmarkStart w:id="49" w:name="ref-Schubert2019"/>
      <w:bookmarkEnd w:id="49"/>
    </w:p>
    <w:p>
      <w:pPr>
        <w:pStyle w:val="Bibliography"/>
        <w:rPr/>
      </w:pPr>
      <w:r>
        <w:rPr/>
        <w:t xml:space="preserve">19. </w:t>
        <w:tab/>
        <w:t xml:space="preserve">Lange T, Roth V, Braun ML, Buhmann JM. Stability-based validation of clustering solutions. </w:t>
      </w:r>
      <w:r>
        <w:rPr>
          <w:i/>
          <w:iCs/>
        </w:rPr>
        <w:t>Neural Computation</w:t>
      </w:r>
      <w:r>
        <w:rPr/>
        <w:t xml:space="preserve"> (2004) 16:1299–1323. doi: </w:t>
      </w:r>
      <w:hyperlink r:id="rId27">
        <w:r>
          <w:rPr>
            <w:rStyle w:val="InternetLink"/>
          </w:rPr>
          <w:t>10.1162/089976604773717621</w:t>
        </w:r>
      </w:hyperlink>
      <w:bookmarkStart w:id="50" w:name="ref-Lange2004"/>
      <w:bookmarkEnd w:id="50"/>
    </w:p>
    <w:p>
      <w:pPr>
        <w:pStyle w:val="Bibliography"/>
        <w:rPr/>
      </w:pPr>
      <w:r>
        <w:rPr/>
        <w:t xml:space="preserve">20. </w:t>
        <w:tab/>
        <w:t xml:space="preserve">Rousseeuw PJ. Silhouettes: A graphical aid to the interpretation and validation of cluster analysis. </w:t>
      </w:r>
      <w:r>
        <w:rPr>
          <w:i/>
          <w:iCs/>
        </w:rPr>
        <w:t>Journal of Computational and Applied Mathematics</w:t>
      </w:r>
      <w:r>
        <w:rPr/>
        <w:t xml:space="preserve"> (1987) 20:53–65. doi: </w:t>
      </w:r>
      <w:hyperlink r:id="rId28">
        <w:r>
          <w:rPr>
            <w:rStyle w:val="InternetLink"/>
          </w:rPr>
          <w:t>10.1016/0377-0427(87)90125-7</w:t>
        </w:r>
      </w:hyperlink>
      <w:bookmarkStart w:id="51" w:name="ref-Rousseeuw1987"/>
      <w:bookmarkEnd w:id="51"/>
    </w:p>
    <w:p>
      <w:pPr>
        <w:pStyle w:val="Bibliography"/>
        <w:rPr/>
      </w:pPr>
      <w:r>
        <w:rPr/>
        <w:t xml:space="preserve">21. </w:t>
        <w:tab/>
        <w:t xml:space="preserve">Jouanne-Diedrich H von. OneR: One Rule Machine Learning Classification Algorithm with Enhancements. (2017) </w:t>
      </w:r>
      <w:hyperlink r:id="rId29">
        <w:r>
          <w:rPr>
            <w:rStyle w:val="InternetLink"/>
          </w:rPr>
          <w:t>https://cran.r-project.org/web/packages/OneR/index.html</w:t>
        </w:r>
      </w:hyperlink>
      <w:bookmarkStart w:id="52" w:name="ref-VonJouanne-Diedrich2017"/>
      <w:bookmarkEnd w:id="52"/>
    </w:p>
    <w:p>
      <w:pPr>
        <w:pStyle w:val="Bibliography"/>
        <w:rPr/>
      </w:pPr>
      <w:r>
        <w:rPr/>
        <w:t xml:space="preserve">22. </w:t>
        <w:tab/>
        <w:t xml:space="preserve">Holte RC. Very Simple Classification Rules Perform Well on Most Commonly Used Datasets. </w:t>
      </w:r>
      <w:r>
        <w:rPr>
          <w:i/>
          <w:iCs/>
        </w:rPr>
        <w:t>Machine Learning</w:t>
      </w:r>
      <w:r>
        <w:rPr/>
        <w:t xml:space="preserve"> (1993) 11:63–90. doi: </w:t>
      </w:r>
      <w:hyperlink r:id="rId30">
        <w:r>
          <w:rPr>
            <w:rStyle w:val="InternetLink"/>
          </w:rPr>
          <w:t>10.1023/A:1022631118932/METRICS</w:t>
        </w:r>
      </w:hyperlink>
      <w:bookmarkStart w:id="53" w:name="ref-Holte1993"/>
      <w:bookmarkEnd w:id="53"/>
    </w:p>
    <w:p>
      <w:pPr>
        <w:pStyle w:val="Bibliography"/>
        <w:rPr/>
      </w:pPr>
      <w:r>
        <w:rPr/>
        <w:t xml:space="preserve">23. </w:t>
        <w:tab/>
        <w:t xml:space="preserve">Hothorn T, Hornik K, Zeileis A. Unbiased recursive partitioning: A conditional inference framework. </w:t>
      </w:r>
      <w:r>
        <w:rPr>
          <w:i/>
          <w:iCs/>
        </w:rPr>
        <w:t>Journal of Computational and Graphical Statistics</w:t>
      </w:r>
      <w:r>
        <w:rPr/>
        <w:t xml:space="preserve"> (2006) 15:651–674. doi: </w:t>
      </w:r>
      <w:hyperlink r:id="rId31">
        <w:r>
          <w:rPr>
            <w:rStyle w:val="InternetLink"/>
          </w:rPr>
          <w:t>10.1198/106186006X133933</w:t>
        </w:r>
      </w:hyperlink>
      <w:bookmarkStart w:id="54" w:name="ref-Hothorn2006"/>
      <w:bookmarkEnd w:id="54"/>
    </w:p>
    <w:p>
      <w:pPr>
        <w:pStyle w:val="Bibliography"/>
        <w:rPr/>
      </w:pPr>
      <w:r>
        <w:rPr/>
        <w:t xml:space="preserve">24. </w:t>
        <w:tab/>
        <w:t xml:space="preserve">Strobl C, Boulesteix AL, Zeileis A, Hothorn T. Bias in random forest variable importance measures: Illustrations, sources and a solution. </w:t>
      </w:r>
      <w:r>
        <w:rPr>
          <w:i/>
          <w:iCs/>
        </w:rPr>
        <w:t>BMC Bioinformatics</w:t>
      </w:r>
      <w:r>
        <w:rPr/>
        <w:t xml:space="preserve"> (2007) 8:1–21. doi: </w:t>
      </w:r>
      <w:hyperlink r:id="rId32">
        <w:r>
          <w:rPr>
            <w:rStyle w:val="InternetLink"/>
          </w:rPr>
          <w:t>10.1186/1471-2105-8-25/FIGURES/11</w:t>
        </w:r>
      </w:hyperlink>
      <w:bookmarkStart w:id="55" w:name="ref-Strobl2007"/>
      <w:bookmarkEnd w:id="55"/>
    </w:p>
    <w:p>
      <w:pPr>
        <w:pStyle w:val="Bibliography"/>
        <w:rPr/>
      </w:pPr>
      <w:r>
        <w:rPr/>
        <w:t xml:space="preserve">25. </w:t>
        <w:tab/>
        <w:t xml:space="preserve">Hothorn T, Hornik K, Strobl C, Zeileis A. party: A Laboratory for Recursive Partytioning. (2022) </w:t>
      </w:r>
      <w:hyperlink r:id="rId33">
        <w:r>
          <w:rPr>
            <w:rStyle w:val="InternetLink"/>
          </w:rPr>
          <w:t>https://cran.r-project.org/web/packages/party/index.html</w:t>
        </w:r>
      </w:hyperlink>
      <w:bookmarkStart w:id="56" w:name="ref-Hothorn2022"/>
      <w:bookmarkEnd w:id="56"/>
    </w:p>
    <w:p>
      <w:pPr>
        <w:pStyle w:val="Bibliography"/>
        <w:rPr/>
      </w:pPr>
      <w:r>
        <w:rPr/>
        <w:t xml:space="preserve">26. </w:t>
        <w:tab/>
        <w:t xml:space="preserve">Kuhn M. Building predictive models in R using the caret package. </w:t>
      </w:r>
      <w:r>
        <w:rPr>
          <w:i/>
          <w:iCs/>
        </w:rPr>
        <w:t>Journal of Statistical Software</w:t>
      </w:r>
      <w:r>
        <w:rPr/>
        <w:t xml:space="preserve"> (2008) 28:1–26. doi: </w:t>
      </w:r>
      <w:hyperlink r:id="rId34">
        <w:r>
          <w:rPr>
            <w:rStyle w:val="InternetLink"/>
          </w:rPr>
          <w:t>10.18637/jss.v028.i05</w:t>
        </w:r>
      </w:hyperlink>
      <w:bookmarkStart w:id="57" w:name="ref-Kuhn2008"/>
      <w:bookmarkEnd w:id="57"/>
    </w:p>
    <w:p>
      <w:pPr>
        <w:pStyle w:val="Bibliography"/>
        <w:rPr/>
      </w:pPr>
      <w:r>
        <w:rPr/>
        <w:t xml:space="preserve">27. </w:t>
        <w:tab/>
        <w:t xml:space="preserve">Strobl C, Boulesteix AL, Kneib T, Augustin T, Zeileis A. Conditional variable importance for random forests. </w:t>
      </w:r>
      <w:r>
        <w:rPr>
          <w:i/>
          <w:iCs/>
        </w:rPr>
        <w:t>BMC Bioinformatics</w:t>
      </w:r>
      <w:r>
        <w:rPr/>
        <w:t xml:space="preserve"> (2008) 9:1–11. doi: </w:t>
      </w:r>
      <w:hyperlink r:id="rId35">
        <w:r>
          <w:rPr>
            <w:rStyle w:val="InternetLink"/>
          </w:rPr>
          <w:t>10.1186/1471-2105-9-307/FIGURES/4</w:t>
        </w:r>
      </w:hyperlink>
      <w:bookmarkStart w:id="58" w:name="ref-Strobl2008"/>
      <w:bookmarkEnd w:id="58"/>
    </w:p>
    <w:p>
      <w:pPr>
        <w:pStyle w:val="Bibliography"/>
        <w:rPr/>
      </w:pPr>
      <w:r>
        <w:rPr/>
        <w:t xml:space="preserve">28. </w:t>
        <w:tab/>
        <w:t xml:space="preserve">Statistik Austria. Rauchen - STATISTIK AUSTRIA - Die Informationsmanager. (2022) </w:t>
      </w:r>
      <w:hyperlink r:id="rId36">
        <w:r>
          <w:rPr>
            <w:rStyle w:val="InternetLink"/>
          </w:rPr>
          <w:t>https://www.statistik.at/statistiken/bevoelkerung-und-soziales/gesundheit/gesundheitsverhalten/rauchen</w:t>
        </w:r>
      </w:hyperlink>
      <w:r>
        <w:rPr/>
        <w:t xml:space="preserve"> [Accessed February 24, 2023]</w:t>
      </w:r>
      <w:bookmarkStart w:id="59" w:name="ref-StatistikAustria2022a"/>
      <w:bookmarkEnd w:id="59"/>
    </w:p>
    <w:p>
      <w:pPr>
        <w:pStyle w:val="Bibliography"/>
        <w:spacing w:before="0" w:after="200"/>
        <w:rPr/>
      </w:pPr>
      <w:r>
        <w:rPr/>
        <w:t xml:space="preserve">29. </w:t>
        <w:tab/>
        <w:t xml:space="preserve">Statistik Austria. Gesundheitszustand selbstberichtet - STATISTIK AUSTRIA - Die Informationsmanager. (2022) </w:t>
      </w:r>
      <w:hyperlink r:id="rId37">
        <w:r>
          <w:rPr>
            <w:rStyle w:val="InternetLink"/>
          </w:rPr>
          <w:t>https://www.statistik.at/statistiken/bevoelkerung-und-soziales/gesundheit/gesundheitszustand/gesundheitszustand-selbstberichtet</w:t>
        </w:r>
      </w:hyperlink>
      <w:r>
        <w:rPr/>
        <w:t xml:space="preserve"> [Accessed February 24, 2023]</w:t>
      </w:r>
    </w:p>
    <w:sectPr>
      <w:footerReference w:type="default" r:id="rId38"/>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33</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01/ARCHINTE.166.10.1092" TargetMode="External"/><Relationship Id="rId12" Type="http://schemas.openxmlformats.org/officeDocument/2006/relationships/hyperlink" Target="https://doi.org/10.1026/0012-1924.50.4.171" TargetMode="External"/><Relationship Id="rId13" Type="http://schemas.openxmlformats.org/officeDocument/2006/relationships/hyperlink" Target="https://doi.org/10.1097/00006842-200203000-00008" TargetMode="External"/><Relationship Id="rId14" Type="http://schemas.openxmlformats.org/officeDocument/2006/relationships/hyperlink" Target="https://www.academia.edu/download/44388154/A_406.pdf" TargetMode="External"/><Relationship Id="rId15" Type="http://schemas.openxmlformats.org/officeDocument/2006/relationships/hyperlink" Target="https://doi.org/10.1055/s-2000-9207" TargetMode="External"/><Relationship Id="rId16" Type="http://schemas.openxmlformats.org/officeDocument/2006/relationships/hyperlink" Target="https://doi.org/10.1093/EURPUB/CKI155" TargetMode="External"/><Relationship Id="rId17" Type="http://schemas.openxmlformats.org/officeDocument/2006/relationships/hyperlink" Target="https://doi.org/10.1007/BF02103658" TargetMode="External"/><Relationship Id="rId18" Type="http://schemas.openxmlformats.org/officeDocument/2006/relationships/hyperlink" Target="https://doi.org/10.1037/PAS0000254" TargetMode="External"/><Relationship Id="rId19" Type="http://schemas.openxmlformats.org/officeDocument/2006/relationships/hyperlink" Target="https://doi.org/10.4324/9781410601087" TargetMode="External"/><Relationship Id="rId20" Type="http://schemas.openxmlformats.org/officeDocument/2006/relationships/hyperlink" Target="https://doi.org/10.1503/CMAJ.110829/-/DC1" TargetMode="External"/><Relationship Id="rId21" Type="http://schemas.openxmlformats.org/officeDocument/2006/relationships/hyperlink" Target="https://doi.org/10.1001/JAMA.2008.570" TargetMode="External"/><Relationship Id="rId22" Type="http://schemas.openxmlformats.org/officeDocument/2006/relationships/hyperlink" Target="https://doi.org/10.1016/j.injury.2006.07.009" TargetMode="External"/><Relationship Id="rId23" Type="http://schemas.openxmlformats.org/officeDocument/2006/relationships/hyperlink" Target="https://cran.r-project.org/web/packages/factoextra/index.html" TargetMode="External"/><Relationship Id="rId24" Type="http://schemas.openxmlformats.org/officeDocument/2006/relationships/hyperlink" Target="https://cran.r-project.org/package=rstatix" TargetMode="External"/><Relationship Id="rId25" Type="http://schemas.openxmlformats.org/officeDocument/2006/relationships/hyperlink" Target="https://doi.org/10.21105/joss.00765" TargetMode="External"/><Relationship Id="rId26" Type="http://schemas.openxmlformats.org/officeDocument/2006/relationships/hyperlink" Target="https://doi.org/10.1007/978-3-030-32047-8_16" TargetMode="External"/><Relationship Id="rId27" Type="http://schemas.openxmlformats.org/officeDocument/2006/relationships/hyperlink" Target="https://doi.org/10.1162/089976604773717621" TargetMode="External"/><Relationship Id="rId28" Type="http://schemas.openxmlformats.org/officeDocument/2006/relationships/hyperlink" Target="https://doi.org/10.1016/0377-0427(87)90125-7" TargetMode="External"/><Relationship Id="rId29" Type="http://schemas.openxmlformats.org/officeDocument/2006/relationships/hyperlink" Target="https://cran.r-project.org/web/packages/OneR/index.html" TargetMode="External"/><Relationship Id="rId30" Type="http://schemas.openxmlformats.org/officeDocument/2006/relationships/hyperlink" Target="https://doi.org/10.1023/A:1022631118932/METRICS" TargetMode="External"/><Relationship Id="rId31" Type="http://schemas.openxmlformats.org/officeDocument/2006/relationships/hyperlink" Target="https://doi.org/10.1198/106186006X133933" TargetMode="External"/><Relationship Id="rId32" Type="http://schemas.openxmlformats.org/officeDocument/2006/relationships/hyperlink" Target="https://doi.org/10.1186/1471-2105-8-25/FIGURES/11" TargetMode="External"/><Relationship Id="rId33" Type="http://schemas.openxmlformats.org/officeDocument/2006/relationships/hyperlink" Target="https://cran.r-project.org/web/packages/party/index.html" TargetMode="External"/><Relationship Id="rId34" Type="http://schemas.openxmlformats.org/officeDocument/2006/relationships/hyperlink" Target="https://doi.org/10.18637/jss.v028.i05" TargetMode="External"/><Relationship Id="rId35" Type="http://schemas.openxmlformats.org/officeDocument/2006/relationships/hyperlink" Target="https://doi.org/10.1186/1471-2105-9-307/FIGURES/4" TargetMode="External"/><Relationship Id="rId36" Type="http://schemas.openxmlformats.org/officeDocument/2006/relationships/hyperlink" Target="https://www.statistik.at/statistiken/bevoelkerung-und-soziales/gesundheit/gesundheitsverhalten/rauchen" TargetMode="External"/><Relationship Id="rId37" Type="http://schemas.openxmlformats.org/officeDocument/2006/relationships/hyperlink" Target="https://www.statistik.at/statistiken/bevoelkerung-und-soziales/gesundheit/gesundheitszustand/gesundheitszustand-selbstberichtet" TargetMode="Externa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33</Pages>
  <Words>5342</Words>
  <Characters>31646</Characters>
  <CharactersWithSpaces>36806</CharactersWithSpaces>
  <Paragraphs>221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2023-03-30T20:40:32Z</dcterms:created>
  <dc:creator>Katharina Hüfner, MD1,✉, Hanna Salvotti, MD1, and Piotr Tymoszuk, PhD2</dc:creator>
  <dc:description/>
  <dc:language>en-US</dc:language>
  <cp:lastModifiedBy/>
  <dcterms:modified xsi:type="dcterms:W3CDTF">2023-03-30T22:44:58Z</dcterms:modified>
  <cp:revision>1</cp:revision>
  <dc:subject/>
  <dc:title>Three distinct patterns of mental response after mountain sport accidents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2023-03-30</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