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Three</w:t>
      </w:r>
      <w:r>
        <w:t xml:space="preserve"> </w:t>
      </w:r>
      <w:r>
        <w:t xml:space="preserve">distinct</w:t>
      </w:r>
      <w:r>
        <w:t xml:space="preserve"> </w:t>
      </w:r>
      <w:r>
        <w:t xml:space="preserve">patterns</w:t>
      </w:r>
      <w:r>
        <w:t xml:space="preserve"> </w:t>
      </w:r>
      <w:r>
        <w:t xml:space="preserve">of</w:t>
      </w:r>
      <w:r>
        <w:t xml:space="preserve"> </w:t>
      </w:r>
      <w:r>
        <w:t xml:space="preserve">mental</w:t>
      </w:r>
      <w:r>
        <w:t xml:space="preserve"> </w:t>
      </w:r>
      <w:r>
        <w:t xml:space="preserve">health</w:t>
      </w:r>
      <w:r>
        <w:t xml:space="preserve"> </w:t>
      </w:r>
      <w:r>
        <w:t xml:space="preserve">response</w:t>
      </w:r>
      <w:r>
        <w:t xml:space="preserve"> </w:t>
      </w:r>
      <w:r>
        <w:t xml:space="preserve">after</w:t>
      </w:r>
      <w:r>
        <w:t xml:space="preserve"> </w:t>
      </w:r>
      <w:r>
        <w:t xml:space="preserve">a</w:t>
      </w:r>
      <w:r>
        <w:t xml:space="preserve"> </w:t>
      </w:r>
      <w:r>
        <w:t xml:space="preserve">sport</w:t>
      </w:r>
      <w:r>
        <w:t xml:space="preserve"> </w:t>
      </w:r>
      <w:r>
        <w:t xml:space="preserve">accident</w:t>
      </w:r>
    </w:p>
    <w:p>
      <w:pPr>
        <w:pStyle w:val="Subtitle"/>
      </w:pPr>
      <w:r>
        <w:t xml:space="preserve">Manuscript</w:t>
      </w:r>
    </w:p>
    <w:p>
      <w:pPr>
        <w:pStyle w:val="Author"/>
      </w:pPr>
      <w:r>
        <w:t xml:space="preserve">Katharina Hüfner, MD</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Hanna Salvotti, MD</w:t>
      </w:r>
      <w:r>
        <w:rPr>
          <w:vertAlign w:val="superscript"/>
        </w:rPr>
        <w:t xml:space="preserve">1</w:t>
      </w:r>
      <w:r>
        <w:t xml:space="preserve">,</w:t>
      </w:r>
      <w:r>
        <w:t xml:space="preserve"> </w:t>
      </w:r>
      <w:r>
        <w:t xml:space="preserve">and</w:t>
      </w:r>
      <w:r>
        <w:t xml:space="preserve"> </w:t>
      </w:r>
      <w:r>
        <w:t xml:space="preserve">Piotr Tymoszuk, PhD</w:t>
      </w:r>
      <w:r>
        <w:rPr>
          <w:vertAlign w:val="superscript"/>
        </w:rPr>
        <w:t xml:space="preserve">2</w:t>
      </w:r>
    </w:p>
    <w:p>
      <w:pPr>
        <w:pStyle w:val="Date"/>
      </w:pPr>
      <w:r>
        <w:t xml:space="preserve">2023-02-14</w:t>
      </w:r>
    </w:p>
    <w:p>
      <w:pPr>
        <w:pStyle w:val="FirstParagraph"/>
      </w:pPr>
      <w:r>
        <w:rPr>
          <w:vertAlign w:val="superscript"/>
        </w:rPr>
        <w:t xml:space="preserve">1</w:t>
      </w:r>
      <w:r>
        <w:t xml:space="preserve"> </w:t>
      </w:r>
      <w:r>
        <w:t xml:space="preserve">Department of Psychiatry, Psychotherapy, Psychosomatics and Medical Psychology, University Hospital for Psychiatry II, Medical University of Innsbruck, Innsbruck, Austria</w:t>
      </w:r>
      <w:r>
        <w:br/>
      </w:r>
      <w:r>
        <w:rPr>
          <w:vertAlign w:val="superscript"/>
        </w:rPr>
        <w:t xml:space="preserve">2</w:t>
      </w:r>
      <w:r>
        <w:t xml:space="preserve"> </w:t>
      </w:r>
      <w:r>
        <w:t xml:space="preserve">daas</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Katharina Hüfner, MD &lt;</w:t>
        </w:r>
        <w:hyperlink r:id="rId20">
          <w:r>
            <w:rPr>
              <w:rStyle w:val="InternetLink"/>
            </w:rPr>
            <w:t xml:space="preserve">Katharina.Huefner@i-med.ac.at</w:t>
          </w:r>
        </w:hyperlink>
        <w:r>
          <w:rPr>
            <w:rStyle w:val="InternetLink"/>
          </w:rPr>
          <w:t xml:space="preserve">&gt;</w:t>
        </w:r>
      </w:hyperlink>
    </w:p>
    <w:p>
      <w:r>
        <w:br w:type="page"/>
      </w:r>
    </w:p>
    <w:bookmarkStart w:id="21" w:name="abstract"/>
    <w:p>
      <w:pPr>
        <w:pStyle w:val="Heading1"/>
      </w:pPr>
      <w:r>
        <w:t xml:space="preserve">Abstract</w:t>
      </w:r>
    </w:p>
    <w:p>
      <w:r>
        <w:br w:type="page"/>
      </w:r>
    </w:p>
    <w:bookmarkEnd w:id="21"/>
    <w:bookmarkStart w:id="22" w:name="keywords"/>
    <w:p>
      <w:pPr>
        <w:pStyle w:val="Heading1"/>
      </w:pPr>
      <w:r>
        <w:t xml:space="preserve">Keywords</w:t>
      </w:r>
    </w:p>
    <w:p>
      <w:pPr>
        <w:pStyle w:val="FirstParagraph"/>
      </w:pPr>
      <w:r>
        <w:t xml:space="preserve">sport accident, mental health, post-traumatic syndrome disorder, post-traumatic growth</w:t>
      </w:r>
    </w:p>
    <w:p>
      <w:r>
        <w:br w:type="page"/>
      </w:r>
    </w:p>
    <w:bookmarkEnd w:id="22"/>
    <w:bookmarkStart w:id="23" w:name="introduction"/>
    <w:p>
      <w:pPr>
        <w:pStyle w:val="Heading1"/>
      </w:pPr>
      <w:r>
        <w:t xml:space="preserve">Introduction</w:t>
      </w:r>
    </w:p>
    <w:p>
      <w:r>
        <w:br w:type="page"/>
      </w:r>
    </w:p>
    <w:bookmarkEnd w:id="23"/>
    <w:bookmarkStart w:id="24" w:name="methods"/>
    <w:p>
      <w:pPr>
        <w:pStyle w:val="Heading1"/>
      </w:pPr>
      <w:r>
        <w:t xml:space="preserve">Methods</w:t>
      </w:r>
    </w:p>
    <w:p>
      <w:r>
        <w:br w:type="page"/>
      </w:r>
    </w:p>
    <w:bookmarkEnd w:id="24"/>
    <w:bookmarkStart w:id="25" w:name="results"/>
    <w:p>
      <w:pPr>
        <w:pStyle w:val="Heading1"/>
      </w:pPr>
      <w:r>
        <w:t xml:space="preserve">Results</w:t>
      </w:r>
    </w:p>
    <w:p>
      <w:r>
        <w:br w:type="page"/>
      </w:r>
    </w:p>
    <w:bookmarkEnd w:id="25"/>
    <w:bookmarkStart w:id="26" w:name="discussion"/>
    <w:p>
      <w:pPr>
        <w:pStyle w:val="Heading1"/>
      </w:pPr>
      <w:r>
        <w:t xml:space="preserve">Discussion</w:t>
      </w:r>
    </w:p>
    <w:bookmarkEnd w:id="26"/>
    <w:bookmarkStart w:id="27" w:name="conclusion"/>
    <w:p>
      <w:pPr>
        <w:pStyle w:val="Heading1"/>
      </w:pPr>
      <w:r>
        <w:t xml:space="preserve">Conclusion</w:t>
      </w:r>
    </w:p>
    <w:p>
      <w:r>
        <w:br w:type="page"/>
      </w:r>
    </w:p>
    <w:bookmarkEnd w:id="27"/>
    <w:bookmarkStart w:id="28" w:name="acknowledgments"/>
    <w:p>
      <w:pPr>
        <w:pStyle w:val="Heading1"/>
      </w:pPr>
      <w:r>
        <w:t xml:space="preserve">Acknowledgments</w:t>
      </w:r>
    </w:p>
    <w:bookmarkEnd w:id="28"/>
    <w:bookmarkStart w:id="29" w:name="authors-contribution"/>
    <w:p>
      <w:pPr>
        <w:pStyle w:val="Heading1"/>
      </w:pPr>
      <w:r>
        <w:t xml:space="preserve">Author’s contribution</w:t>
      </w:r>
    </w:p>
    <w:bookmarkEnd w:id="29"/>
    <w:bookmarkStart w:id="30" w:name="conflict-of-interest"/>
    <w:p>
      <w:pPr>
        <w:pStyle w:val="Heading1"/>
      </w:pPr>
      <w:r>
        <w:t xml:space="preserve">Conflict of interest</w:t>
      </w:r>
    </w:p>
    <w:bookmarkEnd w:id="30"/>
    <w:bookmarkStart w:id="32" w:name="data-and-code-availability"/>
    <w:p>
      <w:pPr>
        <w:pStyle w:val="Heading1"/>
      </w:pPr>
      <w:r>
        <w:t xml:space="preserve">Data and code availability</w:t>
      </w:r>
    </w:p>
    <w:p>
      <w:pPr>
        <w:pStyle w:val="FirstParagraph"/>
      </w:pPr>
      <w:r>
        <w:t xml:space="preserve">An R data (RDa) file with anonymized patient data will be made available upon request to the corresponding author.</w:t>
      </w:r>
      <w:r>
        <w:t xml:space="preserve"> </w:t>
      </w:r>
      <w:r>
        <w:t xml:space="preserve">The study analysis pipeline is available at</w:t>
      </w:r>
      <w:r>
        <w:t xml:space="preserve"> </w:t>
      </w:r>
      <w:hyperlink r:id="rId31">
        <w:r>
          <w:rPr>
            <w:rStyle w:val="InternetLink"/>
          </w:rPr>
          <w:t xml:space="preserve">https://github.com/PiotrTymoszuk/mental_accident</w:t>
        </w:r>
      </w:hyperlink>
      <w:r>
        <w:t xml:space="preserve">.</w:t>
      </w:r>
    </w:p>
    <w:p>
      <w:r>
        <w:br w:type="page"/>
      </w:r>
    </w:p>
    <w:bookmarkEnd w:id="32"/>
    <w:bookmarkStart w:id="33" w:name="tables"/>
    <w:p>
      <w:pPr>
        <w:pStyle w:val="Heading1"/>
      </w:pPr>
      <w:r>
        <w:t xml:space="preserve">Tables</w:t>
      </w:r>
    </w:p>
    <w:p>
      <w:pPr>
        <w:pStyle w:val="FirstParagraph"/>
      </w:pPr>
      <w:r>
        <w:t xml:space="preserve">Table 1: Demographic and socioeconomic characteristic of the study cohort. Numeric variables are presented as medians with interquartile ranges (IQR).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8"/>
        <w:gridCol w:w="42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Statistic</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Participants, 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307</w:t>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Hospitalization – survey time, days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1300 [IQR: 800 - 1400], range: 390 - 1600</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Age, accident, years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51 [IQR: 33 - 60], range: 18 - 82</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female: 45% (n = 137)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male: 55% (n = 170)</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Residence in the Alps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73% (n = 225)</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Education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primary: 3.3%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apprenticeship: 13%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secondary: 38%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tertiary: 45% (n = 136)</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Employment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employed: 68% (n = 210)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household: 3.3%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unemployed: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student: 10% (n = 32)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retired: 18% (n = 54)</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Sport profession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Trauma-risk profession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7.2% (n = 22)</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Income/year</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income: 21% (n = 63)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&lt; 15000 Euro: 5.5%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15000 - 30000 Euro: 13%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30000 - 45000 Euro: 19% (n = 59)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&gt; 45000 Euro: 42% (n = 129)</w:t>
            </w:r>
          </w:p>
        </w:tc>
      </w:tr>
      <w:tr>
        <w:trPr>
          <w:cantSplit/>
          <w:trHeight w:val="36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Smoking</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7.8% (n = 24)</w:t>
            </w:r>
          </w:p>
        </w:tc>
      </w:tr>
      <w:tr>
        <w:trPr>
          <w:cantSplit/>
          <w:trHeight w:val="36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Drug consumption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2.3% (n = 7)</w:t>
            </w:r>
          </w:p>
        </w:tc>
      </w:tr>
      <w:tr>
        <w:trPr>
          <w:cantSplit/>
          <w:trHeight w:val="36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Somatic comorbidity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15% (n = 47)</w:t>
            </w:r>
          </w:p>
        </w:tc>
      </w:tr>
      <w:tr>
        <w:trPr>
          <w:cantSplit/>
          <w:trHeight w:val="36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Mental illness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p>
        </w:tc>
      </w:tr>
      <w:tr>
        <w:trPr>
          <w:cantSplit/>
          <w:trHeight w:val="36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Traumatic event before/DIA-X</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40% (n = 124)</w:t>
            </w:r>
          </w:p>
        </w:tc>
      </w:tr>
      <w:tr>
        <w:trPr>
          <w:cantSplit/>
          <w:trHeight w:val="36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Self-reported traumatic event type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none: 88% (n = 271)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severe accident: 6.2% (n = 19)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physical assult: 1.6% (n = 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sexual molestation: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rape: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severe disease: 2%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natural diseaster: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war: 0.33% (n = 1)</w:t>
            </w:r>
          </w:p>
        </w:tc>
      </w:tr>
      <w:tr>
        <w:trPr>
          <w:cantSplit/>
          <w:trHeight w:val="360" w:hRule="auto"/>
        </w:trPr>
        body17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Self-reported traumatic event past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trauma event: 88% (n = 271)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0 – 1 years ago: 0.33%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 5 years ago: 3.9%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 – 10 years ago: 1.3%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10+ years ago: 6.2% (n = 19)</w:t>
            </w:r>
          </w:p>
        </w:tc>
      </w:tr>
    </w:tbl>
    <w:p>
      <w:r>
        <w:br w:type="page"/>
      </w:r>
    </w:p>
    <w:p>
      <w:pPr>
        <w:pStyle w:val="TextBody"/>
      </w:pPr>
      <w:r>
        <w:t xml:space="preserve">Table 2: Characteristic of the sport accident, injury, psychological management and accident consequences. Numeric variables are presented as medians with interquartile ranges (IQR).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8"/>
        <w:gridCol w:w="42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Statistic</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Prior sport accidents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38%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Sport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ski/snowboard: 64%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sledding: 3.9%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mountain: 14% (n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biking: 16% (n = 48)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2.6%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Alone during the accident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32% (n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Accident culprit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 77% (n = 237)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tour partner: 1.3%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third party: 8.1% (n = 25)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blow of fate: 3.9% (n = 12)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natural diseaster: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other reason: 8.8% (n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Injured persons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only self: 93% (n = 195)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 and partner: 5.2%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 persons: 1.9%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210</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Rescue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self: 50% (n = 155)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tour partner: 13% (n = 39)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rescue team: 29% (n = 89)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third party: 7.8% (n = 24)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Injury severity class, AIS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37% (n = 104)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33% (n = 93)</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 29%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279</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Psychological support</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Somatic accident aftermath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37% (n = 115)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Returned to same sport</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85% (n = 262)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body11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Behavior post accident</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change: 35% (n = 106)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more cautious: 65% (n = 199)</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less cautious: 0.65%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 = 307</w:t>
            </w:r>
          </w:p>
        </w:tc>
      </w:tr>
      <w:tr>
        <w:trPr>
          <w:cantSplit/>
          <w:trHeight w:val="360" w:hRule="auto"/>
        </w:trPr>
        footer 1
        <w:tc>
          <w:tcPr>
            <w:gridSpan w:val="2"/>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ski/snowdoard: alpine skiing, snowboarding and cross-country skiing</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sledding: sledding or bobsled</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mountain: hiking, climbing and skitouring</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biking: mountainbike, tour and road cycling</w:t>
            </w:r>
          </w:p>
        </w:tc>
      </w:tr>
      <w:tr>
        <w:trPr>
          <w:cantSplit/>
          <w:trHeight w:val="360" w:hRule="auto"/>
        </w:trPr>
        footer 2
        <w:tc>
          <w:tcPr>
            <w:gridSpan w:val="2"/>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AIS: acute injury severity score</w:t>
            </w:r>
          </w:p>
        </w:tc>
      </w:tr>
    </w:tbl>
    <w:p>
      <w:r>
        <w:br w:type="page"/>
      </w:r>
    </w:p>
    <w:p>
      <w:pPr>
        <w:pStyle w:val="TextBody"/>
      </w:pPr>
      <w:r>
        <w:t xml:space="preserve">Table 3: Mental health characteristic of the study participants at survey completion. Numeric variables are presented as medians with interquartile ranges (IQR). Categorical variables are presented as percentages and counts within the complete observation 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8"/>
        <w:gridCol w:w="425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Variable</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vertAlign w:val="superscript"/>
                <w:sz w:val="20"/>
                <w:szCs w:val="20"/>
                <w:color w:val="000000"/>
              </w:rPr>
              <w:t xml:space="preserve">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true"/>
                <w:u w:val="none"/>
                <w:sz w:val="20"/>
                <w:szCs w:val="20"/>
                <w:color w:val="000000"/>
              </w:rPr>
              <w:t xml:space="preserve">Statistic</w:t>
            </w:r>
          </w:p>
        </w:tc>
      </w:tr>
      <w:tr>
        <w:trPr>
          <w:cantSplit/>
          <w:trHeight w:val="36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Participants, 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307</w:t>
            </w:r>
          </w:p>
        </w:tc>
      </w:tr>
      <w:tr>
        <w:trPr>
          <w:cantSplit/>
          <w:trHeight w:val="36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PSS4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 [IQR: 3 - 6], range: 0 - 14</w:t>
            </w:r>
          </w:p>
        </w:tc>
      </w:tr>
      <w:tr>
        <w:trPr>
          <w:cantSplit/>
          <w:trHeight w:val="36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GAD-7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[IQR: 0 - 3], range: 0 - 15</w:t>
            </w:r>
          </w:p>
        </w:tc>
      </w:tr>
      <w:tr>
        <w:trPr>
          <w:cantSplit/>
          <w:trHeight w:val="36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Anxiety+ (GAD-7 ≥10)</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2.3% (n = 7)</w:t>
            </w:r>
          </w:p>
        </w:tc>
      </w:tr>
      <w:tr>
        <w:trPr>
          <w:cantSplit/>
          <w:trHeight w:val="36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PHQ-9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1 - 5], range: 0 - 16</w:t>
            </w:r>
          </w:p>
        </w:tc>
      </w:tr>
      <w:tr>
        <w:trPr>
          <w:cantSplit/>
          <w:trHeight w:val="36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Depression+ (PHQ-9 ≥11)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5.5% (n = 17)</w:t>
            </w:r>
          </w:p>
        </w:tc>
      </w:tr>
      <w:tr>
        <w:trPr>
          <w:cantSplit/>
          <w:trHeight w:val="36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PHQ-15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2 [IQR: 1 - 4], range: 0 - 23</w:t>
            </w:r>
          </w:p>
        </w:tc>
      </w:tr>
      <w:tr>
        <w:trPr>
          <w:cantSplit/>
          <w:trHeight w:val="36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Somatization+ (PHQ-15 ≥11)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4.9% (n = 15)</w:t>
            </w:r>
          </w:p>
        </w:tc>
      </w:tr>
      <w:tr>
        <w:trPr>
          <w:cantSplit/>
          <w:trHeight w:val="36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EUROHIS-QOL 8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1.6 [IQR: 1.4 - 2], range: 1 - 4</w:t>
            </w:r>
          </w:p>
        </w:tc>
      </w:tr>
      <w:tr>
        <w:trPr>
          <w:cantSplit/>
          <w:trHeight w:val="36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SOC-9L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19 [IQR: 16 - 25], range: 10 - 49</w:t>
            </w:r>
          </w:p>
        </w:tc>
      </w:tr>
      <w:tr>
        <w:trPr>
          <w:cantSplit/>
          <w:trHeight w:val="36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RS13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78 [IQR: 70 - 85], range: 15 - 91</w:t>
            </w:r>
          </w:p>
        </w:tc>
      </w:tr>
      <w:tr>
        <w:trPr>
          <w:cantSplit/>
          <w:trHeight w:val="36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RS13 coping class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low: 18% (n = 56)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moderate: 14% (n = 42)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high: 68% (n = 209)</w:t>
            </w:r>
          </w:p>
        </w:tc>
      </w:tr>
      <w:tr>
        <w:trPr>
          <w:cantSplit/>
          <w:trHeight w:val="360" w:hRule="auto"/>
        </w:trPr>
        body13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Abuse+ (CAGE ≥2)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9.4% (n = 29)</w:t>
            </w:r>
          </w:p>
        </w:tc>
      </w:tr>
      <w:tr>
        <w:trPr>
          <w:cantSplit/>
          <w:trHeight w:val="360" w:hRule="auto"/>
        </w:trPr>
        body14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Flashback frequency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no flashbacks: 60% (n = 185)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&gt; 1 – 2 per week: 2.6%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several per month: 5.2%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 2 per month: 9.8% (n = 30)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 – 2 per year: 22% (n = 68)</w:t>
            </w:r>
          </w:p>
        </w:tc>
      </w:tr>
      <w:tr>
        <w:trPr>
          <w:cantSplit/>
          <w:trHeight w:val="360" w:hRule="auto"/>
        </w:trPr>
        body15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PCL-5 DSM-5 score</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 [IQR: 1 - 7], range: 0 - 44</w:t>
            </w:r>
          </w:p>
        </w:tc>
      </w:tr>
      <w:tr>
        <w:trPr>
          <w:cantSplit/>
          <w:trHeight w:val="360" w:hRule="auto"/>
        </w:trPr>
        body16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PTSD+ (at least one cluster)</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19% (n = 58)</w:t>
            </w:r>
          </w:p>
        </w:tc>
      </w:tr>
      <w:tr>
        <w:trPr>
          <w:cantSplit/>
          <w:trHeight w:val="360" w:hRule="auto"/>
        </w:trPr>
        body17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PTGI score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32 [IQR: 16 - 48], range: 0 - 100</w:t>
            </w:r>
          </w:p>
        </w:tc>
      </w:tr>
      <w:tr>
        <w:trPr>
          <w:cantSplit/>
          <w:trHeight w:val="360" w:hRule="auto"/>
        </w:trPr>
        footer 1
        <w:tc>
          <w:tcPr>
            <w:gridSpan w:val="2"/>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vertAlign w:val="superscript"/>
                <w:sz w:val="20"/>
                <w:szCs w:val="20"/>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i w:val="false"/>
                <w:b w:val="false"/>
                <w:u w:val="none"/>
                <w:sz w:val="20"/>
                <w:szCs w:val="20"/>
                <w:color w:val="000000"/>
              </w:rPr>
              <w:t xml:space="preserve">PSS4: 4-item perceived stress scale; GAD-7: 7-item general anxiety disorder scale; PHQ: patient health questionnaire; EUROHIS-QOL 8: 8-item EUROHIS project quality of life scale; SOC-9L: Leipzig 9-item sense of coherence questionnaire; RS13: 13-item resilience scale; CAGE: Cut/Annoyed/Guilty/Eye substance abuse scale; PCL-5 DSM-5: PTSD checklist for DSM-5; PTGI: post-traumatic growth inventory; PTSD: post-traumatic syndrome disorder</w:t>
            </w:r>
          </w:p>
        </w:tc>
      </w:tr>
    </w:tbl>
    <w:p>
      <w:r>
        <w:br w:type="page"/>
      </w:r>
    </w:p>
    <w:bookmarkEnd w:id="33"/>
    <w:bookmarkStart w:id="37" w:name="figures"/>
    <w:p>
      <w:pPr>
        <w:pStyle w:val="Heading1"/>
      </w:pPr>
      <w:r>
        <w:t xml:space="preserve">Figures</w:t>
      </w:r>
    </w:p>
    <w:p>
      <w:pPr>
        <w:pStyle w:val="CaptionedFigure"/>
      </w:pPr>
      <w:r>
        <w:drawing>
          <wp:inline>
            <wp:extent cx="3243906" cy="3337025"/>
            <wp:effectExtent b="0" l="0" r="0" t="0"/>
            <wp:docPr descr="Figure 1: Flow diagram of the analysis inclusion process." title="" id="35" name="Picture"/>
            <a:graphic>
              <a:graphicData uri="http://schemas.openxmlformats.org/drawingml/2006/picture">
                <pic:pic>
                  <pic:nvPicPr>
                    <pic:cNvPr descr="C:\Users\piotr\Desktop\PTSD%20paper\paper\manuscript_files/figure-docx/fig-consort-1.png" id="36" name="Picture"/>
                    <pic:cNvPicPr>
                      <a:picLocks noChangeArrowheads="1" noChangeAspect="1"/>
                    </pic:cNvPicPr>
                  </pic:nvPicPr>
                  <pic:blipFill>
                    <a:blip r:embed="rId34"/>
                    <a:stretch>
                      <a:fillRect/>
                    </a:stretch>
                  </pic:blipFill>
                  <pic:spPr bwMode="auto">
                    <a:xfrm>
                      <a:off x="0" y="0"/>
                      <a:ext cx="3243906" cy="3337025"/>
                    </a:xfrm>
                    <a:prstGeom prst="rect">
                      <a:avLst/>
                    </a:prstGeom>
                    <a:noFill/>
                    <a:ln w="9525">
                      <a:noFill/>
                      <a:headEnd/>
                      <a:tailEnd/>
                    </a:ln>
                  </pic:spPr>
                </pic:pic>
              </a:graphicData>
            </a:graphic>
          </wp:inline>
        </w:drawing>
      </w:r>
    </w:p>
    <w:p>
      <w:pPr>
        <w:pStyle w:val="ImageCaption"/>
      </w:pPr>
      <w:r>
        <w:t xml:space="preserve">Figure 1: Flow diagram of the analysis inclusion process.</w:t>
      </w:r>
    </w:p>
    <w:p>
      <w:pPr>
        <w:pStyle w:val="TextBody"/>
      </w:pPr>
      <w:r>
        <w:rPr>
          <w:bCs/>
          <w:b/>
        </w:rPr>
        <w:t xml:space="preserve">Figure</w:t>
      </w:r>
      <w:r>
        <w:rPr>
          <w:bCs/>
          <w:b/>
        </w:rPr>
        <w:t xml:space="preserve"> </w:t>
      </w:r>
      <w:r>
        <w:rPr>
          <w:bCs/>
          <w:b/>
        </w:rPr>
        <w:t xml:space="preserve">1</w:t>
      </w:r>
      <w:r>
        <w:rPr>
          <w:bCs/>
          <w:b/>
        </w:rPr>
        <w:t xml:space="preserve">. Flow diagram of the analysis inclusion process.</w:t>
      </w:r>
    </w:p>
    <w:p>
      <w:r>
        <w:br w:type="page"/>
      </w:r>
    </w:p>
    <w:bookmarkEnd w:id="37"/>
    <w:bookmarkStart w:id="38" w:name="references"/>
    <w:p>
      <w:pPr>
        <w:pStyle w:val="Heading1"/>
      </w:pPr>
      <w:r>
        <w:t xml:space="preserve">References</w:t>
      </w:r>
    </w:p>
    <w:bookmarkEnd w:id="38"/>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4" Target="media/rId34.png" /><Relationship Type="http://schemas.openxmlformats.org/officeDocument/2006/relationships/hyperlink" Id="rId31" Target="https://github.com/PiotrTymoszuk/mental_accident" TargetMode="External" /><Relationship Type="http://schemas.openxmlformats.org/officeDocument/2006/relationships/hyperlink" Id="rId20" Target="mailto:Katharina.Huefner@i-med.ac.at"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PiotrTymoszuk/mental_accident" TargetMode="External" /><Relationship Type="http://schemas.openxmlformats.org/officeDocument/2006/relationships/hyperlink" Id="rId20" Target="mailto:Katharina.Huefner@i-med.a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2</Pages>
  <Words>365</Words>
  <Characters>2349</Characters>
  <CharactersWithSpaces>2696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distinct patterns of mental health response after a sport accident</dc:title>
  <dc:creator>Katharina Hüfner, MD1,✉, Hanna Salvotti, MD1, and Piotr Tymoszuk, PhD2</dc:creator>
  <cp:keywords/>
  <dcterms:created xsi:type="dcterms:W3CDTF">2023-02-14T17:17:22Z</dcterms:created>
  <dcterms:modified xsi:type="dcterms:W3CDTF">2023-02-14T17:17:22Z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ptsd_biblio.bib</vt:lpwstr>
  </property>
  <property fmtid="{D5CDD505-2E9C-101B-9397-08002B2CF9AE}" pid="3" name="csl">
    <vt:lpwstr>frontiers_medical.csl</vt:lpwstr>
  </property>
  <property fmtid="{D5CDD505-2E9C-101B-9397-08002B2CF9AE}" pid="4" name="date">
    <vt:lpwstr>2023-02-14</vt:lpwstr>
  </property>
  <property fmtid="{D5CDD505-2E9C-101B-9397-08002B2CF9AE}" pid="5" name="header-includes">
    <vt:lpwstr>  </vt:lpwstr>
  </property>
  <property fmtid="{D5CDD505-2E9C-101B-9397-08002B2CF9AE}" pid="6" name="output">
    <vt:lpwstr/>
  </property>
  <property fmtid="{D5CDD505-2E9C-101B-9397-08002B2CF9AE}" pid="7" name="subtitle">
    <vt:lpwstr>Manuscript</vt:lpwstr>
  </property>
</Properties>
</file>