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Three distinct patterns of mental health response after a sport accident</w:t>
      </w:r>
    </w:p>
    <w:p>
      <w:pPr>
        <w:pStyle w:val="Subtitle"/>
        <w:rPr/>
      </w:pPr>
      <w:r>
        <w:rPr/>
        <w:t>Supplementary Material</w:t>
      </w:r>
    </w:p>
    <w:p>
      <w:pPr>
        <w:pStyle w:val="Author"/>
        <w:rPr/>
      </w:pPr>
      <w:r>
        <w:rPr/>
        <w:t>Psychiatry Study Team</w:t>
      </w:r>
    </w:p>
    <w:p>
      <w:pPr>
        <w:pStyle w:val="Date"/>
        <w:rPr/>
      </w:pPr>
      <w:r>
        <w:rPr/>
        <w:t>2023-02-14</w:t>
      </w:r>
    </w:p>
    <w:p>
      <w:pPr>
        <w:pStyle w:val="Normal"/>
        <w:rPr/>
      </w:pPr>
      <w:r>
        <w:rPr/>
      </w:r>
      <w:r>
        <w:br w:type="page"/>
      </w:r>
    </w:p>
    <w:p>
      <w:pPr>
        <w:pStyle w:val="Heading1"/>
        <w:rPr/>
      </w:pPr>
      <w:r>
        <w:rPr/>
        <w:t>Supplementary Methods</w:t>
      </w:r>
    </w:p>
    <w:p>
      <w:pPr>
        <w:pStyle w:val="Normal"/>
        <w:rPr/>
      </w:pPr>
      <w:r>
        <w:rPr/>
      </w:r>
      <w:bookmarkStart w:id="0" w:name="supplementary-methods"/>
      <w:bookmarkStart w:id="1" w:name="supplementary-methods"/>
      <w:bookmarkEnd w:id="1"/>
      <w:r>
        <w:br w:type="page"/>
      </w:r>
    </w:p>
    <w:p>
      <w:pPr>
        <w:pStyle w:val="Heading1"/>
        <w:rPr/>
      </w:pPr>
      <w:r>
        <w:rPr/>
        <w:t>Supplementary Tables</w:t>
      </w:r>
    </w:p>
    <w:p>
      <w:pPr>
        <w:pStyle w:val="TableHeading"/>
        <w:rPr/>
      </w:pPr>
      <w:r>
        <w:rPr/>
        <w:t>Table 1: Variables used in the analysis pipeline. The table is available in a supplementary Excel file.</w:t>
      </w:r>
    </w:p>
    <w:tbl>
      <w:tblPr>
        <w:tblW w:w="1080" w:type="dxa"/>
        <w:jc w:val="center"/>
        <w:tblInd w:w="0" w:type="dxa"/>
        <w:tblLayout w:type="fixed"/>
        <w:tblCellMar>
          <w:top w:w="0" w:type="dxa"/>
          <w:left w:w="0" w:type="dxa"/>
          <w:bottom w:w="0" w:type="dxa"/>
          <w:right w:w="0" w:type="dxa"/>
        </w:tblCellMar>
        <w:tblLook w:firstRow="1" w:noVBand="1" w:lastRow="0" w:firstColumn="0" w:lastColumn="0" w:noHBand="0"/>
      </w:tblPr>
      <w:tblGrid>
        <w:gridCol w:w="1080"/>
      </w:tblGrid>
      <w:tr>
        <w:trPr>
          <w:tblHeader w:val="true"/>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rFonts w:ascii="Cambria" w:hAnsi="Cambria"/>
                <w:b w:val="false"/>
                <w:b w:val="false"/>
                <w:i w:val="false"/>
                <w:i w:val="false"/>
                <w:color w:val="000000"/>
                <w:sz w:val="18"/>
                <w:szCs w:val="18"/>
                <w:u w:val="none"/>
              </w:rPr>
            </w:pPr>
            <w:r>
              <w:rPr/>
            </w:r>
          </w:p>
        </w:tc>
      </w:tr>
      <w:tr>
        <w:trPr>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r>
    </w:tbl>
    <w:p>
      <w:pPr>
        <w:pStyle w:val="TableHeading"/>
        <w:rPr/>
      </w:pPr>
      <w:r>
        <w:rPr/>
        <w:t>Table 2: Mental health assessment battery. The table is available in a supplementary Excel file.</w:t>
      </w:r>
    </w:p>
    <w:tbl>
      <w:tblPr>
        <w:tblW w:w="1080" w:type="dxa"/>
        <w:jc w:val="center"/>
        <w:tblInd w:w="0" w:type="dxa"/>
        <w:tblLayout w:type="fixed"/>
        <w:tblCellMar>
          <w:top w:w="0" w:type="dxa"/>
          <w:left w:w="0" w:type="dxa"/>
          <w:bottom w:w="0" w:type="dxa"/>
          <w:right w:w="0" w:type="dxa"/>
        </w:tblCellMar>
        <w:tblLook w:firstRow="1" w:noVBand="1" w:lastRow="0" w:firstColumn="0" w:lastColumn="0" w:noHBand="0"/>
      </w:tblPr>
      <w:tblGrid>
        <w:gridCol w:w="1080"/>
      </w:tblGrid>
      <w:tr>
        <w:trPr>
          <w:tblHeader w:val="true"/>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rFonts w:ascii="Cambria" w:hAnsi="Cambria"/>
                <w:b w:val="false"/>
                <w:b w:val="false"/>
                <w:i w:val="false"/>
                <w:i w:val="false"/>
                <w:color w:val="000000"/>
                <w:sz w:val="18"/>
                <w:szCs w:val="18"/>
                <w:u w:val="none"/>
              </w:rPr>
            </w:pPr>
            <w:r>
              <w:rPr/>
            </w:r>
          </w:p>
        </w:tc>
      </w:tr>
      <w:tr>
        <w:trPr>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r>
          </w:p>
        </w:tc>
      </w:tr>
    </w:tbl>
    <w:p>
      <w:pPr>
        <w:pStyle w:val="Normal"/>
        <w:rPr/>
      </w:pPr>
      <w:r>
        <w:rPr/>
      </w:r>
      <w:r>
        <w:br w:type="page"/>
      </w:r>
    </w:p>
    <w:p>
      <w:pPr>
        <w:pStyle w:val="TableHeading"/>
        <w:rPr/>
      </w:pPr>
      <w:r>
        <w:rPr/>
        <w:t>Table 3: Significant and near signifcant (unadjusted p &lt; 0.05) differences between individuals excluded from analysis and analyzed study participants. Numeric variables are presented as medians with interquartile ranges (IQR). Categorical variables are presented as percentages and counts within the complete observation set.</w:t>
      </w:r>
    </w:p>
    <w:tbl>
      <w:tblPr>
        <w:tblW w:w="10375" w:type="dxa"/>
        <w:jc w:val="center"/>
        <w:tblInd w:w="0" w:type="dxa"/>
        <w:tblLayout w:type="fixed"/>
        <w:tblCellMar>
          <w:top w:w="0" w:type="dxa"/>
          <w:left w:w="0" w:type="dxa"/>
          <w:bottom w:w="0" w:type="dxa"/>
          <w:right w:w="0" w:type="dxa"/>
        </w:tblCellMar>
        <w:tblLook w:firstRow="1" w:noVBand="1" w:lastRow="0" w:firstColumn="0" w:lastColumn="0" w:noHBand="0"/>
      </w:tblPr>
      <w:tblGrid>
        <w:gridCol w:w="1813"/>
        <w:gridCol w:w="2836"/>
        <w:gridCol w:w="2834"/>
        <w:gridCol w:w="1474"/>
        <w:gridCol w:w="1418"/>
      </w:tblGrid>
      <w:tr>
        <w:trPr>
          <w:tblHeader w:val="true"/>
          <w:trHeight w:val="360" w:hRule="atLeast"/>
          <w:cantSplit w:val="true"/>
        </w:trPr>
        <w:tc>
          <w:tcPr>
            <w:tcW w:w="1813"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18"/>
                <w:szCs w:val="18"/>
                <w:u w:val="none"/>
              </w:rPr>
              <w:t>Variable</w:t>
            </w:r>
          </w:p>
        </w:tc>
        <w:tc>
          <w:tcPr>
            <w:tcW w:w="2836"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18"/>
                <w:szCs w:val="18"/>
                <w:u w:val="none"/>
              </w:rPr>
              <w:t>Included</w:t>
            </w:r>
          </w:p>
        </w:tc>
        <w:tc>
          <w:tcPr>
            <w:tcW w:w="2834"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18"/>
                <w:szCs w:val="18"/>
                <w:u w:val="none"/>
              </w:rPr>
              <w:t>Excluded</w:t>
            </w:r>
          </w:p>
        </w:tc>
        <w:tc>
          <w:tcPr>
            <w:tcW w:w="1474"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18"/>
                <w:szCs w:val="18"/>
                <w:u w:val="none"/>
              </w:rPr>
              <w:t>Significance (FDR)</w:t>
            </w:r>
            <w:r>
              <w:rPr>
                <w:b/>
                <w:i w:val="false"/>
                <w:color w:val="000000"/>
                <w:sz w:val="18"/>
                <w:szCs w:val="18"/>
                <w:u w:val="none"/>
                <w:vertAlign w:val="superscript"/>
              </w:rPr>
              <w:t>a</w:t>
            </w:r>
          </w:p>
        </w:tc>
        <w:tc>
          <w:tcPr>
            <w:tcW w:w="1418" w:type="dxa"/>
            <w:tcBorders>
              <w:top w:val="single" w:sz="16"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i w:val="false"/>
                <w:color w:val="000000"/>
                <w:sz w:val="18"/>
                <w:szCs w:val="18"/>
                <w:u w:val="none"/>
              </w:rPr>
              <w:t>Effect size</w:t>
            </w:r>
            <w:r>
              <w:rPr>
                <w:b/>
                <w:i w:val="false"/>
                <w:color w:val="000000"/>
                <w:sz w:val="18"/>
                <w:szCs w:val="18"/>
                <w:u w:val="none"/>
                <w:vertAlign w:val="superscript"/>
              </w:rPr>
              <w:t>a</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employment</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employed: 68% (n = 210)</w:t>
              <w:br/>
              <w:t>household: 3.3% (n = 10)</w:t>
              <w:br/>
              <w:t>unemployed: 0.33% (n = 1)</w:t>
              <w:br/>
              <w:t>student: 10% (n = 32)</w:t>
              <w:br/>
              <w:t>retired: 18% (n = 54)</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employed: 54% (n = 43)</w:t>
              <w:br/>
              <w:t>household: 1.2% (n = 1)</w:t>
              <w:br/>
              <w:t>unemployed: 3.8% (n = 3)</w:t>
              <w:br/>
              <w:t>student: 19% (n = 15)</w:t>
              <w:br/>
              <w:t>retired: 22% (n = 18)</w:t>
              <w:br/>
              <w:t>n = 80</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V = 0.19</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income/year</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no income: 21% (n = 63)</w:t>
              <w:br/>
              <w:t>&lt; 15000 Euro: 5.5% (n = 17)</w:t>
              <w:br/>
              <w:t>15000 - 30000 Euro: 13% (n = 39)</w:t>
              <w:br/>
              <w:t>30000 - 45000 Euro: 19% (n = 59)</w:t>
              <w:br/>
              <w:t>&gt; 45000 Euro: 42% (n = 129)</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no income: 44% (n = 35)</w:t>
              <w:br/>
              <w:t>&lt; 15000 Euro: 1.2% (n = 1)</w:t>
              <w:br/>
              <w:t>15000 - 30000 Euro: 12% (n = 10)</w:t>
              <w:br/>
              <w:t>30000 - 45000 Euro: 16% (n = 13)</w:t>
              <w:br/>
              <w:t>&gt; 45000 Euro: 26% (n = 21)</w:t>
              <w:br/>
              <w:t>n = 80</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p = 0.029</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V = 0.23</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injury severity, AIS score</w:t>
            </w:r>
            <w:r>
              <w:rPr>
                <w:b w:val="false"/>
                <w:i w:val="false"/>
                <w:color w:val="000000"/>
                <w:sz w:val="18"/>
                <w:szCs w:val="18"/>
                <w:u w:val="none"/>
                <w:vertAlign w:val="superscript"/>
              </w:rPr>
              <w:t>b</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2 [IQR: 1 - 3]</w:t>
              <w:br/>
              <w:t>range: 1 - 5</w:t>
              <w:br/>
              <w:t>n = 279</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2 [IQR: 1 - 2]</w:t>
              <w:br/>
              <w:t>range: 1 - 4</w:t>
              <w:br/>
              <w:t>n = 70</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0.12</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injury severity class, AIS score</w:t>
            </w:r>
            <w:r>
              <w:rPr>
                <w:b w:val="false"/>
                <w:i w:val="false"/>
                <w:color w:val="000000"/>
                <w:sz w:val="18"/>
                <w:szCs w:val="18"/>
                <w:u w:val="none"/>
                <w:vertAlign w:val="superscript"/>
              </w:rPr>
              <w:t>b</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1: 37% (n = 104)</w:t>
              <w:br/>
              <w:t>2: 33% (n = 93)</w:t>
              <w:br/>
              <w:t>3+: 29% (n = 82)</w:t>
              <w:br/>
              <w:t>n = 279</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1: 46% (n = 32)</w:t>
              <w:br/>
              <w:t>2: 40% (n = 28)</w:t>
              <w:br/>
              <w:t>3+: 14% (n = 10)</w:t>
              <w:br/>
              <w:t>n = 70</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V = 0.14</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upper limb injury</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42% (n = 118)</w:t>
              <w:br/>
              <w:t>n = 279</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57% (n = 40)</w:t>
              <w:br/>
              <w:t>n = 70</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V = 0.12</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somatic accident aftermath</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37% (n = 115)</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22% (n = 12)</w:t>
              <w:br/>
              <w:t>n = 55</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V = 0.12</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PTGI score</w:t>
            </w:r>
            <w:r>
              <w:rPr>
                <w:b w:val="false"/>
                <w:i w:val="false"/>
                <w:color w:val="000000"/>
                <w:sz w:val="18"/>
                <w:szCs w:val="18"/>
                <w:u w:val="none"/>
                <w:vertAlign w:val="superscript"/>
              </w:rPr>
              <w:t>c</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32 [IQR: 16 - 48]</w:t>
              <w:br/>
              <w:t>range: 0 - 100</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8.5 [IQR: 3 - 41]</w:t>
              <w:br/>
              <w:t>range: 0 - 78</w:t>
              <w:br/>
              <w:t>n = 18</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0.12</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PTGI I relations score</w:t>
            </w:r>
            <w:r>
              <w:rPr>
                <w:b w:val="false"/>
                <w:i w:val="false"/>
                <w:color w:val="000000"/>
                <w:sz w:val="18"/>
                <w:szCs w:val="18"/>
                <w:u w:val="none"/>
                <w:vertAlign w:val="superscript"/>
              </w:rPr>
              <w:t>c</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12 [IQR: 6 - 18]</w:t>
              <w:br/>
              <w:t>range: 0 - 35</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2.5 [IQR: 0 - 13]</w:t>
              <w:br/>
              <w:t>range: 0 - 28</w:t>
              <w:br/>
              <w:t>n = 18</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0.12)</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0.15</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PTGI III personal strength score</w:t>
            </w:r>
            <w:r>
              <w:rPr>
                <w:b w:val="false"/>
                <w:i w:val="false"/>
                <w:color w:val="000000"/>
                <w:sz w:val="18"/>
                <w:szCs w:val="18"/>
                <w:u w:val="none"/>
                <w:vertAlign w:val="superscript"/>
              </w:rPr>
              <w:t>c</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8 [IQR: 4 - 11]</w:t>
              <w:br/>
              <w:t>range: 0 - 20</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4.5 [IQR: 0 - 8.8]</w:t>
              <w:br/>
              <w:t>range: 0 - 16</w:t>
              <w:br/>
              <w:t>n = 18</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0.12</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PTGI V life appreciation score</w:t>
            </w:r>
            <w:r>
              <w:rPr>
                <w:b w:val="false"/>
                <w:i w:val="false"/>
                <w:color w:val="000000"/>
                <w:sz w:val="18"/>
                <w:szCs w:val="18"/>
                <w:u w:val="none"/>
                <w:vertAlign w:val="superscript"/>
              </w:rPr>
              <w:t>c</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6 [IQR: 2 - 9]</w:t>
              <w:br/>
              <w:t>range: 0 - 15</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1.5 [IQR: 0.25 - 6.8]</w:t>
              <w:br/>
              <w:t>range: 0 - 12</w:t>
              <w:br/>
              <w:t>n = 18</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0.27)</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0.11</w:t>
            </w:r>
          </w:p>
        </w:tc>
      </w:tr>
      <w:tr>
        <w:trPr>
          <w:trHeight w:val="360" w:hRule="atLeast"/>
          <w:cantSplit w:val="true"/>
        </w:trPr>
        <w:tc>
          <w:tcPr>
            <w:tcW w:w="1813"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PSS4 score</w:t>
            </w:r>
            <w:r>
              <w:rPr>
                <w:b w:val="false"/>
                <w:i w:val="false"/>
                <w:color w:val="000000"/>
                <w:sz w:val="18"/>
                <w:szCs w:val="18"/>
                <w:u w:val="none"/>
                <w:vertAlign w:val="superscript"/>
              </w:rPr>
              <w:t>d</w:t>
            </w:r>
          </w:p>
        </w:tc>
        <w:tc>
          <w:tcPr>
            <w:tcW w:w="2836"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4 [IQR: 3 - 6]</w:t>
              <w:br/>
              <w:t>range: 0 - 14</w:t>
              <w:br/>
              <w:t>n = 307</w:t>
            </w:r>
          </w:p>
        </w:tc>
        <w:tc>
          <w:tcPr>
            <w:tcW w:w="283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5.5 [IQR: 4 - 7]</w:t>
              <w:br/>
              <w:t>range: 0 - 9</w:t>
              <w:br/>
              <w:t>n = 42</w:t>
            </w:r>
          </w:p>
        </w:tc>
        <w:tc>
          <w:tcPr>
            <w:tcW w:w="1474"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0.24)</w:t>
            </w:r>
          </w:p>
        </w:tc>
        <w:tc>
          <w:tcPr>
            <w:tcW w:w="1418" w:type="dxa"/>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0.12</w:t>
            </w:r>
          </w:p>
        </w:tc>
      </w:tr>
      <w:tr>
        <w:trPr>
          <w:trHeight w:val="360" w:hRule="atLeast"/>
          <w:cantSplit w:val="true"/>
        </w:trPr>
        <w:tc>
          <w:tcPr>
            <w:tcW w:w="1813"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SOC-9L score</w:t>
            </w:r>
            <w:r>
              <w:rPr>
                <w:b w:val="false"/>
                <w:i w:val="false"/>
                <w:color w:val="000000"/>
                <w:sz w:val="18"/>
                <w:szCs w:val="18"/>
                <w:u w:val="none"/>
                <w:vertAlign w:val="superscript"/>
              </w:rPr>
              <w:t>e</w:t>
            </w:r>
          </w:p>
        </w:tc>
        <w:tc>
          <w:tcPr>
            <w:tcW w:w="2836"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19 [IQR: 16 - 25]</w:t>
              <w:br/>
              <w:t>range: 10 - 49</w:t>
              <w:br/>
              <w:t>n = 307</w:t>
            </w:r>
          </w:p>
        </w:tc>
        <w:tc>
          <w:tcPr>
            <w:tcW w:w="2834"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27 [IQR: 20 - 35]</w:t>
              <w:br/>
              <w:t>range: 17 - 50</w:t>
              <w:br/>
              <w:t>n = 11</w:t>
            </w:r>
          </w:p>
        </w:tc>
        <w:tc>
          <w:tcPr>
            <w:tcW w:w="1474"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ns (p = 0.12)</w:t>
            </w:r>
          </w:p>
        </w:tc>
        <w:tc>
          <w:tcPr>
            <w:tcW w:w="1418" w:type="dxa"/>
            <w:tcBorders>
              <w:top w:val="single" w:sz="4" w:space="0" w:color="666666"/>
              <w:bottom w:val="single" w:sz="16"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rPr>
              <w:t>r = 0.15</w:t>
            </w:r>
          </w:p>
        </w:tc>
      </w:tr>
      <w:tr>
        <w:trPr>
          <w:trHeight w:val="360" w:hRule="atLeast"/>
          <w:cantSplit w:val="true"/>
        </w:trPr>
        <w:tc>
          <w:tcPr>
            <w:tcW w:w="10375" w:type="dxa"/>
            <w:gridSpan w:val="5"/>
            <w:tcBorders>
              <w:top w:val="single" w:sz="16"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vertAlign w:val="superscript"/>
              </w:rPr>
              <w:t>a</w:t>
            </w:r>
            <w:r>
              <w:rPr>
                <w:b w:val="false"/>
                <w:i w:val="false"/>
                <w:color w:val="000000"/>
                <w:sz w:val="18"/>
                <w:szCs w:val="18"/>
                <w:u w:val="none"/>
              </w:rPr>
              <w:t>Numeric variables: Mann-Whitney test with r effect size statistic; categorical variables: &lt;/² test with Cramer V effec size statistic. P values were corrected for multiple testing with the false discovery method (FDR)</w:t>
            </w:r>
          </w:p>
        </w:tc>
      </w:tr>
      <w:tr>
        <w:trPr>
          <w:trHeight w:val="360" w:hRule="atLeast"/>
          <w:cantSplit w:val="true"/>
        </w:trPr>
        <w:tc>
          <w:tcPr>
            <w:tcW w:w="10375"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vertAlign w:val="superscript"/>
              </w:rPr>
              <w:t>b</w:t>
            </w:r>
            <w:r>
              <w:rPr>
                <w:b w:val="false"/>
                <w:i w:val="false"/>
                <w:color w:val="000000"/>
                <w:sz w:val="18"/>
                <w:szCs w:val="18"/>
                <w:u w:val="none"/>
              </w:rPr>
              <w:t>AIS: acute injury severity score</w:t>
            </w:r>
          </w:p>
        </w:tc>
      </w:tr>
      <w:tr>
        <w:trPr>
          <w:trHeight w:val="360" w:hRule="atLeast"/>
          <w:cantSplit w:val="true"/>
        </w:trPr>
        <w:tc>
          <w:tcPr>
            <w:tcW w:w="10375"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vertAlign w:val="superscript"/>
              </w:rPr>
              <w:t>c</w:t>
            </w:r>
            <w:r>
              <w:rPr>
                <w:b w:val="false"/>
                <w:i w:val="false"/>
                <w:color w:val="000000"/>
                <w:sz w:val="18"/>
                <w:szCs w:val="18"/>
                <w:u w:val="none"/>
              </w:rPr>
              <w:t>PTGI: post-traumatic growth inventory</w:t>
            </w:r>
          </w:p>
        </w:tc>
      </w:tr>
      <w:tr>
        <w:trPr>
          <w:trHeight w:val="360" w:hRule="atLeast"/>
          <w:cantSplit w:val="true"/>
        </w:trPr>
        <w:tc>
          <w:tcPr>
            <w:tcW w:w="10375"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vertAlign w:val="superscript"/>
              </w:rPr>
              <w:t>d</w:t>
            </w:r>
            <w:r>
              <w:rPr>
                <w:b w:val="false"/>
                <w:i w:val="false"/>
                <w:color w:val="000000"/>
                <w:sz w:val="18"/>
                <w:szCs w:val="18"/>
                <w:u w:val="none"/>
              </w:rPr>
              <w:t>PSS4: 4-item perceived stress scale</w:t>
            </w:r>
          </w:p>
        </w:tc>
      </w:tr>
      <w:tr>
        <w:trPr>
          <w:trHeight w:val="360" w:hRule="atLeast"/>
          <w:cantSplit w:val="true"/>
        </w:trPr>
        <w:tc>
          <w:tcPr>
            <w:tcW w:w="10375" w:type="dxa"/>
            <w:gridSpan w:val="5"/>
            <w:tcBorders>
              <w:top w:val="single" w:sz="4" w:space="0" w:color="666666"/>
              <w:bottom w:val="single" w:sz="4" w:space="0" w:color="666666"/>
            </w:tcBorders>
            <w:shd w:color="auto" w:fill="FFFFFF" w:val="clear"/>
            <w:vAlign w:val="center"/>
          </w:tcPr>
          <w:p>
            <w:pPr>
              <w:pStyle w:val="Normal"/>
              <w:keepNext w:val="true"/>
              <w:widowControl w:val="false"/>
              <w:pBdr/>
              <w:spacing w:lineRule="exact" w:line="240" w:before="100" w:after="100"/>
              <w:ind w:left="100" w:right="100" w:hanging="0"/>
              <w:jc w:val="left"/>
              <w:rPr/>
            </w:pPr>
            <w:r>
              <w:rPr>
                <w:b w:val="false"/>
                <w:i w:val="false"/>
                <w:color w:val="000000"/>
                <w:sz w:val="18"/>
                <w:szCs w:val="18"/>
                <w:u w:val="none"/>
                <w:vertAlign w:val="superscript"/>
              </w:rPr>
              <w:t>e</w:t>
            </w:r>
            <w:r>
              <w:rPr>
                <w:b w:val="false"/>
                <w:i w:val="false"/>
                <w:color w:val="000000"/>
                <w:sz w:val="18"/>
                <w:szCs w:val="18"/>
                <w:u w:val="none"/>
              </w:rPr>
              <w:t>SOC-9L: Leipzig 9-item sense of soherence scale</w:t>
            </w:r>
          </w:p>
        </w:tc>
      </w:tr>
    </w:tbl>
    <w:p>
      <w:pPr>
        <w:pStyle w:val="Normal"/>
        <w:rPr/>
      </w:pPr>
      <w:r>
        <w:rPr/>
      </w:r>
      <w:bookmarkStart w:id="2" w:name="supplementary-tables"/>
      <w:bookmarkStart w:id="3" w:name="supplementary-tables"/>
      <w:bookmarkEnd w:id="3"/>
      <w:r>
        <w:br w:type="page"/>
      </w:r>
    </w:p>
    <w:p>
      <w:pPr>
        <w:pStyle w:val="Heading1"/>
        <w:rPr/>
      </w:pPr>
      <w:r>
        <w:rPr/>
        <w:t>Supplementary Figures</w:t>
      </w:r>
    </w:p>
    <w:p>
      <w:pPr>
        <w:pStyle w:val="Normal"/>
        <w:rPr/>
      </w:pPr>
      <w:r>
        <w:rPr/>
      </w:r>
      <w:bookmarkStart w:id="4" w:name="supplementary-figures"/>
      <w:bookmarkStart w:id="5" w:name="supplementary-figures"/>
      <w:bookmarkEnd w:id="5"/>
      <w:r>
        <w:br w:type="page"/>
      </w:r>
    </w:p>
    <w:p>
      <w:pPr>
        <w:pStyle w:val="Heading1"/>
        <w:spacing w:before="475" w:after="202"/>
        <w:rPr/>
      </w:pPr>
      <w:r>
        <w:rPr/>
        <w:t>References</w:t>
      </w:r>
    </w:p>
    <w:sectPr>
      <w:footerReference w:type="default" r:id="rId2"/>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8</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6</Pages>
  <Words>647</Words>
  <Characters>2351</Characters>
  <CharactersWithSpaces>2915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2023-02-13T23:06:57Z</dcterms:created>
  <dc:creator>Psychiatry Study Team</dc:creator>
  <dc:description/>
  <dc:language>en-US</dc:language>
  <cp:lastModifiedBy/>
  <dcterms:modified xsi:type="dcterms:W3CDTF">2023-02-13T23:06:57Z</dcterms:modified>
  <cp:revision>0</cp:revision>
  <dc:subject/>
  <dc:title>Three distinct patterns of mental health response after a sport accident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ptsd_biblio.bib</vt:lpwstr>
  </property>
  <property fmtid="{D5CDD505-2E9C-101B-9397-08002B2CF9AE}" pid="3" name="csl">
    <vt:lpwstr>frontiers_medical.csl</vt:lpwstr>
  </property>
  <property fmtid="{D5CDD505-2E9C-101B-9397-08002B2CF9AE}" pid="4" name="date">
    <vt:lpwstr>2023-02-14</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