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response after mountain sport accidents</w:t>
      </w:r>
    </w:p>
    <w:p>
      <w:pPr>
        <w:pStyle w:val="Subtitle"/>
        <w:rPr/>
      </w:pPr>
      <w:r>
        <w:rPr/>
        <w:t>Supplementary Material</w:t>
      </w:r>
    </w:p>
    <w:p>
      <w:pPr>
        <w:pStyle w:val="Author"/>
        <w:rPr/>
      </w:pPr>
      <w:r>
        <w:rPr/>
        <w:t>Psychiatry Study Team</w:t>
      </w:r>
    </w:p>
    <w:p>
      <w:pPr>
        <w:pStyle w:val="Date"/>
        <w:rPr/>
      </w:pPr>
      <w:r>
        <w:rPr/>
        <w:t>2023-03-31</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4.2.0.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Test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w:t>
      </w:r>
      <w:r>
        <w:rPr>
          <w:i/>
          <w:iCs/>
        </w:rPr>
        <w:t>rstatix</w:t>
      </w:r>
      <w:r>
        <w:rPr/>
        <w:t xml:space="preserve"> (5).</w:t>
      </w:r>
    </w:p>
    <w:p>
      <w:pPr>
        <w:pStyle w:val="TextBody"/>
        <w:rPr/>
      </w:pPr>
      <w:r>
        <w:rPr/>
        <w:t xml:space="preserve">For clustering,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package (11,12). Univariable mental cluster assignment classifiers were developed with the </w:t>
      </w:r>
      <w:r>
        <w:rPr>
          <w:i/>
          <w:iCs/>
        </w:rPr>
        <w:t>OneR</w:t>
      </w:r>
      <w:r>
        <w:rPr/>
        <w:t xml:space="preserve"> (13,14). A multi-variable classifier for mental cluster assignment was developed with the conditional random forest algorithm (15,16) implemented in the </w:t>
      </w:r>
      <w:r>
        <w:rPr>
          <w:i/>
          <w:iCs/>
        </w:rPr>
        <w:t>party</w:t>
      </w:r>
      <w:r>
        <w:rPr/>
        <w:t xml:space="preserve"> package (17). Accuracy of the classifiers was assessed with the packages </w:t>
      </w:r>
      <w:r>
        <w:rPr>
          <w:i/>
          <w:iCs/>
        </w:rPr>
        <w:t>caret</w:t>
      </w:r>
      <w:r>
        <w:rPr/>
        <w:t xml:space="preserve"> (18) and </w:t>
      </w:r>
      <w:hyperlink r:id="rId9">
        <w:r>
          <w:rPr>
            <w:rStyle w:val="InternetLink"/>
            <w:i/>
            <w:iCs/>
          </w:rPr>
          <w:t>caretExtra</w:t>
        </w:r>
      </w:hyperlink>
      <w:r>
        <w:rPr/>
        <w:t>.</w:t>
      </w:r>
    </w:p>
    <w:p>
      <w:pPr>
        <w:pStyle w:val="TextBody"/>
        <w:rPr/>
      </w:pPr>
      <w:r>
        <w:rPr/>
        <w:t xml:space="preserve">Results were visualized with </w:t>
      </w:r>
      <w:r>
        <w:rPr>
          <w:i/>
          <w:iCs/>
        </w:rPr>
        <w:t>ggplot</w:t>
      </w:r>
      <w:r>
        <w:rPr/>
        <w:t xml:space="preserve"> (bar plots, box plots and heat maps of confusion matrices) (19), </w:t>
      </w:r>
      <w:hyperlink r:id="rId10">
        <w:r>
          <w:rPr>
            <w:rStyle w:val="InternetLink"/>
            <w:i/>
            <w:iCs/>
          </w:rPr>
          <w:t>ExDA</w:t>
        </w:r>
      </w:hyperlink>
      <w:r>
        <w:rPr/>
        <w:t xml:space="preserve"> (violin, stack and ribbon plots) and </w:t>
      </w:r>
      <w:hyperlink r:id="rId11">
        <w:r>
          <w:rPr>
            <w:rStyle w:val="InternetLink"/>
            <w:i/>
            <w:iCs/>
          </w:rPr>
          <w:t>clustTools</w:t>
        </w:r>
      </w:hyperlink>
      <w:r>
        <w:rPr/>
        <w:t xml:space="preserve"> (cluster quality control plots, clustering features heat maps, distance heat maps, scatter plots of UMAP layouts). Figures were created with the package </w:t>
      </w:r>
      <w:r>
        <w:rPr>
          <w:i/>
          <w:iCs/>
        </w:rPr>
        <w:t>cowplot</w:t>
      </w:r>
      <w:r>
        <w:rPr/>
        <w:t xml:space="preserve"> (20). Tables were generated with </w:t>
      </w:r>
      <w:r>
        <w:rPr>
          <w:i/>
          <w:iCs/>
        </w:rPr>
        <w:t>flextable</w:t>
      </w:r>
      <w:r>
        <w:rPr/>
        <w:t xml:space="preserve"> (21). The manuscript and Supplementary Material were written in </w:t>
      </w:r>
      <w:r>
        <w:rPr>
          <w:i/>
          <w:iCs/>
        </w:rPr>
        <w:t>rmarkdown</w:t>
      </w:r>
      <w:r>
        <w:rPr/>
        <w:t xml:space="preserve"> (22) with the package </w:t>
      </w:r>
      <w:r>
        <w:rPr>
          <w:i/>
          <w:iCs/>
        </w:rPr>
        <w:t>bookdown</w:t>
      </w:r>
      <w:r>
        <w:rPr/>
        <w:t xml:space="preserve"> (23). Figures, tables and R expressions in the markdown documents were managed with the development package </w:t>
      </w:r>
      <w:hyperlink r:id="rId12">
        <w:r>
          <w:rPr>
            <w:rStyle w:val="InternetLink"/>
            <w:i/>
            <w:iCs/>
          </w:rPr>
          <w:t>figur</w:t>
        </w:r>
      </w:hyperlink>
      <w:r>
        <w:rPr/>
        <w:t xml:space="preserve">. The markdown documents were rendered with </w:t>
      </w:r>
      <w:r>
        <w:rPr>
          <w:i/>
          <w:iCs/>
        </w:rPr>
        <w:t>knitr</w:t>
      </w:r>
      <w:r>
        <w:rPr/>
        <w:t xml:space="preserve"> (24), </w:t>
      </w:r>
      <w:r>
        <w:rPr>
          <w:i/>
          <w:iCs/>
        </w:rPr>
        <w:t>bookdown</w:t>
      </w:r>
      <w:r>
        <w:rPr/>
        <w:t xml:space="preserve"> (23) with </w:t>
      </w:r>
      <w:r>
        <w:rPr>
          <w:rStyle w:val="VerbatimChar"/>
        </w:rPr>
        <w:t>author-info-blocks.lua</w:t>
      </w:r>
      <w:r>
        <w:rPr/>
        <w:t xml:space="preserve"> and </w:t>
      </w:r>
      <w:r>
        <w:rPr>
          <w:rStyle w:val="VerbatimChar"/>
        </w:rPr>
        <w:t>scholarly-metadata.lua</w:t>
      </w:r>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(25), depression (PHQ: patient health questionnaire, PHQ-9) (26,27), panic (PHQ-panic module) (26,27), persistent somatic symptoms (PHQ-15) (28), resilient coping (RS13: 13-item resilience scale) (29), loss of sense of coherence (SOC-9L: Leipzig 9-item sense of coherence questionnaire) (30), loss of quality of life (EUROHIS-QOL 8: 8-item EUROHIS project quality of life scale) (31), post-traumatic growth (PTGI: post-traumatic growth inventory) (32) and post-traumatic stress disorder (PCL-5 DSM-5: PTSD checklist for DSM-5) (33).</w:t>
      </w:r>
    </w:p>
    <w:p>
      <w:pPr>
        <w:pStyle w:val="TextBody"/>
        <w:rPr/>
      </w:pPr>
      <w:r>
        <w:rPr/>
        <w:t xml:space="preserve">Symptoms of anxiety were defined as GAD-7 </w:t>
      </w:r>
      <w:r>
        <w:rPr/>
      </w:r>
      <m:oMath xmlns:m="http://schemas.openxmlformats.org/officeDocument/2006/math">
        <m:r>
          <w:rPr>
            <w:rFonts w:ascii="Cambria Math" w:hAnsi="Cambria Math"/>
          </w:rPr>
          <m:t xml:space="preserve">g</m:t>
        </m:r>
        <m:r>
          <w:rPr>
            <w:rFonts w:ascii="Cambria Math" w:hAnsi="Cambria Math"/>
          </w:rPr>
          <m:t xml:space="preserve">e</m:t>
        </m:r>
        <m:r>
          <w:rPr>
            <w:rFonts w:ascii="Cambria Math" w:hAnsi="Cambria Math"/>
          </w:rPr>
          <m:t xml:space="preserve">q</m:t>
        </m:r>
      </m:oMath>
      <w:r>
        <w:rPr/>
        <w:t xml:space="preserve"> 10, symptoms of depression were defined as PHQ-9 </w:t>
      </w:r>
      <w:r>
        <w:rPr/>
      </w:r>
      <m:oMath xmlns:m="http://schemas.openxmlformats.org/officeDocument/2006/math">
        <m:r>
          <w:rPr>
            <w:rFonts w:ascii="Cambria Math" w:hAnsi="Cambria Math"/>
          </w:rPr>
          <m:t xml:space="preserve">≥</m:t>
        </m:r>
      </m:oMath>
      <w:r>
        <w:rPr/>
        <w:t xml:space="preserve"> 11 (34), significant somatization/persistent somatic symptoms were defined as PHQ-15 </w:t>
      </w:r>
      <w:r>
        <w:rPr/>
      </w:r>
      <m:oMath xmlns:m="http://schemas.openxmlformats.org/officeDocument/2006/math">
        <m:r>
          <w:rPr>
            <w:rFonts w:ascii="Cambria Math" w:hAnsi="Cambria Math"/>
          </w:rPr>
          <m:t xml:space="preserve">≥</m:t>
        </m:r>
      </m:oMath>
      <w:r>
        <w:rPr/>
        <w:t xml:space="preserve"> 11 (28). Resilient coping classes were defined as follows: low: RS-13 0 - 65, moderate: 66 - 72, high: </w:t>
      </w:r>
      <w:r>
        <w:rPr/>
      </w:r>
      <m:oMath xmlns:m="http://schemas.openxmlformats.org/officeDocument/2006/math">
        <m:r>
          <w:rPr>
            <w:rFonts w:ascii="Cambria Math" w:hAnsi="Cambria Math"/>
          </w:rPr>
          <m:t xml:space="preserve">≥</m:t>
        </m:r>
      </m:oMath>
      <w:r>
        <w:rPr/>
        <w:t xml:space="preserve"> 73 (29).</w:t>
      </w:r>
    </w:p>
    <w:p>
      <w:pPr>
        <w:pStyle w:val="TextBody"/>
        <w:rPr/>
      </w:pPr>
      <w:r>
        <w:rPr/>
        <w:t>Items of the EUROHIS QOL 8 tool were scores as with 1 - 5 likert scales (1: extreme concerns, no satisfaction at all, 5: no concerns/full satisfaction, ) with each item representing a single domain of quality of life (quality of life, health, energy, finances, activity, self-esteem, relationship and housing). The total EUROHIS QOL score was defined as the arithmetic mean of all items (31).</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(32).</w:t>
      </w:r>
    </w:p>
    <w:p>
      <w:pPr>
        <w:pStyle w:val="TextBody"/>
        <w:rPr/>
      </w:pPr>
      <w:r>
        <w:rP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were identified by at least one item scored with ‘moderate’, participants positive for the D or E domain were identified by at least two item scored with ‘moderate’. Significant PTSD symptoms where assumed in participants screened positive for at least one of the B, C, D or E PCL-5 DSM-5 domains (33).</w:t>
      </w:r>
    </w:p>
    <w:p>
      <w:pPr>
        <w:pStyle w:val="TextBody"/>
        <w:rPr/>
      </w:pPr>
      <w:r>
        <w:rPr/>
        <w:t xml:space="preserve">Traumatic events prior to the sport accident were assessed with the DIA-X tool (Diagnostic Expert System) (35). Direct personal experience or being a witness of a traumatic event specified by the DIA-X questionnaire or by an additional yes/no item (‘other traumatic events’) was scored as 1. Prior traumatic event was assumed with at least one DIA-X item scored with 1. Prior sport accidents, flashbacks during sport activity, confusion during sport activity, subjective need for psychological support, presence of psychological/psychiatric support/therapy post accident and presence of somatic health consequences after the accident were surveyed as single yes/no items. Flashbacks frequency was assessed in the following categories: none, more than one per month and more than one per year. Smoking was surveyed as a single yes/no question. Alcohol abuse was investigated with the CAGE tool with </w:t>
      </w:r>
      <w:r>
        <w:rPr/>
      </w:r>
      <m:oMath xmlns:m="http://schemas.openxmlformats.org/officeDocument/2006/math">
        <m:r>
          <w:rPr>
            <w:rFonts w:ascii="Cambria Math" w:hAnsi="Cambria Math"/>
          </w:rPr>
          <m:t xml:space="preserve">≥</m:t>
        </m:r>
      </m:oMath>
      <w:r>
        <w:rPr/>
        <w:t xml:space="preserve"> 2 points indicative of substantial addiction (36). Data on hospital treatment and surgery were extracted from electronic patient’s records. Injury severity was assessed with the abbreviated injury scale (AIS) (37).</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(7,38).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3">
        <w:r>
          <w:rPr>
            <w:rStyle w:val="InternetLink"/>
            <w:i/>
            <w:iCs/>
          </w:rPr>
          <w:t>clustTools</w:t>
        </w:r>
      </w:hyperlink>
      <w:r>
        <w:rPr/>
        <w:t xml:space="preserve">). All psychometric tools used in the study except for the stress PSS-4 scale (39) and the BRCS resilience tool (40)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4">
        <w:r>
          <w:rPr>
            <w:rStyle w:val="InternetLink"/>
            <w:i/>
            <w:iCs/>
          </w:rPr>
          <w:t>clustTools</w:t>
        </w:r>
      </w:hyperlink>
      <w:r>
        <w:rPr/>
        <w:t>). For n = 200 observations, the median Hopkins statistic was 0.72 (interquartile range: 0.72 - 0.73) indicative of good clustering tendency. The Hopkins statistic value for this subset was comparable with the value for the entire subset (0.74). For these reasons, 2/3 of the entire dataset or n = 204 was considered as the size of the training subset of the study cohort.</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2:1 size ratio (</w:t>
      </w:r>
      <w:r>
        <w:rPr>
          <w:b/>
          <w:bCs/>
        </w:rPr>
        <w:t>Figure 1</w:t>
      </w:r>
      <w:r>
        <w:rPr/>
        <w:t xml:space="preserve">). To this end, 1000 random splits of the datasets were generated. The subset assignment scheme was chosen with possibly small differences in accident year, age, gender, pre-existing somatic and pre-existing mental illness rates, frequencies of prior traumatic events (DIA-X) (35) and distribution of injury severity grades (AIS: abbreviated injury scale) (37) as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and Mann-Whitney test, as appropriate (functions </w:t>
      </w:r>
      <w:r>
        <w:rPr>
          <w:rStyle w:val="VerbatimChar"/>
        </w:rPr>
        <w:t>chisq_test()</w:t>
      </w:r>
      <w:r>
        <w:rPr/>
        <w:t xml:space="preserve"> and </w:t>
      </w:r>
      <w:r>
        <w:rPr>
          <w:rStyle w:val="VerbatimChar"/>
        </w:rPr>
        <w:t>wilcox_test()</w:t>
      </w:r>
      <w:r>
        <w:rPr/>
        <w:t xml:space="preserve">, package </w:t>
      </w:r>
      <w:r>
        <w:rPr>
          <w:i/>
          <w:iCs/>
        </w:rPr>
        <w:t>rstatix</w:t>
      </w:r>
      <w:r>
        <w:rPr/>
        <w:t>).</w:t>
      </w:r>
      <w:bookmarkStart w:id="3" w:name="trainingtest-subset-definition"/>
      <w:bookmarkEnd w:id="3"/>
    </w:p>
    <w:p>
      <w:pPr>
        <w:pStyle w:val="Heading2"/>
        <w:rPr/>
      </w:pPr>
      <w:r>
        <w:rPr/>
        <w:t>Assessment of selection bias</w:t>
      </w:r>
    </w:p>
    <w:p>
      <w:pPr>
        <w:pStyle w:val="FirstParagraph"/>
        <w:rPr/>
      </w:pPr>
      <w:r>
        <w:rPr/>
        <w:t>To assess possible selection bias, demographic, socioeconomic, clinical and accident-related parameters were compared between individuals excluded due to missingness of psychometric data or denying survey participation and participants included in 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5">
        <w:r>
          <w:rPr>
            <w:rStyle w:val="InternetLink"/>
            <w:i/>
            <w:iCs/>
          </w:rPr>
          <w:t>ExDA</w:t>
        </w:r>
      </w:hyperlink>
      <w:r>
        <w:rPr/>
        <w:t>). Potential differences between the training and test subset of the study cohort (</w:t>
      </w:r>
      <w:r>
        <w:rPr>
          <w:b/>
          <w:bCs/>
        </w:rPr>
        <w:t>Figure 1</w:t>
      </w:r>
      <w:r>
        <w:rPr/>
        <w:t xml:space="preserve">) were analyzed in an analogical way. Significant (p &lt; 0.05) differences between the included/excluded participants are presented in </w:t>
      </w:r>
      <w:r>
        <w:rPr>
          <w:b/>
          <w:bCs/>
        </w:rPr>
        <w:t>Supplementary Tables S4</w:t>
      </w:r>
      <w:r>
        <w:rPr/>
        <w:t>.</w:t>
      </w:r>
      <w:bookmarkStart w:id="4" w:name="assessment-of-selection-bias"/>
      <w:bookmarkEnd w:id="4"/>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16">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17">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rPr/>
        <w:t xml:space="preserve">, </w:t>
      </w:r>
      <w:hyperlink r:id="rId18">
        <w:r>
          <w:rPr>
            <w:rStyle w:val="InternetLink"/>
            <w:i/>
            <w:iCs/>
          </w:rPr>
          <w:t>clustTools</w:t>
        </w:r>
      </w:hyperlink>
      <w:r>
        <w:rPr/>
        <w:t xml:space="preserve">) and superior stability in 10-fold cross-validation (41) (cluster assignment in the folds by an inverse distance weighted 7-nearest neighbors classifier, method </w:t>
      </w:r>
      <w:r>
        <w:rPr>
          <w:rStyle w:val="VerbatimChar"/>
        </w:rPr>
        <w:t>cv()</w:t>
      </w:r>
      <w:r>
        <w:rPr/>
        <w:t xml:space="preserve">, </w:t>
      </w:r>
      <w:hyperlink r:id="rId19">
        <w:r>
          <w:rPr>
            <w:rStyle w:val="InternetLink"/>
            <w:i/>
            <w:iCs/>
          </w:rPr>
          <w:t>clustTools</w:t>
        </w:r>
      </w:hyperlink>
      <w:r>
        <w:rPr/>
        <w:t xml:space="preserve">) in a comparison with several other clustering algorithms presented in </w:t>
      </w:r>
      <w:r>
        <w:rPr>
          <w:b/>
          <w:bCs/>
        </w:rPr>
        <w:t>Supplementary Figure S2A</w:t>
      </w:r>
      <w:r>
        <w:rPr/>
        <w:t xml:space="preserve">. The number of cluster was chosen based on the bend of the curve of within-cluster sum of squares and the peak of mean silhouette statistic (method </w:t>
      </w:r>
      <w:r>
        <w:rPr>
          <w:rStyle w:val="VerbatimChar"/>
        </w:rPr>
        <w:t>plot()</w:t>
      </w:r>
      <w:r>
        <w:rPr/>
        <w:t xml:space="preserve">, package </w:t>
      </w:r>
      <w:hyperlink r:id="rId20">
        <w:r>
          <w:rPr>
            <w:rStyle w:val="InternetLink"/>
            <w:i/>
            <w:iCs/>
          </w:rPr>
          <w:t>ExDA</w:t>
        </w:r>
      </w:hyperlink>
      <w:r>
        <w:rPr/>
        <w:t>). By this means, three mental clusters were defined: the neutral, PTG (post-traumatic growth) and PTB (post-traumatic burden) clusters (</w:t>
      </w:r>
      <w:r>
        <w:rPr>
          <w:b/>
          <w:bCs/>
        </w:rPr>
        <w:t>Supplementary Figure S2B</w:t>
      </w:r>
      <w:r>
        <w:rPr/>
        <w:t>). Assignment of the training subset observations to the mental clusters was accomplished with an inverse distance weighted 7-nearest neighbor classifier. This semi-supervised procedure yielded clustering structures with similar fractions of explained variance in the training (V = 0.54) and test subset (V = 0.54). In addition, comparable separation between the clusters could be discerned in the training and test subsets by a visual analysis of UMAP layouts, pairwise distance heat maps (</w:t>
      </w:r>
      <w:r>
        <w:rPr>
          <w:b/>
          <w:bCs/>
        </w:rPr>
        <w:t>Supplementary Figure S3</w:t>
      </w:r>
      <w:r>
        <w:rPr/>
        <w:t>) and heat maps of normalized levels of the clustering variables (</w:t>
      </w:r>
      <w:r>
        <w:rPr>
          <w:b/>
          <w:bCs/>
        </w:rPr>
        <w:t>Supplementary Figure S4</w:t>
      </w:r>
      <w:r>
        <w:rPr/>
        <w:t>).</w:t>
      </w:r>
    </w:p>
    <w:p>
      <w:pPr>
        <w:pStyle w:val="TextBody"/>
        <w:rPr/>
      </w:pPr>
      <w:r>
        <w:rPr/>
        <w:t xml:space="preserve">Differences in clustering variables, frequencies of mental disorder symptoms as well as demographic, socioeconomic, clinical and accident-related factors between the mental clusters were assessed separately in the training and test subset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w:t>
      </w:r>
      <w:r>
        <w:rPr>
          <w:b/>
          <w:bCs/>
        </w:rPr>
        <w:t>Supplementary Tables S5</w:t>
      </w:r>
      <w:r>
        <w:rPr/>
        <w:t xml:space="preserve"> and </w:t>
      </w:r>
      <w:r>
        <w:rPr>
          <w:b/>
          <w:bCs/>
        </w:rPr>
        <w:t>S6</w:t>
      </w:r>
      <w:r>
        <w:rPr/>
        <w:t>).</w:t>
      </w:r>
      <w:bookmarkStart w:id="5" w:name="semi-supervised-clustering"/>
      <w:bookmarkEnd w:id="5"/>
    </w:p>
    <w:p>
      <w:pPr>
        <w:pStyle w:val="Heading2"/>
        <w:rPr/>
      </w:pPr>
      <w:r>
        <w:rPr/>
        <w:t>Uni- and multi-variable cluster assignment classifiers</w:t>
      </w:r>
    </w:p>
    <w:p>
      <w:pPr>
        <w:pStyle w:val="FirstParagraph"/>
        <w:rPr/>
      </w:pPr>
      <w:r>
        <w:rPr/>
        <w:t>Univariable classifiers of the mental cluster assignment for demographic, socioeconomic, clinical and accident-related parameters (</w:t>
      </w:r>
      <w:r>
        <w:rPr>
          <w:b/>
          <w:bCs/>
        </w:rPr>
        <w:t>Supplementary Table S7</w:t>
      </w:r>
      <w:r>
        <w:rPr/>
        <w:t xml:space="preserve">) were trained in the training subset of the study cohort by the one-rule (oneR) algorithm (function </w:t>
      </w:r>
      <w:r>
        <w:rPr>
          <w:rStyle w:val="VerbatimChar"/>
        </w:rPr>
        <w:t>OneR()</w:t>
      </w:r>
      <w:r>
        <w:rPr/>
        <w:t xml:space="preserve">, package _OneR__) (13,14). The cluster assignment was subsequently predicted for the test subset observations (method </w:t>
      </w:r>
      <w:r>
        <w:rPr>
          <w:rStyle w:val="VerbatimChar"/>
        </w:rPr>
        <w:t>predict()</w:t>
      </w:r>
      <w:r>
        <w:rPr/>
        <w:t xml:space="preserve">, package </w:t>
      </w:r>
      <w:r>
        <w:rPr>
          <w:i/>
          <w:iCs/>
        </w:rPr>
        <w:t>OneR</w:t>
      </w:r>
      <w:r>
        <w:rPr/>
        <w:t>).</w:t>
      </w:r>
    </w:p>
    <w:p>
      <w:pPr>
        <w:pStyle w:val="TextBody"/>
        <w:rPr/>
      </w:pPr>
      <w:r>
        <w:rPr/>
        <w:t>Two multi-parameter classifiers of the mental cluster assignment were developed in the training subset:</w:t>
      </w:r>
    </w:p>
    <w:p>
      <w:pPr>
        <w:pStyle w:val="Normal"/>
        <w:numPr>
          <w:ilvl w:val="0"/>
          <w:numId w:val="3"/>
        </w:numPr>
        <w:rPr/>
      </w:pPr>
      <w:r>
        <w:rPr/>
        <w:t>a model employing candidate early predictors of cluster assignment, i.e. demographic, socioeconomic, medical history and accident related explanatory factors</w:t>
      </w:r>
    </w:p>
    <w:p>
      <w:pPr>
        <w:pStyle w:val="Normal"/>
        <w:numPr>
          <w:ilvl w:val="0"/>
          <w:numId w:val="1"/>
        </w:numPr>
        <w:rPr/>
      </w:pPr>
      <w:r>
        <w:rPr/>
        <w:t>a model including additionally late consequences of the accident such as somatic health aftermath, flashbacks or cautious behavior during sport</w:t>
      </w:r>
    </w:p>
    <w:p>
      <w:pPr>
        <w:pStyle w:val="FirstParagraph"/>
        <w:rPr/>
      </w:pPr>
      <w:r>
        <w:rPr/>
        <w:t>The multi-parameter classifiers (</w:t>
      </w:r>
      <w:r>
        <w:rPr>
          <w:b/>
          <w:bCs/>
        </w:rPr>
        <w:t>Supplementary Table S7</w:t>
      </w:r>
      <w:r>
        <w:rPr/>
        <w:t xml:space="preserve">) were trained in the training subset with the conditional random forest algorithm (15–17) with n = 1000 random trees and the splitting rule corresponding to the maximum test statistic. In the model 1, the </w:t>
      </w:r>
      <w:r>
        <w:rPr>
          <w:rStyle w:val="VerbatimChar"/>
        </w:rPr>
        <w:t>mtry</w:t>
      </w:r>
      <w:r>
        <w:rPr/>
        <w:t xml:space="preserve"> parameter was set to 7, </w:t>
      </w:r>
      <w:r>
        <w:rPr>
          <w:rStyle w:val="VerbatimChar"/>
        </w:rPr>
        <w:t>minsplit</w:t>
      </w:r>
      <w:r>
        <w:rPr/>
        <w:t xml:space="preserve"> to 10 and </w:t>
      </w:r>
      <w:r>
        <w:rPr>
          <w:rStyle w:val="VerbatimChar"/>
        </w:rPr>
        <w:t>mincriterion</w:t>
      </w:r>
      <w:r>
        <w:rPr/>
        <w:t xml:space="preserve"> to 1.28 (function </w:t>
      </w:r>
      <w:r>
        <w:rPr>
          <w:rStyle w:val="VerbatimChar"/>
        </w:rPr>
        <w:t>cforest()</w:t>
      </w:r>
      <w:r>
        <w:rPr/>
        <w:t xml:space="preserve"> with the </w:t>
      </w:r>
      <w:r>
        <w:rPr>
          <w:rStyle w:val="VerbatimChar"/>
        </w:rPr>
        <w:t>cforest_control(teststat = 'max', testtype = 'Teststatistic', mtry = 7, mincriterion = qnorm(0.9), minsplit = 10, ntree = 1000)</w:t>
      </w:r>
      <w:r>
        <w:rPr/>
        <w:t xml:space="preserve"> control object, package </w:t>
      </w:r>
      <w:r>
        <w:rPr>
          <w:i/>
          <w:iCs/>
        </w:rPr>
        <w:t>party</w:t>
      </w:r>
      <w:r>
        <w:rPr/>
        <w:t xml:space="preserve">). In the model 2, the </w:t>
      </w:r>
      <w:r>
        <w:rPr>
          <w:rStyle w:val="VerbatimChar"/>
        </w:rPr>
        <w:t>mtry</w:t>
      </w:r>
      <w:r>
        <w:rPr/>
        <w:t xml:space="preserve"> parameter was set to 6, </w:t>
      </w:r>
      <w:r>
        <w:rPr>
          <w:rStyle w:val="VerbatimChar"/>
        </w:rPr>
        <w:t>minsplit</w:t>
      </w:r>
      <w:r>
        <w:rPr/>
        <w:t xml:space="preserve"> to 20 and </w:t>
      </w:r>
      <w:r>
        <w:rPr>
          <w:rStyle w:val="VerbatimChar"/>
        </w:rPr>
        <w:t>mincriterion</w:t>
      </w:r>
      <w:r>
        <w:rPr/>
        <w:t xml:space="preserve"> to 0 (function </w:t>
      </w:r>
      <w:r>
        <w:rPr>
          <w:rStyle w:val="VerbatimChar"/>
        </w:rPr>
        <w:t>cforest()</w:t>
      </w:r>
      <w:r>
        <w:rPr/>
        <w:t xml:space="preserve"> with the </w:t>
      </w:r>
      <w:r>
        <w:rPr>
          <w:rStyle w:val="VerbatimChar"/>
        </w:rPr>
        <w:t>cforest_control(teststat = 'max', testtype = 'Teststatistic', mtry = 6, mincriterion = 0, minsplit = 20, ntree = 1000)</w:t>
      </w:r>
      <w:r>
        <w:rPr/>
        <w:t xml:space="preserve"> control object, package </w:t>
      </w:r>
      <w:r>
        <w:rPr>
          <w:i/>
          <w:iCs/>
        </w:rPr>
        <w:t>party</w:t>
      </w:r>
      <w:r>
        <w:rPr/>
        <w:t xml:space="preserve">). The optimal parameter sets were obtained by optimization (tuning) employing the out-of-bag predictions in the training subsets (not shown). The cluster assignment was subsequently predicted for the test subset observations (method </w:t>
      </w:r>
      <w:r>
        <w:rPr>
          <w:rStyle w:val="VerbatimChar"/>
        </w:rPr>
        <w:t>predict()</w:t>
      </w:r>
      <w:r>
        <w:rPr/>
        <w:t xml:space="preserve">, package </w:t>
      </w:r>
      <w:r>
        <w:rPr>
          <w:i/>
          <w:iCs/>
        </w:rPr>
        <w:t>party</w:t>
      </w:r>
      <w:r>
        <w:rPr/>
        <w:t>).</w:t>
      </w:r>
    </w:p>
    <w:p>
      <w:pPr>
        <w:pStyle w:val="TextBody"/>
        <w:rPr/>
      </w:pPr>
      <w:r>
        <w:rPr/>
        <w:t xml:space="preserve">Accuracy and </w:t>
      </w:r>
      <w:r>
        <w:rPr/>
      </w:r>
      <m:oMath xmlns:m="http://schemas.openxmlformats.org/officeDocument/2006/math">
        <m:r>
          <w:rPr>
            <w:rFonts w:ascii="Cambria Math" w:hAnsi="Cambria Math"/>
          </w:rPr>
          <m:t xml:space="preserve">κ</m:t>
        </m:r>
      </m:oMath>
      <w:r>
        <w:rPr/>
        <w:t xml:space="preserve"> statistic for the classifiers’ mental cluster assignment predictions in the training and test subsets were computed with the function </w:t>
      </w:r>
      <w:r>
        <w:rPr>
          <w:rStyle w:val="VerbatimChar"/>
        </w:rPr>
        <w:t>multiClassSummary()</w:t>
      </w:r>
      <w:r>
        <w:rPr/>
        <w:t xml:space="preserve"> from the package </w:t>
      </w:r>
      <w:r>
        <w:rPr>
          <w:i/>
          <w:iCs/>
        </w:rPr>
        <w:t>caret</w:t>
      </w:r>
      <w:r>
        <w:rPr/>
        <w:t xml:space="preserve"> (18). Conditional importance for explanatory variables expressed as accuracy loss (42) was obtained for the conditional random forest algorithm with the function ’varimp()` from the </w:t>
      </w:r>
      <w:r>
        <w:rPr>
          <w:i/>
          <w:iCs/>
        </w:rPr>
        <w:t>party</w:t>
      </w:r>
      <w:r>
        <w:rPr/>
        <w:t xml:space="preserve"> package.</w:t>
      </w:r>
      <w:bookmarkStart w:id="6" w:name="Xe6b8fec36ec97f794de5d7510dde900599004d7"/>
      <w:bookmarkEnd w:id="6"/>
    </w:p>
    <w:p>
      <w:pPr>
        <w:pStyle w:val="Heading2"/>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21">
        <w:r>
          <w:rPr>
            <w:rStyle w:val="InternetLink"/>
          </w:rPr>
          <w:t>https://github.com/PiotrTymoszuk/mental_accident</w:t>
        </w:r>
      </w:hyperlink>
      <w:r>
        <w:rPr/>
        <w:t>.</w:t>
      </w:r>
    </w:p>
    <w:p>
      <w:pPr>
        <w:pStyle w:val="Normal"/>
        <w:rPr/>
      </w:pPr>
      <w:r>
        <w:rPr/>
      </w:r>
      <w:bookmarkStart w:id="7" w:name="supplementary-methods"/>
      <w:bookmarkStart w:id="8" w:name="data-and-code-availability"/>
      <w:bookmarkStart w:id="9" w:name="supplementary-methods"/>
      <w:bookmarkStart w:id="10" w:name="data-and-code-availability"/>
      <w:bookmarkEnd w:id="9"/>
      <w:bookmarkEnd w:id="10"/>
      <w:r>
        <w:br w:type="page"/>
      </w:r>
    </w:p>
    <w:p>
      <w:pPr>
        <w:pStyle w:val="Heading1"/>
        <w:rPr/>
      </w:pPr>
      <w:r>
        <w:rPr/>
        <w:t>Supplementary Tables</w:t>
      </w:r>
    </w:p>
    <w:p>
      <w:pPr>
        <w:pStyle w:val="TableCaption"/>
        <w:rPr/>
      </w:pPr>
      <w:r>
        <w:rPr/>
        <w:t xml:space="preserve">Supplementary </w:t>
      </w:r>
      <w:r>
        <w:rPr/>
        <w:t xml:space="preserve">Table </w:t>
      </w:r>
      <w:r>
        <w:rPr/>
        <w:t>S</w:t>
      </w:r>
      <w:r>
        <w:rPr/>
        <w:t>1: Variables used in the analysis pipeline. The table is available in a supplementary Excel file.</w:t>
      </w:r>
    </w:p>
    <w:p>
      <w:pPr>
        <w:pStyle w:val="Normal"/>
        <w:rPr/>
      </w:pPr>
      <w:r>
        <w:rPr/>
      </w:r>
      <w:r>
        <w:br w:type="page"/>
      </w:r>
    </w:p>
    <w:p>
      <w:pPr>
        <w:pStyle w:val="TableCaption"/>
        <w:rPr/>
      </w:pPr>
      <w:r>
        <w:rPr/>
        <w:t xml:space="preserve">Supplementary </w:t>
      </w:r>
      <w:r>
        <w:rPr/>
        <w:t xml:space="preserve">Table </w:t>
      </w:r>
      <w:r>
        <w:rPr/>
        <w:t>S</w:t>
      </w:r>
      <w:r>
        <w:rPr/>
        <w:t>2: Mental health assessment battery.</w:t>
      </w:r>
    </w:p>
    <w:tbl>
      <w:tblPr>
        <w:tblW w:w="9638" w:type="dxa"/>
        <w:jc w:val="center"/>
        <w:tblInd w:w="0" w:type="dxa"/>
        <w:tblLayout w:type="fixed"/>
        <w:tblCellMar>
          <w:top w:w="0" w:type="dxa"/>
          <w:left w:w="0" w:type="dxa"/>
          <w:bottom w:w="0" w:type="dxa"/>
          <w:right w:w="0" w:type="dxa"/>
        </w:tblCellMar>
        <w:tblLook w:firstRow="1" w:noVBand="1" w:lastRow="0" w:firstColumn="0" w:lastColumn="0" w:noHBand="0"/>
      </w:tblPr>
      <w:tblGrid>
        <w:gridCol w:w="3684"/>
        <w:gridCol w:w="5953"/>
      </w:tblGrid>
      <w:tr>
        <w:trPr>
          <w:tblHeader w:val="true"/>
          <w:trHeight w:val="360" w:hRule="atLeast"/>
        </w:trPr>
        <w:tc>
          <w:tcPr>
            <w:tcW w:w="36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595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Description</w:t>
            </w:r>
            <w:r>
              <w:rPr>
                <w:rFonts w:eastAsia="Arial" w:cs="Arial"/>
                <w:b/>
                <w:i w:val="false"/>
                <w:color w:val="000000"/>
                <w:sz w:val="18"/>
                <w:szCs w:val="18"/>
                <w:u w:val="none"/>
                <w:vertAlign w:val="superscript"/>
              </w:rPr>
              <w:t>a</w:t>
            </w:r>
          </w:p>
        </w:tc>
      </w:tr>
      <w:tr>
        <w:trPr>
          <w:trHeight w:val="360" w:hRule="atLeast"/>
        </w:trPr>
        <w:tc>
          <w:tcPr>
            <w:tcW w:w="36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score</w:t>
            </w:r>
          </w:p>
        </w:tc>
        <w:tc>
          <w:tcPr>
            <w:tcW w:w="595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total score, PCL-5 DSM-5, sum of all items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domain)</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At least one PCL-5 DSM-5 domain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B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B</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B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C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C</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C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D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D</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D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E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E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total score, sum of all items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 relations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 possibilities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 new possibilities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III, personal strength</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IV spiritual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IV, spiritual</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V, appreciation of life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Resilient coping, RS13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coping class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Resilient coping, RS13 coping class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Loss of sense of coherence, SOC-9L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 signs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 signs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4 item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Panic symptoms (PHQ-panic)</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positivity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somatization</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Somatization symptoms (PHQ-15 ≥11)</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moderate-severe symptoms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QoL</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health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health</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energy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energy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finances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financial aspects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activity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activity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self-esteem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self-esteem</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relationship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relationship</w:t>
            </w:r>
          </w:p>
        </w:tc>
      </w:tr>
      <w:tr>
        <w:trPr>
          <w:trHeight w:val="360" w:hRule="atLeast"/>
        </w:trPr>
        <w:tc>
          <w:tcPr>
            <w:tcW w:w="36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housing score</w:t>
            </w:r>
          </w:p>
        </w:tc>
        <w:tc>
          <w:tcPr>
            <w:tcW w:w="595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housing</w:t>
            </w:r>
          </w:p>
        </w:tc>
      </w:tr>
      <w:tr>
        <w:trPr>
          <w:trHeight w:val="360" w:hRule="atLeast"/>
        </w:trPr>
        <w:tc>
          <w:tcPr>
            <w:tcW w:w="9637"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3: Consistency of the psychometric tools used in the study measured by McDonald's omega.</w:t>
      </w:r>
    </w:p>
    <w:tbl>
      <w:tblPr>
        <w:tblW w:w="5386"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701"/>
        <w:gridCol w:w="1701"/>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Scale</w:t>
            </w:r>
            <w:r>
              <w:rPr>
                <w:rFonts w:eastAsia="Arial" w:cs="Arial"/>
                <w:b/>
                <w:i w:val="false"/>
                <w:color w:val="000000"/>
                <w:sz w:val="18"/>
                <w:szCs w:val="18"/>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Number of latent factors</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Total omega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2</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r>
      <w:tr>
        <w:trPr>
          <w:trHeight w:val="360" w:hRule="atLeast"/>
        </w:trPr>
        <w:tc>
          <w:tcPr>
            <w:tcW w:w="5386"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4: Significant (p &lt; 0.05) differences between individuals excluded from analysis and analyzed study participants. Numeric variables are presented as medians with interquartile ranges (IQR). Categorical variables are presented as percentages and counts within the complete observation set.</w:t>
      </w:r>
    </w:p>
    <w:tbl>
      <w:tblPr>
        <w:tblW w:w="1088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117"/>
        <w:gridCol w:w="3118"/>
        <w:gridCol w:w="1531"/>
        <w:gridCol w:w="1305"/>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1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Excluded</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31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21% (n = 63)</w:t>
              <w:br/>
              <w:t>&lt; 30000 EUR: 18% (n = 56)</w:t>
              <w:br/>
              <w:t>30000 - 45000 EUR: 19% (n = 59)</w:t>
              <w:br/>
              <w:t>≥ 45000 EUR: 42% (n = 129)</w:t>
              <w:br/>
              <w:t>n = 307</w:t>
            </w:r>
          </w:p>
        </w:tc>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44% (n = 35)</w:t>
              <w:br/>
              <w:t>&lt; 30000 EUR: 14% (n = 11)</w:t>
              <w:br/>
              <w:t>30000 - 45000 EUR: 16% (n = 13)</w:t>
              <w:br/>
              <w:t>≥ 45000 EUR: 26% (n = 21)</w:t>
              <w:br/>
              <w:t>n = 80</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 ≥ 45K EUR/year</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129)</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21)</w:t>
              <w:br/>
              <w:t>n = 80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sport type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 64% (n = 197)</w:t>
              <w:br/>
              <w:t>sledding: 3.9% (n = 12)</w:t>
              <w:br/>
              <w:t>climbing/hiking/mountaineering: 14% (n = 42)</w:t>
              <w:br/>
              <w:t>biking: 16% (n = 48)</w:t>
              <w:br/>
              <w:t>other: 2.6% (n = 8)</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 52% (n = 2224)</w:t>
              <w:br/>
              <w:t>sledding: 5% (n = 212)</w:t>
              <w:br/>
              <w:t>climbing/hiking/mountaineering: 11% (n = 467)</w:t>
              <w:br/>
              <w:t>biking: 27% (n = 1144)</w:t>
              <w:br/>
              <w:t>other: 4.8% (n = 205)</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0.077</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class, AIS</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37% (n = 108)</w:t>
              <w:br/>
              <w:t>2: 35% (n = 103)</w:t>
              <w:br/>
              <w:t>3+: 28% (n = 83)</w:t>
              <w:br/>
              <w:t>0: 0% (n = 0)</w:t>
              <w:br/>
              <w:t>n = 294</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46% (n = 156)</w:t>
              <w:br/>
              <w:t>2: 36% (n = 121)</w:t>
              <w:br/>
              <w:t>3+: 17% (n = 56)</w:t>
              <w:br/>
              <w:t>0: 1.2% (n = 4)</w:t>
              <w:br/>
              <w:t>n = 337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0.16</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 range: 1 - 5</w:t>
              <w:br/>
              <w:t>n = 294</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 range: 0 - 4</w:t>
              <w:br/>
              <w:t>n = 337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9.5% (n = 404)</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179)</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 diagnoses</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[IQR: 0 - 0], range: 0 - 9</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[IQR: 0 - 0], range: 0 - 9</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accident aftermath</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37% (n = 115)</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12)</w:t>
              <w:br/>
              <w:t>n = 55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[IQR: 16 - 48], range: 0 - 100</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8.5 [IQR: 3 - 41], range: 0 - 78</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12 [IQR: 6 - 18], range: 0 - 35</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2.5 [IQR: 0 - 13], range: 0 - 28</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0.0071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 [IQR: 4 - 11], range: 0 - 20</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0 - 8.8], range: 0 - 16</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 [IQR: 2 - 9], range: 0 - 15</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[IQR: 0.25 - 6.8], range: 0 - 12</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31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[IQR: 16 - 25], range: 10 - 49</w:t>
              <w:br/>
              <w:t>n = 307</w:t>
            </w:r>
          </w:p>
        </w:tc>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[IQR: 20 - 35], range: 17 - 50</w:t>
              <w:br/>
              <w:t>n = 11</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0.0062</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088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PTGI: post-traumatic growth inventory; SOC-9L: Leipzig 9-item sense of coherence scale; K: 1000 Euro; EUR: Euro.</w:t>
            </w:r>
          </w:p>
        </w:tc>
      </w:tr>
      <w:tr>
        <w:trPr>
          <w:trHeight w:val="360" w:hRule="atLeast"/>
        </w:trPr>
        <w:tc>
          <w:tcPr>
            <w:tcW w:w="1088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w:t>
            </w:r>
          </w:p>
        </w:tc>
      </w:tr>
    </w:tbl>
    <w:p>
      <w:pPr>
        <w:pStyle w:val="Normal"/>
        <w:rPr/>
      </w:pPr>
      <w:r>
        <w:rPr/>
      </w:r>
      <w:r>
        <w:br w:type="page"/>
      </w:r>
    </w:p>
    <w:p>
      <w:pPr>
        <w:pStyle w:val="TableCaption"/>
        <w:rPr/>
      </w:pPr>
      <w:r>
        <w:rPr/>
        <w:t xml:space="preserve">Supplementary </w:t>
      </w:r>
      <w:r>
        <w:rPr/>
        <w:t xml:space="preserve">Table </w:t>
      </w:r>
      <w:r>
        <w:rPr/>
        <w:t>S</w:t>
      </w:r>
      <w:r>
        <w:rPr/>
        <w:t>5: Differences in psychometric clustering factors between the mental clusters. Numeric variables are presented as medians with interquartile ranges (IQR). The table is available in a supplementary Excel file.</w:t>
      </w:r>
    </w:p>
    <w:p>
      <w:pPr>
        <w:pStyle w:val="Normal"/>
        <w:rPr/>
      </w:pPr>
      <w:r>
        <w:rPr/>
      </w:r>
      <w:r>
        <w:br w:type="page"/>
      </w:r>
    </w:p>
    <w:p>
      <w:pPr>
        <w:pStyle w:val="TableCaption"/>
        <w:rPr/>
      </w:pPr>
      <w:r>
        <w:rPr/>
        <w:t xml:space="preserve">Supplementary </w:t>
      </w:r>
      <w:r>
        <w:rPr/>
        <w:t xml:space="preserve">Table </w:t>
      </w:r>
      <w:r>
        <w:rPr/>
        <w:t>S</w:t>
      </w:r>
      <w:r>
        <w:rPr/>
        <w:t>6: Significant (p &lt; 0.05) differences in demographic, socioeconomic, clinical and accident-related factors between the mental clusters. Numeric variables are presented as medians with interquartile ranges (IQR). Categorical variables are presented as percentages and counts within the complete observation set.</w:t>
      </w:r>
    </w:p>
    <w:tbl>
      <w:tblPr>
        <w:tblW w:w="11622" w:type="dxa"/>
        <w:jc w:val="center"/>
        <w:tblInd w:w="0" w:type="dxa"/>
        <w:tblLayout w:type="fixed"/>
        <w:tblCellMar>
          <w:top w:w="0" w:type="dxa"/>
          <w:left w:w="0" w:type="dxa"/>
          <w:bottom w:w="0" w:type="dxa"/>
          <w:right w:w="0" w:type="dxa"/>
        </w:tblCellMar>
        <w:tblLook w:firstRow="1" w:noVBand="1" w:lastRow="0" w:firstColumn="0" w:lastColumn="0" w:noHBand="0"/>
      </w:tblPr>
      <w:tblGrid>
        <w:gridCol w:w="963"/>
        <w:gridCol w:w="2099"/>
        <w:gridCol w:w="1984"/>
        <w:gridCol w:w="1984"/>
        <w:gridCol w:w="1984"/>
        <w:gridCol w:w="1360"/>
        <w:gridCol w:w="1247"/>
      </w:tblGrid>
      <w:tr>
        <w:trPr>
          <w:tblHeader w:val="true"/>
          <w:trHeight w:val="360" w:hRule="atLeast"/>
        </w:trPr>
        <w:tc>
          <w:tcPr>
            <w:tcW w:w="96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Cohort subset</w:t>
            </w:r>
          </w:p>
        </w:tc>
        <w:tc>
          <w:tcPr>
            <w:tcW w:w="209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PTB cluster</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963"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209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63</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77</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64</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sex</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female: 30% (n = 19)</w:t>
              <w:br/>
              <w:t>male: 70% (n = 44)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female: 55% (n = 42)</w:t>
              <w:br/>
              <w:t>male: 45% (n = 35)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female: 48% (n = 31)</w:t>
              <w:br/>
              <w:t>male: 52% (n = 33)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0.21</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trauma-risk profession</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12% (n = 9)</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16% (n = 10)</w:t>
              <w:br/>
              <w:t>&lt; 30000 EUR: 13% (n = 8)</w:t>
              <w:br/>
              <w:t>30000 - 45000 EUR: 16% (n = 10)</w:t>
              <w:br/>
              <w:t>≥ 45000 EUR: 56% (n = 35)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30% (n = 23)</w:t>
              <w:br/>
              <w:t>&lt; 30000 EUR: 22% (n = 17)</w:t>
              <w:br/>
              <w:t>30000 - 45000 EUR: 12% (n = 9)</w:t>
              <w:br/>
              <w:t>≥ 45000 EUR: 36% (n = 28)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17% (n = 11)</w:t>
              <w:br/>
              <w:t>&lt; 30000 EUR: 19% (n = 12)</w:t>
              <w:br/>
              <w:t>30000 - 45000 EUR: 25% (n = 16)</w:t>
              <w:br/>
              <w:t>≥ 45000 EUR: 39% (n = 25)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somatic illness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6.3% (n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15)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20% (n = 13)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0.17</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mental illness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1.3%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0.29</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alcohol abuse (CAGE ≥2)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rescue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self: 65% (n = 41)</w:t>
              <w:br/>
              <w:t>partner/third party: 22% (n = 14)</w:t>
              <w:br/>
              <w:t>rescue team: 13% (n = 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self: 47% (n = 36)</w:t>
              <w:br/>
              <w:t>partner/third party: 21% (n = 16)</w:t>
              <w:br/>
              <w:t>rescue team: 32% (n = 25)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self: 41% (n = 26)</w:t>
              <w:br/>
              <w:t>partner/third party: 20% (n = 13)</w:t>
              <w:br/>
              <w:t>rescue team: 39% (n = 25)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 (n = 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 need</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9.1% (n = 7)</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accident aftermath</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17)</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21)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0.25</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caution post accident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56% (n = 35)</w:t>
              <w:br/>
              <w:t>more cautious: 44% (n = 28)</w:t>
              <w:br/>
              <w:t>less cautious: 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31% (n = 24)</w:t>
              <w:br/>
              <w:t>more cautious: 68% (n = 52)</w:t>
              <w:br/>
              <w:t>less cautious: 1.3%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17% (n = 11)</w:t>
              <w:br/>
              <w:t>more cautious: 83% (n = 53)</w:t>
              <w:br/>
              <w:t>less cautious: 0% (n = 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sport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25% (n = 16)</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30% (n = 23)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59% (n = 38)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75% (n = 47)</w:t>
              <w:br/>
              <w:t>&gt; 1/month: 7.9% (n = 5)</w:t>
              <w:br/>
              <w:t>&gt; 1/year: 17% (n = 11)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70% (n = 54)</w:t>
              <w:br/>
              <w:t>&gt; 1/month: 13% (n = 10)</w:t>
              <w:br/>
              <w:t>&gt; 1/year: 17% (n = 13)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41% (n = 26)</w:t>
              <w:br/>
              <w:t>&gt; 1/month: 34% (n = 22)</w:t>
              <w:br/>
              <w:t>&gt; 1/year: 25% (n = 16)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963"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36</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963"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mental illness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2 - 3]</w:t>
              <w:br/>
              <w:t>range: 1 - 4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1 - 3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0.042</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 need</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 (n = 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0.35</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accident aftermath</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(n = 15)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59% (n = 20)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0.0071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0.31</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sport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(n = 15)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65% (n = 22)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0.35</w:t>
            </w:r>
          </w:p>
        </w:tc>
      </w:tr>
      <w:tr>
        <w:trPr>
          <w:trHeight w:val="360" w:hRule="atLeast"/>
        </w:trPr>
        <w:tc>
          <w:tcPr>
            <w:tcW w:w="963"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78% (n = 28)</w:t>
              <w:br/>
              <w:t>&gt; 1/month: 5.6% (n = 2)</w:t>
              <w:br/>
              <w:t>&gt; 1/year: 17% (n = 6)</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55% (n = 18)</w:t>
              <w:br/>
              <w:t>&gt; 1/month: 18% (n = 6)</w:t>
              <w:br/>
              <w:t>&gt; 1/year: 27% (n = 9)</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35% (n = 12)</w:t>
              <w:br/>
              <w:t>&gt; 1/month: 26% (n = 9)</w:t>
              <w:br/>
              <w:t>&gt; 1/year: 38% (n = 13)</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0.0097</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0.25</w:t>
            </w:r>
          </w:p>
        </w:tc>
      </w:tr>
      <w:tr>
        <w:trPr>
          <w:trHeight w:val="360" w:hRule="atLeast"/>
        </w:trPr>
        <w:tc>
          <w:tcPr>
            <w:tcW w:w="1162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CAGE: Cut, Annoyed, Guilty, and Eye scale; AIS: abbreviated injury score.</w:t>
            </w:r>
          </w:p>
        </w:tc>
      </w:tr>
      <w:tr>
        <w:trPr>
          <w:trHeight w:val="360" w:hRule="atLeast"/>
        </w:trPr>
        <w:tc>
          <w:tcPr>
            <w:tcW w:w="1162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Kruskal-Wallis test with η² effect size statistic. Categorical variables: χ² test with Cramer V effect size statistic.</w:t>
            </w:r>
          </w:p>
        </w:tc>
      </w:tr>
    </w:tbl>
    <w:p>
      <w:pPr>
        <w:pStyle w:val="Normal"/>
        <w:rPr/>
      </w:pPr>
      <w:r>
        <w:rPr/>
      </w:r>
      <w:r>
        <w:br w:type="page"/>
      </w:r>
    </w:p>
    <w:p>
      <w:pPr>
        <w:pStyle w:val="TableCaption"/>
        <w:rPr/>
      </w:pPr>
      <w:r>
        <w:rPr/>
        <w:t xml:space="preserve">Supplementary </w:t>
      </w:r>
      <w:r>
        <w:rPr/>
        <w:t xml:space="preserve">Table </w:t>
      </w:r>
      <w:r>
        <w:rPr/>
        <w:t>S</w:t>
      </w:r>
      <w:r>
        <w:rPr/>
        <w:t>7: Sets of explanatory factors (early: available during acute medical management of the accident) used for modeling of the mental cluster assignment.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6803"/>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p>
        </w:tc>
        <w:tc>
          <w:tcPr>
            <w:tcW w:w="68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Explanatory variables</w:t>
            </w:r>
          </w:p>
        </w:tc>
      </w:tr>
      <w:tr>
        <w:trPr>
          <w:trHeight w:val="360" w:hRule="atLeast"/>
        </w:trPr>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 predictor model</w:t>
            </w:r>
          </w:p>
        </w:tc>
        <w:tc>
          <w:tcPr>
            <w:tcW w:w="68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income ≥ 45K EUR/year, residence in the Alps, smoking, pre-existing somatic illness, pre-existing mental illness, prior traumatic event/DIA-X, alcohol abuse (CAGE ≥2),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w:t>
            </w:r>
          </w:p>
        </w:tc>
      </w:tr>
      <w:tr>
        <w:trPr>
          <w:trHeight w:val="360" w:hRule="atLeast"/>
        </w:trPr>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 set predictor model</w:t>
            </w:r>
          </w:p>
        </w:tc>
        <w:tc>
          <w:tcPr>
            <w:tcW w:w="68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income ≥ 45K EUR/year, residence in the Alps, smoking, pre-existing somatic illness, pre-existing mental illness, prior traumatic event/DIA-X, alcohol abuse (CAGE ≥2),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 psychological support, psychological support need, somatic accident aftermath, returned to same sport, caution post accident, flashbacks during sport, flashback frequency, confusion during sport</w:t>
            </w:r>
          </w:p>
        </w:tc>
      </w:tr>
    </w:tbl>
    <w:p>
      <w:pPr>
        <w:pStyle w:val="Normal"/>
        <w:rPr/>
      </w:pPr>
      <w:r>
        <w:rPr/>
      </w:r>
      <w:bookmarkStart w:id="11" w:name="supplementary-tables"/>
      <w:bookmarkStart w:id="12" w:name="supplementary-tables"/>
      <w:bookmarkEnd w:id="12"/>
      <w:r>
        <w:br w:type="page"/>
      </w:r>
    </w:p>
    <w:p>
      <w:pPr>
        <w:pStyle w:val="Heading1"/>
        <w:rPr/>
      </w:pPr>
      <w:r>
        <w:rPr/>
        <w:t>Supplementary Figures</w:t>
      </w:r>
    </w:p>
    <w:p>
      <w:pPr>
        <w:pStyle w:val="CaptionedFigure"/>
        <w:rPr/>
      </w:pPr>
      <w:r>
        <w:rPr/>
        <w:drawing>
          <wp:inline distT="0" distB="0" distL="114935" distR="114935">
            <wp:extent cx="5943600" cy="7265035"/>
            <wp:effectExtent l="0" t="0" r="0" b="0"/>
            <wp:docPr id="1" name="Picture" descr="Figure 1: Injured body regions and detailed scoring of quality of life, post-traumatic stress disorder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detailed scoring of quality of life, post-traumatic stress disorder and post-traumatic growth in the study cohort."/>
                    <pic:cNvPicPr>
                      <a:picLocks noChangeAspect="1" noChangeArrowheads="1"/>
                    </pic:cNvPicPr>
                  </pic:nvPicPr>
                  <pic:blipFill>
                    <a:blip r:embed="rId22"/>
                    <a:stretch>
                      <a:fillRect/>
                    </a:stretch>
                  </pic:blipFill>
                  <pic:spPr bwMode="auto">
                    <a:xfrm>
                      <a:off x="0" y="0"/>
                      <a:ext cx="5943600" cy="7265035"/>
                    </a:xfrm>
                    <a:prstGeom prst="rect">
                      <a:avLst/>
                    </a:prstGeom>
                  </pic:spPr>
                </pic:pic>
              </a:graphicData>
            </a:graphic>
          </wp:inline>
        </w:drawing>
      </w:r>
    </w:p>
    <w:p>
      <w:pPr>
        <w:pStyle w:val="ImageCaption"/>
        <w:rPr/>
      </w:pPr>
      <w:r>
        <w:rPr/>
      </w:r>
    </w:p>
    <w:p>
      <w:pPr>
        <w:pStyle w:val="TextBody"/>
        <w:rPr/>
      </w:pPr>
      <w:r>
        <w:rPr>
          <w:b/>
          <w:bCs/>
        </w:rPr>
        <w:t>Supplementary Figure S1. Injured body regions and detailed scoring of quality of life, post-traumatic stress disorder and post-traumatic growth in the study cohort.</w:t>
      </w:r>
    </w:p>
    <w:p>
      <w:pPr>
        <w:pStyle w:val="TextBody"/>
        <w:rPr/>
      </w:pPr>
      <w:r>
        <w:rPr>
          <w:i/>
          <w:iCs/>
        </w:rPr>
        <w:t>For categorical variables, percentages of complete observations are presented as bars. Numeric variables are presented in violin plots with red diamonds denoting medians, interquartile ranges presented as red whiskers and single observations depicted as points. Quality of life scores are expressed as categorical variables and presented as percentages of participants in stack plots. The number of complete cases is displayed in the plot captions.</w:t>
      </w:r>
      <w:r>
        <w:rPr/>
        <w:t xml:space="preserve"> </w:t>
      </w:r>
      <w:r>
        <w:rPr>
          <w:i/>
          <w:iCs/>
        </w:rPr>
        <w:t>(A) Distribution of injured body regions. (B) Scoring of the domains of the EUROHIS project 8-item quality of life scale (EUROHIS-QOL 8). (C) Scoring of the post-traumatic stress disorder (PTSD) domains with the PCL-5 DSM-5 tool and percentages of participants screened positive for the PTSD domains. (E) Scoring of the factors of the post-traumatic growth with the post-traumatic growth inventory (PTGI) tool.</w:t>
      </w:r>
    </w:p>
    <w:p>
      <w:pPr>
        <w:pStyle w:val="Normal"/>
        <w:rPr/>
      </w:pPr>
      <w:r>
        <w:rPr/>
      </w:r>
      <w:r>
        <w:br w:type="page"/>
      </w:r>
    </w:p>
    <w:p>
      <w:pPr>
        <w:pStyle w:val="CaptionedFigure"/>
        <w:rPr/>
      </w:pPr>
      <w:r>
        <w:rPr/>
        <w:drawing>
          <wp:inline distT="0" distB="0" distL="114935" distR="114935">
            <wp:extent cx="5943600" cy="4953635"/>
            <wp:effectExtent l="0" t="0" r="0" b="0"/>
            <wp:docPr id="2" name="Image1" descr="Figure 2: Definition of the mental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Definition of the mental clusters in the training subset of the study cohort."/>
                    <pic:cNvPicPr>
                      <a:picLocks noChangeAspect="1" noChangeArrowheads="1"/>
                    </pic:cNvPicPr>
                  </pic:nvPicPr>
                  <pic:blipFill>
                    <a:blip r:embed="rId23"/>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S2. Definition of the mental clusters in the training subset of the study cohort.</w:t>
      </w:r>
    </w:p>
    <w:p>
      <w:pPr>
        <w:pStyle w:val="TextBody"/>
        <w:rPr/>
      </w:pPr>
      <w:r>
        <w:rPr>
          <w:i/>
          <w:iCs/>
        </w:rPr>
        <w:t>The mental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and stability of various clustering algorithms in the training subset. The explanatory performance was measured as a fraction of explained clustering variance (ratio of between-cluster sum of squares to total sum of squares). The stability was assessed by a rate of correct cluster assignment in 10-fold cross-validation (CV) with cluster assignment in the folds by an inverse distance weighted 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r>
        <w:br w:type="page"/>
      </w:r>
    </w:p>
    <w:p>
      <w:pPr>
        <w:pStyle w:val="CaptionedFigure"/>
        <w:rPr/>
      </w:pPr>
      <w:r>
        <w:rPr/>
        <w:drawing>
          <wp:inline distT="0" distB="0" distL="114935" distR="114935">
            <wp:extent cx="5943600" cy="6604635"/>
            <wp:effectExtent l="0" t="0" r="0" b="0"/>
            <wp:docPr id="3" name="Image2" descr="Figure 3: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emi-supervised clustering."/>
                    <pic:cNvPicPr>
                      <a:picLocks noChangeAspect="1" noChangeArrowheads="1"/>
                    </pic:cNvPicPr>
                  </pic:nvPicPr>
                  <pic:blipFill>
                    <a:blip r:embed="rId24"/>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S3. Semi-supervised clustering.</w:t>
      </w:r>
    </w:p>
    <w:p>
      <w:pPr>
        <w:pStyle w:val="TextBody"/>
        <w:rPr/>
      </w:pPr>
      <w:r>
        <w:rPr>
          <w:i/>
          <w:iCs/>
        </w:rPr>
        <w:t>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By this procedure, three mental clusters were identified: neutral, PTG (post-traumatic growth) and PTB (post-traumatic burden). Numbers of observations in the mental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clusters of the training and test subsets presented in heat maps.</w:t>
      </w:r>
    </w:p>
    <w:p>
      <w:pPr>
        <w:pStyle w:val="Normal"/>
        <w:rPr/>
      </w:pPr>
      <w:r>
        <w:rPr/>
      </w:r>
      <w:r>
        <w:br w:type="page"/>
      </w:r>
    </w:p>
    <w:p>
      <w:pPr>
        <w:pStyle w:val="CaptionedFigure"/>
        <w:rPr/>
      </w:pPr>
      <w:r>
        <w:rPr/>
        <w:drawing>
          <wp:inline distT="0" distB="0" distL="114935" distR="114935">
            <wp:extent cx="5943600" cy="4624070"/>
            <wp:effectExtent l="0" t="0" r="0" b="0"/>
            <wp:docPr id="4" name="Image3" descr="Figure 4: Levels of psychometric clustering score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Levels of psychometric clustering scores in the mental clusters."/>
                    <pic:cNvPicPr>
                      <a:picLocks noChangeAspect="1" noChangeArrowheads="1"/>
                    </pic:cNvPicPr>
                  </pic:nvPicPr>
                  <pic:blipFill>
                    <a:blip r:embed="rId25"/>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S4. Levels of psychometric clustering scores in the mental clusters.</w:t>
      </w:r>
    </w:p>
    <w:p>
      <w:pPr>
        <w:pStyle w:val="TextBody"/>
        <w:rPr/>
      </w:pPr>
      <w:r>
        <w:rPr>
          <w:i/>
          <w:iCs/>
        </w:rPr>
        <w:t>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4624070"/>
            <wp:effectExtent l="0" t="0" r="0" b="0"/>
            <wp:docPr id="5" name="Image4" descr="Figure 5: Age, education, household income, prior accidents and traumatic even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ge, education, household income, prior accidents and traumatic events in the mental clusters."/>
                    <pic:cNvPicPr>
                      <a:picLocks noChangeAspect="1" noChangeArrowheads="1"/>
                    </pic:cNvPicPr>
                  </pic:nvPicPr>
                  <pic:blipFill>
                    <a:blip r:embed="rId26"/>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S5. Age, education, household income, prior accidents and traumatic events in the mental clusters.</w:t>
      </w:r>
    </w:p>
    <w:p>
      <w:pPr>
        <w:pStyle w:val="TextBody"/>
        <w:rPr/>
      </w:pPr>
      <w:r>
        <w:rPr>
          <w:i/>
          <w:iCs/>
        </w:rPr>
        <w:t xml:space="preserve">Distribution of age classes (A, young: &lt; 30, middle: 30 - 65, elderly &gt; 65 years), education grades (B), frequencies of prior sport accidents (D) and prior traumatic events (E, measured by the DIA-X tool)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6" name="Image5" descr="Figure 6: Accident sport type and accident rescue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Accident sport type and accident rescue in the mental clusters."/>
                    <pic:cNvPicPr>
                      <a:picLocks noChangeAspect="1" noChangeArrowheads="1"/>
                    </pic:cNvPicPr>
                  </pic:nvPicPr>
                  <pic:blipFill>
                    <a:blip r:embed="rId27"/>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S6. Accident sport type and accident rescue in the mental clusters.</w:t>
      </w:r>
    </w:p>
    <w:p>
      <w:pPr>
        <w:pStyle w:val="TextBody"/>
        <w:rPr/>
      </w:pPr>
      <w:r>
        <w:rPr>
          <w:i/>
          <w:iCs/>
        </w:rPr>
        <w:t xml:space="preserve">Distribution of sport types (A) and rescue modes (B, C)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3962400"/>
            <wp:effectExtent l="0" t="0" r="0" b="0"/>
            <wp:docPr id="7" name="Image6" descr="Figure 7: Prediction of the mental cluster assignment by single demographic, socioeconomic, clinical and accident-related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rediction of the mental cluster assignment by single demographic, socioeconomic, clinical and accident-related factors available during acute medical management of the accident."/>
                    <pic:cNvPicPr>
                      <a:picLocks noChangeAspect="1" noChangeArrowheads="1"/>
                    </pic:cNvPicPr>
                  </pic:nvPicPr>
                  <pic:blipFill>
                    <a:blip r:embed="rId28"/>
                    <a:stretch>
                      <a:fillRect/>
                    </a:stretch>
                  </pic:blipFill>
                  <pic:spPr bwMode="auto">
                    <a:xfrm>
                      <a:off x="0" y="0"/>
                      <a:ext cx="5943600" cy="3962400"/>
                    </a:xfrm>
                    <a:prstGeom prst="rect">
                      <a:avLst/>
                    </a:prstGeom>
                  </pic:spPr>
                </pic:pic>
              </a:graphicData>
            </a:graphic>
          </wp:inline>
        </w:drawing>
      </w:r>
    </w:p>
    <w:p>
      <w:pPr>
        <w:pStyle w:val="TextBody"/>
        <w:rPr/>
      </w:pPr>
      <w:r>
        <w:rPr>
          <w:b/>
          <w:bCs/>
        </w:rPr>
        <w:t>Supplementary Figure S7. Prediction of the mental cluster assignment by single demographic, socioeconomic, clinical and accident-related factors available during acute medical management of the accident.</w:t>
      </w:r>
    </w:p>
    <w:p>
      <w:pPr>
        <w:pStyle w:val="TextBody"/>
        <w:rPr/>
      </w:pPr>
      <w:r>
        <w:rPr>
          <w:i/>
          <w:iCs/>
        </w:rPr>
        <w:t xml:space="preserve">Univariable classifiers of the mental cluster assignment for demographic, socioeconomic, clinical and accident-related parameters available during acute medical management of the mountain sport accident were trained in the training subset of the study cohort by the one-rule (oneR) algorithm. The cluster assignment was subsequently predicted for the test subset observations. Accuracy and </w:t>
      </w:r>
      <w:r>
        <w:rPr/>
      </w:r>
      <m:oMath xmlns:m="http://schemas.openxmlformats.org/officeDocument/2006/math">
        <m:r>
          <w:rPr>
            <w:rFonts w:ascii="Cambria Math" w:hAnsi="Cambria Math"/>
          </w:rPr>
          <m:t xml:space="preserve">κ</m:t>
        </m:r>
      </m:oMath>
      <w:r>
        <w:rPr>
          <w:i/>
          <w:iCs/>
        </w:rPr>
        <w:t xml:space="preserve"> of the classifiers with any predictive value (</w:t>
      </w:r>
      <w:r>
        <w:rPr/>
      </w:r>
      <m:oMath xmlns:m="http://schemas.openxmlformats.org/officeDocument/2006/math">
        <m:r>
          <w:rPr>
            <w:rFonts w:ascii="Cambria Math" w:hAnsi="Cambria Math"/>
          </w:rPr>
          <m:t xml:space="preserve">κ</m:t>
        </m:r>
      </m:oMath>
      <w:r>
        <w:rPr>
          <w:i/>
          <w:iCs/>
        </w:rPr>
        <w:t xml:space="preserve"> &gt; 0 in both subsets) are shown in bar plots.</w:t>
      </w:r>
    </w:p>
    <w:p>
      <w:pPr>
        <w:pStyle w:val="Normal"/>
        <w:rPr/>
      </w:pPr>
      <w:r>
        <w:rPr/>
      </w:r>
      <w:r>
        <w:br w:type="page"/>
      </w:r>
    </w:p>
    <w:p>
      <w:pPr>
        <w:pStyle w:val="CaptionedFigure"/>
        <w:rPr/>
      </w:pPr>
      <w:r>
        <w:rPr/>
        <w:drawing>
          <wp:inline distT="0" distB="0" distL="114935" distR="114935">
            <wp:extent cx="5943600" cy="4953635"/>
            <wp:effectExtent l="0" t="0" r="0" b="0"/>
            <wp:docPr id="8" name="Image7" descr="Figure 8: Assignment of accident victims to the mental clusters based on demographic, socioeconomic, clinical, accident- and accident consequence-related factors by the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Assignment of accident victims to the mental clusters based on demographic, socioeconomic, clinical, accident- and accident consequence-related factors by the random forest algorithm."/>
                    <pic:cNvPicPr>
                      <a:picLocks noChangeAspect="1" noChangeArrowheads="1"/>
                    </pic:cNvPicPr>
                  </pic:nvPicPr>
                  <pic:blipFill>
                    <a:blip r:embed="rId29"/>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S8. Assignment of accident victims to the mental clusters based on demographic, socioeconomic, clinical, accident- and accident consequence-related factors by the random forest algorithm.</w:t>
      </w:r>
    </w:p>
    <w:p>
      <w:pPr>
        <w:pStyle w:val="TextBody"/>
        <w:rPr/>
      </w:pPr>
      <w:r>
        <w:rPr>
          <w:i/>
          <w:iCs/>
        </w:rPr>
        <w:t>A conditional random forest classifier for the mental cluster assignment based on demographic, socioeconomic, clinical and accident- and accident consequence-related factors was trained in the training subset of the study cohort.</w:t>
      </w:r>
    </w:p>
    <w:p>
      <w:pPr>
        <w:pStyle w:val="TextBody"/>
        <w:rPr/>
      </w:pPr>
      <w:r>
        <w:rPr>
          <w:i/>
          <w:iCs/>
        </w:rPr>
        <w:t xml:space="preserve">(A) Prediction accuracy of the classifier in the training and test subset of the study cohort presented in a heat map plot of the confusion matrices. Color codes for number of cases. The overall prediction accuracy, </w:t>
      </w:r>
      <w:r>
        <w:rPr/>
      </w:r>
      <m:oMath xmlns:m="http://schemas.openxmlformats.org/officeDocument/2006/math">
        <m:r>
          <w:rPr>
            <w:rFonts w:ascii="Cambria Math" w:hAnsi="Cambria Math"/>
          </w:rPr>
          <m:t xml:space="preserve">κ</m:t>
        </m:r>
      </m:oMath>
      <w:r>
        <w:rPr>
          <w:i/>
          <w:iCs/>
        </w:rPr>
        <w:t xml:space="preserve"> and observation numbers are displayed in the plot caption. Prediction accuracy for particular clusters is shown in the X axis.</w:t>
      </w:r>
    </w:p>
    <w:p>
      <w:pPr>
        <w:pStyle w:val="TextBody"/>
        <w:rPr/>
      </w:pPr>
      <w:r>
        <w:rPr>
          <w:i/>
          <w:iCs/>
        </w:rPr>
        <w:t>(B) Conditional importance of the explanatory variables for prediction of the mental cluster assignment expressed as accuracy loss (</w:t>
      </w:r>
      <w:r>
        <w:rPr/>
      </w:r>
      <m:oMath xmlns:m="http://schemas.openxmlformats.org/officeDocument/2006/math">
        <m:r>
          <w:rPr>
            <w:rFonts w:ascii="Cambria Math" w:hAnsi="Cambria Math"/>
          </w:rPr>
          <m:t xml:space="preserve">Δ</m:t>
        </m:r>
      </m:oMath>
      <w:r>
        <w:rPr>
          <w:i/>
          <w:iCs/>
        </w:rPr>
        <w:t xml:space="preserve"> accuracy).</w:t>
      </w:r>
      <w:bookmarkStart w:id="13" w:name="supplementary-figures"/>
      <w:bookmarkEnd w:id="13"/>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30">
        <w:r>
          <w:rPr>
            <w:rStyle w:val="InternetLink"/>
          </w:rPr>
          <w:t>https://cran.r-project.org/web/packages/foreign/index.html</w:t>
        </w:r>
      </w:hyperlink>
      <w:bookmarkStart w:id="14" w:name="ref-RCoreTeam"/>
      <w:bookmarkEnd w:id="14"/>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31">
        <w:r>
          <w:rPr>
            <w:rStyle w:val="InternetLink"/>
          </w:rPr>
          <w:t>10.21105/joss.01686</w:t>
        </w:r>
      </w:hyperlink>
      <w:bookmarkStart w:id="15" w:name="ref-Wickham2019"/>
      <w:bookmarkEnd w:id="15"/>
    </w:p>
    <w:p>
      <w:pPr>
        <w:pStyle w:val="Bibliography"/>
        <w:rPr/>
      </w:pPr>
      <w:r>
        <w:rPr/>
        <w:t xml:space="preserve">3. </w:t>
        <w:tab/>
        <w:t xml:space="preserve">Henry L, Wickham Hadley. rlang: Functions for Base Types and Core R and ’Tidyverse’ Features. (2022) </w:t>
      </w:r>
      <w:hyperlink r:id="rId32">
        <w:r>
          <w:rPr>
            <w:rStyle w:val="InternetLink"/>
          </w:rPr>
          <w:t>https://cran.r-project.org/web/packages/rlang/index.html</w:t>
        </w:r>
      </w:hyperlink>
      <w:bookmarkStart w:id="16" w:name="ref-Henry2022"/>
      <w:bookmarkEnd w:id="16"/>
    </w:p>
    <w:p>
      <w:pPr>
        <w:pStyle w:val="Bibliography"/>
        <w:rPr/>
      </w:pPr>
      <w:r>
        <w:rPr/>
        <w:t xml:space="preserve">4. </w:t>
        <w:tab/>
        <w:t xml:space="preserve">Gagolewski M, Tartanus B. Package ’stringi’. (2021) </w:t>
      </w:r>
      <w:hyperlink r:id="rId33">
        <w:r>
          <w:rPr>
            <w:rStyle w:val="InternetLink"/>
          </w:rPr>
          <w:t>https://cran.r-project.org/web/packages/stringi/index.html http://cran.ism.ac.jp/web/packages/stringi/stringi.pdf</w:t>
        </w:r>
      </w:hyperlink>
      <w:bookmarkStart w:id="17" w:name="ref-Gagolewski2021"/>
      <w:bookmarkEnd w:id="17"/>
    </w:p>
    <w:p>
      <w:pPr>
        <w:pStyle w:val="Bibliography"/>
        <w:rPr/>
      </w:pPr>
      <w:r>
        <w:rPr/>
        <w:t xml:space="preserve">5. </w:t>
        <w:tab/>
        <w:t xml:space="preserve">Kassambara A. rstatix: Pipe-Friendly Framework for Basic Statistical Tests. (2021) </w:t>
      </w:r>
      <w:hyperlink r:id="rId34">
        <w:r>
          <w:rPr>
            <w:rStyle w:val="InternetLink"/>
          </w:rPr>
          <w:t>https://cran.r-project.org/package=rstatix</w:t>
        </w:r>
      </w:hyperlink>
      <w:bookmarkStart w:id="18" w:name="ref-Kassambara2021"/>
      <w:bookmarkEnd w:id="18"/>
    </w:p>
    <w:p>
      <w:pPr>
        <w:pStyle w:val="Bibliography"/>
        <w:rPr/>
      </w:pPr>
      <w:r>
        <w:rPr/>
        <w:t xml:space="preserve">6. </w:t>
        <w:tab/>
        <w:t xml:space="preserve">Signorell A. DescTools: Tools for Descriptive Statistics. (2022) </w:t>
      </w:r>
      <w:hyperlink r:id="rId35">
        <w:r>
          <w:rPr>
            <w:rStyle w:val="InternetLink"/>
          </w:rPr>
          <w:t>https://cran.r-project.org/package=DescTools</w:t>
        </w:r>
      </w:hyperlink>
      <w:bookmarkStart w:id="19" w:name="ref-Signorell2022"/>
      <w:bookmarkEnd w:id="19"/>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36">
        <w:r>
          <w:rPr>
            <w:rStyle w:val="InternetLink"/>
          </w:rPr>
          <w:t>https://cran.r-project.org/web/packages/psych/index.html http://personality-project.org/r/psych-manual.pdf</w:t>
        </w:r>
      </w:hyperlink>
      <w:bookmarkStart w:id="20" w:name="ref-Revelle2022"/>
      <w:bookmarkEnd w:id="20"/>
    </w:p>
    <w:p>
      <w:pPr>
        <w:pStyle w:val="Bibliography"/>
        <w:rPr/>
      </w:pPr>
      <w:r>
        <w:rPr/>
        <w:t xml:space="preserve">8. </w:t>
        <w:tab/>
        <w:t xml:space="preserve">Kassambara A, Mundt F. factoextra: Extract and Visualize the Results of Multivariate Data Analyses. (2020) </w:t>
      </w:r>
      <w:hyperlink r:id="rId37">
        <w:r>
          <w:rPr>
            <w:rStyle w:val="InternetLink"/>
          </w:rPr>
          <w:t>https://cran.r-project.org/web/packages/factoextra/index.html</w:t>
        </w:r>
      </w:hyperlink>
      <w:bookmarkStart w:id="21" w:name="ref-Kassambara2020"/>
      <w:bookmarkEnd w:id="21"/>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38">
        <w:r>
          <w:rPr>
            <w:rStyle w:val="InternetLink"/>
          </w:rPr>
          <w:t>10.1007/978-3-030-32047-8_16</w:t>
        </w:r>
      </w:hyperlink>
      <w:bookmarkStart w:id="22" w:name="ref-Schubert2019"/>
      <w:bookmarkEnd w:id="22"/>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39">
        <w:r>
          <w:rPr>
            <w:rStyle w:val="InternetLink"/>
          </w:rPr>
          <w:t>10.21105/joss.00765</w:t>
        </w:r>
      </w:hyperlink>
      <w:bookmarkStart w:id="23" w:name="ref-Drost2018"/>
      <w:bookmarkEnd w:id="23"/>
    </w:p>
    <w:p>
      <w:pPr>
        <w:pStyle w:val="Bibliography"/>
        <w:rPr/>
      </w:pPr>
      <w:r>
        <w:rPr/>
        <w:t xml:space="preserve">11. </w:t>
        <w:tab/>
        <w:t xml:space="preserve">Konopka T. umap: Uniform Manifold Approximation and Projection. (2022) </w:t>
      </w:r>
      <w:hyperlink r:id="rId40">
        <w:r>
          <w:rPr>
            <w:rStyle w:val="InternetLink"/>
          </w:rPr>
          <w:t>https://cran.r-project.org/web/packages/umap/index.html</w:t>
        </w:r>
      </w:hyperlink>
      <w:bookmarkStart w:id="24" w:name="ref-Konopka2022"/>
      <w:bookmarkEnd w:id="24"/>
    </w:p>
    <w:p>
      <w:pPr>
        <w:pStyle w:val="Bibliography"/>
        <w:rPr/>
      </w:pPr>
      <w:r>
        <w:rPr/>
        <w:t xml:space="preserve">12. </w:t>
        <w:tab/>
        <w:t xml:space="preserve">McInnes L, Healy J, Melville J. UMAP: Uniform Manifold Approximation and Projection for Dimension Reduction. (2018) </w:t>
      </w:r>
      <w:hyperlink r:id="rId41">
        <w:r>
          <w:rPr>
            <w:rStyle w:val="InternetLink"/>
          </w:rPr>
          <w:t>https://arxiv.org/abs/1802.03426v3 http://arxiv.org/abs/1802.03426</w:t>
        </w:r>
      </w:hyperlink>
      <w:bookmarkStart w:id="25" w:name="ref-McInnes2018"/>
      <w:bookmarkEnd w:id="25"/>
    </w:p>
    <w:p>
      <w:pPr>
        <w:pStyle w:val="Bibliography"/>
        <w:rPr/>
      </w:pPr>
      <w:r>
        <w:rPr/>
        <w:t xml:space="preserve">13. </w:t>
        <w:tab/>
        <w:t xml:space="preserve">Jouanne-Diedrich H von. OneR: One Rule Machine Learning Classification Algorithm with Enhancements. (2017) </w:t>
      </w:r>
      <w:hyperlink r:id="rId42">
        <w:r>
          <w:rPr>
            <w:rStyle w:val="InternetLink"/>
          </w:rPr>
          <w:t>https://cran.r-project.org/web/packages/OneR/index.html</w:t>
        </w:r>
      </w:hyperlink>
      <w:bookmarkStart w:id="26" w:name="ref-VonJouanne-Diedrich2017"/>
      <w:bookmarkEnd w:id="26"/>
    </w:p>
    <w:p>
      <w:pPr>
        <w:pStyle w:val="Bibliography"/>
        <w:rPr/>
      </w:pPr>
      <w:r>
        <w:rPr/>
        <w:t xml:space="preserve">14. </w:t>
        <w:tab/>
        <w:t xml:space="preserve">Holte RC. Very Simple Classification Rules Perform Well on Most Commonly Used Datasets. </w:t>
      </w:r>
      <w:r>
        <w:rPr>
          <w:i/>
          <w:iCs/>
        </w:rPr>
        <w:t>Machine Learning</w:t>
      </w:r>
      <w:r>
        <w:rPr/>
        <w:t xml:space="preserve"> (1993) 11:63–90. doi: </w:t>
      </w:r>
      <w:hyperlink r:id="rId43">
        <w:r>
          <w:rPr>
            <w:rStyle w:val="InternetLink"/>
          </w:rPr>
          <w:t>10.1023/A:1022631118932/METRICS</w:t>
        </w:r>
      </w:hyperlink>
      <w:bookmarkStart w:id="27" w:name="ref-Holte1993"/>
      <w:bookmarkEnd w:id="27"/>
    </w:p>
    <w:p>
      <w:pPr>
        <w:pStyle w:val="Bibliography"/>
        <w:rPr/>
      </w:pPr>
      <w:r>
        <w:rPr/>
        <w:t xml:space="preserve">15. </w:t>
        <w:tab/>
        <w:t xml:space="preserve">Hothorn T, Hornik K, Zeileis A. Unbiased recursive partitioning: A conditional inference framework. </w:t>
      </w:r>
      <w:r>
        <w:rPr>
          <w:i/>
          <w:iCs/>
        </w:rPr>
        <w:t>Journal of Computational and Graphical Statistics</w:t>
      </w:r>
      <w:r>
        <w:rPr/>
        <w:t xml:space="preserve"> (2006) 15:651–674. doi: </w:t>
      </w:r>
      <w:hyperlink r:id="rId44">
        <w:r>
          <w:rPr>
            <w:rStyle w:val="InternetLink"/>
          </w:rPr>
          <w:t>10.1198/106186006X133933</w:t>
        </w:r>
      </w:hyperlink>
      <w:bookmarkStart w:id="28" w:name="ref-Hothorn2006"/>
      <w:bookmarkEnd w:id="28"/>
    </w:p>
    <w:p>
      <w:pPr>
        <w:pStyle w:val="Bibliography"/>
        <w:rPr/>
      </w:pPr>
      <w:r>
        <w:rPr/>
        <w:t xml:space="preserve">16. </w:t>
        <w:tab/>
        <w:t xml:space="preserve">Strobl C, Boulesteix AL, Zeileis A, Hothorn T. Bias in random forest variable importance measures: Illustrations, sources and a solution. </w:t>
      </w:r>
      <w:r>
        <w:rPr>
          <w:i/>
          <w:iCs/>
        </w:rPr>
        <w:t>BMC Bioinformatics</w:t>
      </w:r>
      <w:r>
        <w:rPr/>
        <w:t xml:space="preserve"> (2007) 8:1–21. doi: </w:t>
      </w:r>
      <w:hyperlink r:id="rId45">
        <w:r>
          <w:rPr>
            <w:rStyle w:val="InternetLink"/>
          </w:rPr>
          <w:t>10.1186/1471-2105-8-25/FIGURES/11</w:t>
        </w:r>
      </w:hyperlink>
      <w:bookmarkStart w:id="29" w:name="ref-Strobl2007"/>
      <w:bookmarkEnd w:id="29"/>
    </w:p>
    <w:p>
      <w:pPr>
        <w:pStyle w:val="Bibliography"/>
        <w:rPr/>
      </w:pPr>
      <w:r>
        <w:rPr/>
        <w:t xml:space="preserve">17. </w:t>
        <w:tab/>
        <w:t xml:space="preserve">Hothorn T, Hornik K, Strobl C, Zeileis A. party: A Laboratory for Recursive Partytioning. (2022) </w:t>
      </w:r>
      <w:hyperlink r:id="rId46">
        <w:r>
          <w:rPr>
            <w:rStyle w:val="InternetLink"/>
          </w:rPr>
          <w:t>https://cran.r-project.org/web/packages/party/index.html</w:t>
        </w:r>
      </w:hyperlink>
      <w:bookmarkStart w:id="30" w:name="ref-Hothorn2022"/>
      <w:bookmarkEnd w:id="30"/>
    </w:p>
    <w:p>
      <w:pPr>
        <w:pStyle w:val="Bibliography"/>
        <w:rPr/>
      </w:pPr>
      <w:r>
        <w:rPr/>
        <w:t xml:space="preserve">18. </w:t>
        <w:tab/>
        <w:t xml:space="preserve">Kuhn M. Building predictive models in R using the caret package. </w:t>
      </w:r>
      <w:r>
        <w:rPr>
          <w:i/>
          <w:iCs/>
        </w:rPr>
        <w:t>Journal of Statistical Software</w:t>
      </w:r>
      <w:r>
        <w:rPr/>
        <w:t xml:space="preserve"> (2008) 28:1–26. doi: </w:t>
      </w:r>
      <w:hyperlink r:id="rId47">
        <w:r>
          <w:rPr>
            <w:rStyle w:val="InternetLink"/>
          </w:rPr>
          <w:t>10.18637/jss.v028.i05</w:t>
        </w:r>
      </w:hyperlink>
      <w:bookmarkStart w:id="31" w:name="ref-Kuhn2008"/>
      <w:bookmarkEnd w:id="31"/>
    </w:p>
    <w:p>
      <w:pPr>
        <w:pStyle w:val="Bibliography"/>
        <w:rPr/>
      </w:pPr>
      <w:r>
        <w:rPr/>
        <w:t xml:space="preserve">19. </w:t>
        <w:tab/>
        <w:t xml:space="preserve">Wickham Hadley. </w:t>
      </w:r>
      <w:r>
        <w:rPr>
          <w:i/>
          <w:iCs/>
        </w:rPr>
        <w:t>ggplot2: Elegant Graphics for Data Analysis</w:t>
      </w:r>
      <w:r>
        <w:rPr/>
        <w:t xml:space="preserve">. 1st ed. New York: Springer-Verlag (2016). </w:t>
      </w:r>
      <w:hyperlink r:id="rId48">
        <w:r>
          <w:rPr>
            <w:rStyle w:val="InternetLink"/>
          </w:rPr>
          <w:t>https://ggplot2.tidyverse.org</w:t>
        </w:r>
      </w:hyperlink>
      <w:bookmarkStart w:id="32" w:name="ref-Wickham2016"/>
      <w:bookmarkEnd w:id="32"/>
    </w:p>
    <w:p>
      <w:pPr>
        <w:pStyle w:val="Bibliography"/>
        <w:rPr/>
      </w:pPr>
      <w:r>
        <w:rPr/>
        <w:t xml:space="preserve">20. </w:t>
        <w:tab/>
        <w:t xml:space="preserve">Wilke CO. </w:t>
      </w:r>
      <w:r>
        <w:rPr>
          <w:i/>
          <w:iCs/>
        </w:rPr>
        <w:t>Fundamentals of Data Visualization: A Primer on Making Informative and Compelling Figures</w:t>
      </w:r>
      <w:r>
        <w:rPr/>
        <w:t>. 1st ed. Sebastopol: O’Reilly Media (2019).</w:t>
      </w:r>
      <w:bookmarkStart w:id="33" w:name="ref-Wilke2019"/>
      <w:bookmarkEnd w:id="33"/>
    </w:p>
    <w:p>
      <w:pPr>
        <w:pStyle w:val="Bibliography"/>
        <w:rPr/>
      </w:pPr>
      <w:r>
        <w:rPr/>
        <w:t xml:space="preserve">21. </w:t>
        <w:tab/>
        <w:t xml:space="preserve">Gohel D. flextable: Functions for Tabular Reporting. (2022) </w:t>
      </w:r>
      <w:hyperlink r:id="rId49">
        <w:r>
          <w:rPr>
            <w:rStyle w:val="InternetLink"/>
          </w:rPr>
          <w:t>https://cran.r-project.org/web/packages/flextable/index.html</w:t>
        </w:r>
      </w:hyperlink>
      <w:bookmarkStart w:id="34" w:name="ref-Gohel2022"/>
      <w:bookmarkEnd w:id="34"/>
    </w:p>
    <w:p>
      <w:pPr>
        <w:pStyle w:val="Bibliography"/>
        <w:rPr/>
      </w:pPr>
      <w:r>
        <w:rPr/>
        <w:t xml:space="preserve">22. </w:t>
        <w:tab/>
        <w:t xml:space="preserve">Allaire J, Xie Y, McPherson J, Luraschi J, Ushey K, Atkins A, Wickham H, Cheng J. rmarkdown: Dynamic Documents for R. (2022) </w:t>
      </w:r>
      <w:hyperlink r:id="rId50">
        <w:r>
          <w:rPr>
            <w:rStyle w:val="InternetLink"/>
          </w:rPr>
          <w:t>https://cran.r-project.org/web/packages/rmarkdown/index.html</w:t>
        </w:r>
      </w:hyperlink>
      <w:bookmarkStart w:id="35" w:name="ref-Allaire2022"/>
      <w:bookmarkEnd w:id="35"/>
    </w:p>
    <w:p>
      <w:pPr>
        <w:pStyle w:val="Bibliography"/>
        <w:rPr/>
      </w:pPr>
      <w:r>
        <w:rPr/>
        <w:t xml:space="preserve">23. </w:t>
        <w:tab/>
        <w:t xml:space="preserve">Xie Y. </w:t>
      </w:r>
      <w:r>
        <w:rPr>
          <w:i/>
          <w:iCs/>
        </w:rPr>
        <w:t>Bookdown: Authoring books and technical documents with R Markdown</w:t>
      </w:r>
      <w:r>
        <w:rPr/>
        <w:t xml:space="preserve">. (2016). doi: </w:t>
      </w:r>
      <w:hyperlink r:id="rId51">
        <w:r>
          <w:rPr>
            <w:rStyle w:val="InternetLink"/>
          </w:rPr>
          <w:t>10.1201/9781315204963</w:t>
        </w:r>
      </w:hyperlink>
      <w:bookmarkStart w:id="36" w:name="ref-Xie2016"/>
      <w:bookmarkEnd w:id="36"/>
    </w:p>
    <w:p>
      <w:pPr>
        <w:pStyle w:val="Bibliography"/>
        <w:rPr/>
      </w:pPr>
      <w:r>
        <w:rPr/>
        <w:t xml:space="preserve">24. </w:t>
        <w:tab/>
        <w:t xml:space="preserve">Xie Y. knitr: A General-Purpose Package for Dynamic Report Generation in R. (2022) </w:t>
      </w:r>
      <w:hyperlink r:id="rId52">
        <w:r>
          <w:rPr>
            <w:rStyle w:val="InternetLink"/>
          </w:rPr>
          <w:t>https://cran.r-project.org/web/packages/knitr/index.html</w:t>
        </w:r>
      </w:hyperlink>
      <w:bookmarkStart w:id="37" w:name="ref-Xie2022"/>
      <w:bookmarkEnd w:id="37"/>
    </w:p>
    <w:p>
      <w:pPr>
        <w:pStyle w:val="Bibliography"/>
        <w:rPr/>
      </w:pPr>
      <w:r>
        <w:rPr/>
        <w:t xml:space="preserve">25. </w:t>
        <w:tab/>
        <w:t xml:space="preserve">Spitzer RL, Kroenke K, Williams JBW, Löwe B. A Brief Measure for Assessing Generalized Anxiety Disorder: The GAD-7. </w:t>
      </w:r>
      <w:r>
        <w:rPr>
          <w:i/>
          <w:iCs/>
        </w:rPr>
        <w:t>Archives of Internal Medicine</w:t>
      </w:r>
      <w:r>
        <w:rPr/>
        <w:t xml:space="preserve"> (2006) 166:1092–1097. doi: </w:t>
      </w:r>
      <w:hyperlink r:id="rId53">
        <w:r>
          <w:rPr>
            <w:rStyle w:val="InternetLink"/>
          </w:rPr>
          <w:t>10.1001/ARCHINTE.166.10.1092</w:t>
        </w:r>
      </w:hyperlink>
      <w:bookmarkStart w:id="38" w:name="ref-Spitzer2006"/>
      <w:bookmarkEnd w:id="38"/>
    </w:p>
    <w:p>
      <w:pPr>
        <w:pStyle w:val="Bibliography"/>
        <w:rPr/>
      </w:pPr>
      <w:r>
        <w:rPr/>
        <w:t xml:space="preserve">26. </w:t>
        <w:tab/>
        <w:t>Löwe B, Spitzer RL, Zipfel S, Herzog W. Auflage Manual 17.07. (2002).</w:t>
      </w:r>
      <w:bookmarkStart w:id="39" w:name="ref-Lowe2002"/>
      <w:bookmarkEnd w:id="39"/>
    </w:p>
    <w:p>
      <w:pPr>
        <w:pStyle w:val="Bibliography"/>
        <w:rPr/>
      </w:pPr>
      <w:r>
        <w:rPr/>
        <w:t xml:space="preserve">27.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54">
        <w:r>
          <w:rPr>
            <w:rStyle w:val="InternetLink"/>
          </w:rPr>
          <w:t>10.1026/0012-1924.50.4.171</w:t>
        </w:r>
      </w:hyperlink>
      <w:bookmarkStart w:id="40" w:name="ref-Grafe2004"/>
      <w:bookmarkEnd w:id="40"/>
    </w:p>
    <w:p>
      <w:pPr>
        <w:pStyle w:val="Bibliography"/>
        <w:rPr/>
      </w:pPr>
      <w:r>
        <w:rPr/>
        <w:t xml:space="preserve">28. </w:t>
        <w:tab/>
        <w:t xml:space="preserve">Kroenke K, Spitzer RL, Williams JBW. The PHQ-15: validity of a new measure for evaluating the severity of somatic symptoms. </w:t>
      </w:r>
      <w:r>
        <w:rPr>
          <w:i/>
          <w:iCs/>
        </w:rPr>
        <w:t>Psychosomatic medicine</w:t>
      </w:r>
      <w:r>
        <w:rPr/>
        <w:t xml:space="preserve"> (2002) 64:258–266. doi: </w:t>
      </w:r>
      <w:hyperlink r:id="rId55">
        <w:r>
          <w:rPr>
            <w:rStyle w:val="InternetLink"/>
          </w:rPr>
          <w:t>10.1097/00006842-200203000-00008</w:t>
        </w:r>
      </w:hyperlink>
      <w:bookmarkStart w:id="41" w:name="ref-Kroenke2002"/>
      <w:bookmarkEnd w:id="41"/>
    </w:p>
    <w:p>
      <w:pPr>
        <w:pStyle w:val="Bibliography"/>
        <w:rPr/>
      </w:pPr>
      <w:r>
        <w:rPr/>
        <w:t xml:space="preserve">29.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56">
        <w:r>
          <w:rPr>
            <w:rStyle w:val="InternetLink"/>
          </w:rPr>
          <w:t>https://www.academia.edu/download/44388154/A_406.pdf</w:t>
        </w:r>
      </w:hyperlink>
      <w:bookmarkStart w:id="42" w:name="ref-Leppert2008"/>
      <w:bookmarkEnd w:id="42"/>
    </w:p>
    <w:p>
      <w:pPr>
        <w:pStyle w:val="Bibliography"/>
        <w:rPr/>
      </w:pPr>
      <w:r>
        <w:rPr/>
        <w:t xml:space="preserve">30.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57">
        <w:r>
          <w:rPr>
            <w:rStyle w:val="InternetLink"/>
          </w:rPr>
          <w:t>10.1055/s-2000-9207</w:t>
        </w:r>
      </w:hyperlink>
      <w:bookmarkStart w:id="43" w:name="ref-Schumacher2000"/>
      <w:bookmarkEnd w:id="43"/>
    </w:p>
    <w:p>
      <w:pPr>
        <w:pStyle w:val="Bibliography"/>
        <w:rPr/>
      </w:pPr>
      <w:r>
        <w:rPr/>
        <w:t xml:space="preserve">31. </w:t>
        <w:tab/>
        <w:t xml:space="preserve">Schmidt S, Mühlan H, Power M. The EUROHIS-QOL 8-item index: psychometric results of a cross-cultural field study. </w:t>
      </w:r>
      <w:r>
        <w:rPr>
          <w:i/>
          <w:iCs/>
        </w:rPr>
        <w:t>European Journal of Public Health</w:t>
      </w:r>
      <w:r>
        <w:rPr/>
        <w:t xml:space="preserve"> (2006) 16:420–428. doi: </w:t>
      </w:r>
      <w:hyperlink r:id="rId58">
        <w:r>
          <w:rPr>
            <w:rStyle w:val="InternetLink"/>
          </w:rPr>
          <w:t>10.1093/EURPUB/CKI155</w:t>
        </w:r>
      </w:hyperlink>
      <w:bookmarkStart w:id="44" w:name="ref-Schmidt2006"/>
      <w:bookmarkEnd w:id="44"/>
    </w:p>
    <w:p>
      <w:pPr>
        <w:pStyle w:val="Bibliography"/>
        <w:rPr/>
      </w:pPr>
      <w:r>
        <w:rPr/>
        <w:t xml:space="preserve">32. </w:t>
        <w:tab/>
        <w:t xml:space="preserve">Tedeschi RG, Calhoun LG. The Posttraumatic Growth Inventory: measuring the positive legacy of trauma. </w:t>
      </w:r>
      <w:r>
        <w:rPr>
          <w:i/>
          <w:iCs/>
        </w:rPr>
        <w:t>Journal of traumatic stress</w:t>
      </w:r>
      <w:r>
        <w:rPr/>
        <w:t xml:space="preserve"> (1996) 9:455–471. doi: </w:t>
      </w:r>
      <w:hyperlink r:id="rId59">
        <w:r>
          <w:rPr>
            <w:rStyle w:val="InternetLink"/>
          </w:rPr>
          <w:t>10.1007/BF02103658</w:t>
        </w:r>
      </w:hyperlink>
      <w:bookmarkStart w:id="45" w:name="ref-Tedeschi1996"/>
      <w:bookmarkEnd w:id="45"/>
    </w:p>
    <w:p>
      <w:pPr>
        <w:pStyle w:val="Bibliography"/>
        <w:rPr/>
      </w:pPr>
      <w:r>
        <w:rPr/>
        <w:t xml:space="preserve">33.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60">
        <w:r>
          <w:rPr>
            <w:rStyle w:val="InternetLink"/>
          </w:rPr>
          <w:t>10.1037/PAS0000254</w:t>
        </w:r>
      </w:hyperlink>
      <w:bookmarkStart w:id="46" w:name="ref-Bovin2016"/>
      <w:bookmarkEnd w:id="46"/>
    </w:p>
    <w:p>
      <w:pPr>
        <w:pStyle w:val="Bibliography"/>
        <w:rPr/>
      </w:pPr>
      <w:r>
        <w:rPr/>
        <w:t xml:space="preserve">34. </w:t>
        <w:tab/>
        <w:t xml:space="preserve">Manea L, Gilbody S, McMillan D. Optimal cut-off score for diagnosing depression with the Patient Health Questionnaire (PHQ-9): A meta-analysis. </w:t>
      </w:r>
      <w:r>
        <w:rPr>
          <w:i/>
          <w:iCs/>
        </w:rPr>
        <w:t>CMAJ</w:t>
      </w:r>
      <w:r>
        <w:rPr/>
        <w:t xml:space="preserve"> (2012) 184:E191. doi: </w:t>
      </w:r>
      <w:hyperlink r:id="rId61">
        <w:r>
          <w:rPr>
            <w:rStyle w:val="InternetLink"/>
          </w:rPr>
          <w:t>10.1503/CMAJ.110829/-/DC1</w:t>
        </w:r>
      </w:hyperlink>
      <w:bookmarkStart w:id="47" w:name="ref-Manea2012"/>
      <w:bookmarkEnd w:id="47"/>
    </w:p>
    <w:p>
      <w:pPr>
        <w:pStyle w:val="Bibliography"/>
        <w:rPr/>
      </w:pPr>
      <w:r>
        <w:rPr/>
        <w:t xml:space="preserve">35. </w:t>
        <w:tab/>
        <w:t xml:space="preserve">Maercker A, Bromberger F. Checklisten und Fragebogen zur Erfassung traumatischer Ereignisse in deutscher Sprache. </w:t>
      </w:r>
      <w:r>
        <w:rPr>
          <w:i/>
          <w:iCs/>
        </w:rPr>
        <w:t>Trierer Psychologische Berichte</w:t>
      </w:r>
      <w:r>
        <w:rPr/>
        <w:t xml:space="preserve"> (2005) 32:</w:t>
      </w:r>
      <w:bookmarkStart w:id="48" w:name="ref-Maercker2005"/>
      <w:bookmarkEnd w:id="48"/>
    </w:p>
    <w:p>
      <w:pPr>
        <w:pStyle w:val="Bibliography"/>
        <w:rPr/>
      </w:pPr>
      <w:r>
        <w:rPr/>
        <w:t xml:space="preserve">36. </w:t>
        <w:tab/>
        <w:t xml:space="preserve">O’Brien CP. The CAGE Questionnaire for Detection of Alcoholism. </w:t>
      </w:r>
      <w:r>
        <w:rPr>
          <w:i/>
          <w:iCs/>
        </w:rPr>
        <w:t>JAMA</w:t>
      </w:r>
      <w:r>
        <w:rPr/>
        <w:t xml:space="preserve"> (2008) 300:2054–2056. doi: </w:t>
      </w:r>
      <w:hyperlink r:id="rId62">
        <w:r>
          <w:rPr>
            <w:rStyle w:val="InternetLink"/>
          </w:rPr>
          <w:t>10.1001/JAMA.2008.570</w:t>
        </w:r>
      </w:hyperlink>
      <w:bookmarkStart w:id="49" w:name="ref-OBrien2008"/>
      <w:bookmarkEnd w:id="49"/>
    </w:p>
    <w:p>
      <w:pPr>
        <w:pStyle w:val="Bibliography"/>
        <w:rPr/>
      </w:pPr>
      <w:r>
        <w:rPr/>
        <w:t xml:space="preserve">37. </w:t>
        <w:tab/>
        <w:t xml:space="preserve">Gennarelli TA, Wodzin E. AIS 2005: A contemporary injury scale. </w:t>
      </w:r>
      <w:r>
        <w:rPr>
          <w:i/>
          <w:iCs/>
        </w:rPr>
        <w:t>Injury</w:t>
      </w:r>
      <w:r>
        <w:rPr/>
        <w:t xml:space="preserve"> (2006) 37:1083–1091. doi: </w:t>
      </w:r>
      <w:hyperlink r:id="rId63">
        <w:r>
          <w:rPr>
            <w:rStyle w:val="InternetLink"/>
          </w:rPr>
          <w:t>10.1016/j.injury.2006.07.009</w:t>
        </w:r>
      </w:hyperlink>
      <w:bookmarkStart w:id="50" w:name="ref-Gennarelli2006"/>
      <w:bookmarkEnd w:id="50"/>
    </w:p>
    <w:p>
      <w:pPr>
        <w:pStyle w:val="Bibliography"/>
        <w:rPr/>
      </w:pPr>
      <w:r>
        <w:rPr/>
        <w:t xml:space="preserve">38. </w:t>
        <w:tab/>
        <w:t xml:space="preserve">McDonald RP. </w:t>
      </w:r>
      <w:r>
        <w:rPr>
          <w:i/>
          <w:iCs/>
        </w:rPr>
        <w:t>Test theory: A unified treatment</w:t>
      </w:r>
      <w:r>
        <w:rPr/>
        <w:t xml:space="preserve">. 1st Editio. New Yor: Psychology Press (1999). doi: </w:t>
      </w:r>
      <w:hyperlink r:id="rId64">
        <w:r>
          <w:rPr>
            <w:rStyle w:val="InternetLink"/>
          </w:rPr>
          <w:t>10.4324/9781410601087</w:t>
        </w:r>
      </w:hyperlink>
      <w:bookmarkStart w:id="51" w:name="ref-McDonald1999"/>
      <w:bookmarkEnd w:id="51"/>
    </w:p>
    <w:p>
      <w:pPr>
        <w:pStyle w:val="Bibliography"/>
        <w:rPr/>
      </w:pPr>
      <w:r>
        <w:rPr/>
        <w:t xml:space="preserve">39. </w:t>
        <w:tab/>
        <w:t xml:space="preserve">Cohen S, Kamarck T, Mermelstein R. A global measure of perceived stress. </w:t>
      </w:r>
      <w:r>
        <w:rPr>
          <w:i/>
          <w:iCs/>
        </w:rPr>
        <w:t>Journal of health and social behavior</w:t>
      </w:r>
      <w:r>
        <w:rPr/>
        <w:t xml:space="preserve"> (1983) 24:385–396. doi: </w:t>
      </w:r>
      <w:hyperlink r:id="rId65">
        <w:r>
          <w:rPr>
            <w:rStyle w:val="InternetLink"/>
          </w:rPr>
          <w:t>10.2307/2136404</w:t>
        </w:r>
      </w:hyperlink>
      <w:bookmarkStart w:id="52" w:name="ref-Cohen1983"/>
      <w:bookmarkEnd w:id="52"/>
    </w:p>
    <w:p>
      <w:pPr>
        <w:pStyle w:val="Bibliography"/>
        <w:rPr/>
      </w:pPr>
      <w:r>
        <w:rPr/>
        <w:t xml:space="preserve">40. </w:t>
        <w:tab/>
        <w:t xml:space="preserve">Sinclair VG, Wallston KA. The development and psychometric evaluation of the Brief Resilient Coping Scale. </w:t>
      </w:r>
      <w:r>
        <w:rPr>
          <w:i/>
          <w:iCs/>
        </w:rPr>
        <w:t>Assessment</w:t>
      </w:r>
      <w:r>
        <w:rPr/>
        <w:t xml:space="preserve"> (2004) 11:94–101. doi: </w:t>
      </w:r>
      <w:hyperlink r:id="rId66">
        <w:r>
          <w:rPr>
            <w:rStyle w:val="InternetLink"/>
          </w:rPr>
          <w:t>10.1177/1073191103258144</w:t>
        </w:r>
      </w:hyperlink>
      <w:bookmarkStart w:id="53" w:name="ref-Sinclair2004"/>
      <w:bookmarkEnd w:id="53"/>
    </w:p>
    <w:p>
      <w:pPr>
        <w:pStyle w:val="Bibliography"/>
        <w:rPr/>
      </w:pPr>
      <w:r>
        <w:rPr/>
        <w:t xml:space="preserve">41. </w:t>
        <w:tab/>
        <w:t xml:space="preserve">Lange T, Roth V, Braun ML, Buhmann JM. Stability-based validation of clustering solutions. </w:t>
      </w:r>
      <w:r>
        <w:rPr>
          <w:i/>
          <w:iCs/>
        </w:rPr>
        <w:t>Neural Computation</w:t>
      </w:r>
      <w:r>
        <w:rPr/>
        <w:t xml:space="preserve"> (2004) 16:1299–1323. doi: </w:t>
      </w:r>
      <w:hyperlink r:id="rId67">
        <w:r>
          <w:rPr>
            <w:rStyle w:val="InternetLink"/>
          </w:rPr>
          <w:t>10.1162/089976604773717621</w:t>
        </w:r>
      </w:hyperlink>
      <w:bookmarkStart w:id="54" w:name="ref-Lange2004"/>
      <w:bookmarkEnd w:id="54"/>
    </w:p>
    <w:p>
      <w:pPr>
        <w:pStyle w:val="Bibliography"/>
        <w:spacing w:before="0" w:after="200"/>
        <w:rPr/>
      </w:pPr>
      <w:r>
        <w:rPr/>
        <w:t xml:space="preserve">42. </w:t>
        <w:tab/>
        <w:t xml:space="preserve">Strobl C, Boulesteix AL, Kneib T, Augustin T, Zeileis A. Conditional variable importance for random forests. </w:t>
      </w:r>
      <w:r>
        <w:rPr>
          <w:i/>
          <w:iCs/>
        </w:rPr>
        <w:t>BMC Bioinformatics</w:t>
      </w:r>
      <w:r>
        <w:rPr/>
        <w:t xml:space="preserve"> (2008) 9:1–11. doi: </w:t>
      </w:r>
      <w:hyperlink r:id="rId68">
        <w:r>
          <w:rPr>
            <w:rStyle w:val="InternetLink"/>
          </w:rPr>
          <w:t>10.1186/1471-2105-9-307/FIGURES/4</w:t>
        </w:r>
      </w:hyperlink>
    </w:p>
    <w:sectPr>
      <w:footerReference w:type="default" r:id="rId69"/>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aretExtra" TargetMode="External"/><Relationship Id="rId10" Type="http://schemas.openxmlformats.org/officeDocument/2006/relationships/hyperlink" Target="https://github.com/PiotrTymoszuk/ExDA" TargetMode="External"/><Relationship Id="rId11" Type="http://schemas.openxmlformats.org/officeDocument/2006/relationships/hyperlink" Target="https://github.com/PiotrTymoszuk/clustTools" TargetMode="External"/><Relationship Id="rId12" Type="http://schemas.openxmlformats.org/officeDocument/2006/relationships/hyperlink" Target="https://github.com/PiotrTymoszuk/figur"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clustTools" TargetMode="External"/><Relationship Id="rId15" Type="http://schemas.openxmlformats.org/officeDocument/2006/relationships/hyperlink" Target="https://github.com/PiotrTymoszuk/ExDA" TargetMode="External"/><Relationship Id="rId16" Type="http://schemas.openxmlformats.org/officeDocument/2006/relationships/hyperlink" Target="https://github.com/PiotrTymoszuk/clustTools"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19" Type="http://schemas.openxmlformats.org/officeDocument/2006/relationships/hyperlink" Target="https://github.com/PiotrTymoszuk/clustTools" TargetMode="External"/><Relationship Id="rId20" Type="http://schemas.openxmlformats.org/officeDocument/2006/relationships/hyperlink" Target="https://github.com/PiotrTymoszuk/ExDA" TargetMode="External"/><Relationship Id="rId21" Type="http://schemas.openxmlformats.org/officeDocument/2006/relationships/hyperlink" Target="https://github.com/PiotrTymoszuk/mental_accident"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hyperlink" Target="https://cran.r-project.org/web/packages/foreign/index.html" TargetMode="External"/><Relationship Id="rId31" Type="http://schemas.openxmlformats.org/officeDocument/2006/relationships/hyperlink" Target="https://doi.org/10.21105/joss.01686" TargetMode="External"/><Relationship Id="rId32" Type="http://schemas.openxmlformats.org/officeDocument/2006/relationships/hyperlink" Target="https://cran.r-project.org/web/packages/rlang/index.html" TargetMode="External"/><Relationship Id="rId33" Type="http://schemas.openxmlformats.org/officeDocument/2006/relationships/hyperlink" Target="https://cran.r-project.org/web/packages/stringi/index.html http://cran.ism.ac.jp/web/packages/stringi/stringi.pdf" TargetMode="External"/><Relationship Id="rId34" Type="http://schemas.openxmlformats.org/officeDocument/2006/relationships/hyperlink" Target="https://cran.r-project.org/package=rstatix" TargetMode="External"/><Relationship Id="rId35" Type="http://schemas.openxmlformats.org/officeDocument/2006/relationships/hyperlink" Target="https://cran.r-project.org/package=DescTools" TargetMode="External"/><Relationship Id="rId36" Type="http://schemas.openxmlformats.org/officeDocument/2006/relationships/hyperlink" Target="https://cran.r-project.org/web/packages/psych/index.html http://personality-project.org/r/psych-manual.pdf" TargetMode="External"/><Relationship Id="rId37" Type="http://schemas.openxmlformats.org/officeDocument/2006/relationships/hyperlink" Target="https://cran.r-project.org/web/packages/factoextra/index.html" TargetMode="External"/><Relationship Id="rId38" Type="http://schemas.openxmlformats.org/officeDocument/2006/relationships/hyperlink" Target="https://doi.org/10.1007/978-3-030-32047-8_16" TargetMode="External"/><Relationship Id="rId39" Type="http://schemas.openxmlformats.org/officeDocument/2006/relationships/hyperlink" Target="https://doi.org/10.21105/joss.00765" TargetMode="External"/><Relationship Id="rId40" Type="http://schemas.openxmlformats.org/officeDocument/2006/relationships/hyperlink" Target="https://cran.r-project.org/web/packages/umap/index.html" TargetMode="External"/><Relationship Id="rId41" Type="http://schemas.openxmlformats.org/officeDocument/2006/relationships/hyperlink" Target="https://arxiv.org/abs/1802.03426v3 http://arxiv.org/abs/1802.03426" TargetMode="External"/><Relationship Id="rId42" Type="http://schemas.openxmlformats.org/officeDocument/2006/relationships/hyperlink" Target="https://cran.r-project.org/web/packages/OneR/index.html" TargetMode="External"/><Relationship Id="rId43" Type="http://schemas.openxmlformats.org/officeDocument/2006/relationships/hyperlink" Target="https://doi.org/10.1023/A:1022631118932/METRICS" TargetMode="External"/><Relationship Id="rId44" Type="http://schemas.openxmlformats.org/officeDocument/2006/relationships/hyperlink" Target="https://doi.org/10.1198/106186006X133933" TargetMode="External"/><Relationship Id="rId45" Type="http://schemas.openxmlformats.org/officeDocument/2006/relationships/hyperlink" Target="https://doi.org/10.1186/1471-2105-8-25/FIGURES/11" TargetMode="External"/><Relationship Id="rId46" Type="http://schemas.openxmlformats.org/officeDocument/2006/relationships/hyperlink" Target="https://cran.r-project.org/web/packages/party/index.html" TargetMode="External"/><Relationship Id="rId47" Type="http://schemas.openxmlformats.org/officeDocument/2006/relationships/hyperlink" Target="https://doi.org/10.18637/jss.v028.i05" TargetMode="External"/><Relationship Id="rId48" Type="http://schemas.openxmlformats.org/officeDocument/2006/relationships/hyperlink" Target="https://ggplot2.tidyverse.org/" TargetMode="External"/><Relationship Id="rId49" Type="http://schemas.openxmlformats.org/officeDocument/2006/relationships/hyperlink" Target="https://cran.r-project.org/web/packages/flextable/index.html" TargetMode="External"/><Relationship Id="rId50" Type="http://schemas.openxmlformats.org/officeDocument/2006/relationships/hyperlink" Target="https://cran.r-project.org/web/packages/rmarkdown/index.html" TargetMode="External"/><Relationship Id="rId51" Type="http://schemas.openxmlformats.org/officeDocument/2006/relationships/hyperlink" Target="https://doi.org/10.1201/9781315204963" TargetMode="External"/><Relationship Id="rId52" Type="http://schemas.openxmlformats.org/officeDocument/2006/relationships/hyperlink" Target="https://cran.r-project.org/web/packages/knitr/index.html" TargetMode="External"/><Relationship Id="rId53" Type="http://schemas.openxmlformats.org/officeDocument/2006/relationships/hyperlink" Target="https://doi.org/10.1001/ARCHINTE.166.10.1092" TargetMode="External"/><Relationship Id="rId54" Type="http://schemas.openxmlformats.org/officeDocument/2006/relationships/hyperlink" Target="https://doi.org/10.1026/0012-1924.50.4.171" TargetMode="External"/><Relationship Id="rId55" Type="http://schemas.openxmlformats.org/officeDocument/2006/relationships/hyperlink" Target="https://doi.org/10.1097/00006842-200203000-00008" TargetMode="External"/><Relationship Id="rId56" Type="http://schemas.openxmlformats.org/officeDocument/2006/relationships/hyperlink" Target="https://www.academia.edu/download/44388154/A_406.pdf" TargetMode="External"/><Relationship Id="rId57" Type="http://schemas.openxmlformats.org/officeDocument/2006/relationships/hyperlink" Target="https://doi.org/10.1055/s-2000-9207" TargetMode="External"/><Relationship Id="rId58" Type="http://schemas.openxmlformats.org/officeDocument/2006/relationships/hyperlink" Target="https://doi.org/10.1093/EURPUB/CKI155" TargetMode="External"/><Relationship Id="rId59" Type="http://schemas.openxmlformats.org/officeDocument/2006/relationships/hyperlink" Target="https://doi.org/10.1007/BF02103658" TargetMode="External"/><Relationship Id="rId60" Type="http://schemas.openxmlformats.org/officeDocument/2006/relationships/hyperlink" Target="https://doi.org/10.1037/PAS0000254" TargetMode="External"/><Relationship Id="rId61" Type="http://schemas.openxmlformats.org/officeDocument/2006/relationships/hyperlink" Target="https://doi.org/10.1503/CMAJ.110829/-/DC1" TargetMode="External"/><Relationship Id="rId62" Type="http://schemas.openxmlformats.org/officeDocument/2006/relationships/hyperlink" Target="https://doi.org/10.1001/JAMA.2008.570" TargetMode="External"/><Relationship Id="rId63" Type="http://schemas.openxmlformats.org/officeDocument/2006/relationships/hyperlink" Target="https://doi.org/10.1016/j.injury.2006.07.009" TargetMode="External"/><Relationship Id="rId64" Type="http://schemas.openxmlformats.org/officeDocument/2006/relationships/hyperlink" Target="https://doi.org/10.4324/9781410601087" TargetMode="External"/><Relationship Id="rId65" Type="http://schemas.openxmlformats.org/officeDocument/2006/relationships/hyperlink" Target="https://doi.org/10.2307/2136404" TargetMode="External"/><Relationship Id="rId66" Type="http://schemas.openxmlformats.org/officeDocument/2006/relationships/hyperlink" Target="https://doi.org/10.1177/1073191103258144" TargetMode="External"/><Relationship Id="rId67" Type="http://schemas.openxmlformats.org/officeDocument/2006/relationships/hyperlink" Target="https://doi.org/10.1162/089976604773717621" TargetMode="External"/><Relationship Id="rId68" Type="http://schemas.openxmlformats.org/officeDocument/2006/relationships/hyperlink" Target="https://doi.org/10.1186/1471-2105-9-307/FIGURES/4" TargetMode="Externa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32</Pages>
  <Words>6015</Words>
  <Characters>33384</Characters>
  <CharactersWithSpaces>38997</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2023-03-31T08:07:46Z</dcterms:created>
  <dc:creator>Psychiatry Study Team</dc:creator>
  <dc:description/>
  <dc:language>en-US</dc:language>
  <cp:lastModifiedBy/>
  <dcterms:modified xsi:type="dcterms:W3CDTF">2023-03-31T10:42:51Z</dcterms:modified>
  <cp:revision>1</cp:revision>
  <dc:subject/>
  <dc:title>Three distinct patterns of mental response after mountain sport accidents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2023-03-31</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