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df" ContentType="application/pdf"/>
  <Override PartName="/word/media/rId23.pdf" ContentType="application/pdf"/>
  <Override PartName="/word/media/rId28.pdf" ContentType="application/pdf"/>
  <Override PartName="/word/media/rId24.pdf" ContentType="application/pdf"/>
  <Override PartName="/word/media/rId26.pdf" ContentType="application/pdf"/>
  <Override PartName="/word/media/rId32.pdf" ContentType="application/pdf"/>
  <Override PartName="/word/media/rId29.pdf" ContentType="application/pdf"/>
  <Override PartName="/word/media/rId31.pdf" ContentType="application/pdf"/>
  <Override PartName="/word/media/rId30.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Tables</w:t>
      </w:r>
      <w:r>
        <w:t xml:space="preserve"> </w:t>
      </w:r>
      <w:r>
        <w:t xml:space="preserve">and</w:t>
      </w:r>
      <w:r>
        <w:t xml:space="preserve"> </w:t>
      </w:r>
      <w:r>
        <w:t xml:space="preserve">figures</w:t>
      </w:r>
    </w:p>
    <w:p>
      <w:pPr>
        <w:pStyle w:val="Author"/>
      </w:pPr>
      <w:r>
        <w:t xml:space="preserve">CovILD</w:t>
      </w:r>
      <w:r>
        <w:t xml:space="preserve"> </w:t>
      </w:r>
      <w:r>
        <w:t xml:space="preserve">study</w:t>
      </w:r>
      <w:r>
        <w:t xml:space="preserve"> </w:t>
      </w:r>
      <w:r>
        <w:t xml:space="preserve">team</w:t>
      </w:r>
    </w:p>
    <w:p>
      <w:pPr>
        <w:pStyle w:val="Date"/>
      </w:pPr>
      <w:r>
        <w:t xml:space="preserve">2021-12-29</w:t>
      </w:r>
    </w:p>
    <w:p>
      <w:r>
        <w:br w:type="page"/>
      </w:r>
    </w:p>
    <w:p>
      <w:pPr>
        <w:pStyle w:val="Heading1"/>
      </w:pPr>
      <w:bookmarkStart w:id="20" w:name="tables"/>
      <w:r>
        <w:t xml:space="preserve">Tables</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8"/>
        <w:gridCol w:w="1417"/>
        <w:gridCol w:w="1417"/>
        <w:gridCol w:w="2268"/>
        <w:gridCol w:w="226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SPSS variable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variable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variable label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 type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explanatory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date_birth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of birth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onset_sympt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date_onset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onset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 of symptoms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hosp_type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 Type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 of admission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 or NIV</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 or NIV</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explanatory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Active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Packs/year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 years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bl>
    <w:p>
      <w:pPr>
        <w:pStyle w:val="Compact"/>
      </w:pPr>
      <w:bookmarkStart w:id="ff3206c0-6faa-48ba-9230-5db1e6c1c1a6" w:name="tab-study-variables"/>
      <w:r>
        <w:rPr>
          <w:b/>
        </w:rPr>
        <w:t xml:space="preserve">Table 1:</w:t>
      </w:r>
      <w:r>
        <w:rPr>
          <w:b/>
        </w:rPr>
        <w:t xml:space="preserve"> </w:t>
      </w:r>
      <w:bookmarkEnd w:id="ff3206c0-6faa-48ba-9230-5db1e6c1c1a6"/>
      <w:r>
        <w:t xml:space="preserve">Variables available for the analysis. The first 10 table records are shown. The full table is available as a supplementary Excel file.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3969"/>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59 (13)</w:t>
              <w:br/>
              <w:t xml:space="preserve">median(IQR) = 57 (51 - 70)</w:t>
              <w:br/>
              <w:t xml:space="preserve">range = 20 - 89</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59% (54)</w:t>
              <w:br/>
              <w:t xml:space="preserve">&gt;60: 41% (37)</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62% (56)</w:t>
              <w:br/>
              <w:t xml:space="preserve">female: 38% (35)</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37% (34)</w:t>
              <w:br/>
              <w:t xml:space="preserve">overweight: 43% (39)</w:t>
              <w:br/>
              <w:t xml:space="preserve">obesity: 20% (18)</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66% (60)</w:t>
              <w:br/>
              <w:t xml:space="preserve">1–10: 13% (12)</w:t>
              <w:br/>
              <w:t xml:space="preserve">11-20: 9.9% (9)</w:t>
              <w:br/>
              <w:t xml:space="preserve">&gt;21: 11% (10)</w:t>
              <w:br/>
              <w:t xml:space="preserve">complete: n = 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66% (60)</w:t>
              <w:br/>
              <w:t xml:space="preserve">ex: 34% (31)</w:t>
              <w:br/>
              <w:t xml:space="preserve">complete: n = 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 21% (19)</w:t>
              <w:br/>
              <w:t xml:space="preserve">moderate: 25% (23)</w:t>
              <w:br/>
              <w:t xml:space="preserve">severe: 25% (23)</w:t>
              <w:br/>
              <w:t xml:space="preserve">critical: 29% (26)</w:t>
              <w:br/>
              <w:t xml:space="preserve">complete: n = 91</w:t>
            </w:r>
          </w:p>
        </w:tc>
      </w:tr>
    </w:tbl>
    <w:p>
      <w:pPr>
        <w:pStyle w:val="Compact"/>
      </w:pPr>
      <w:bookmarkStart w:id="2b19ad71-3251-4c4d-b1e1-d42cd5c13c8c" w:name="tab-baseline-cohort"/>
      <w:r>
        <w:rPr>
          <w:b/>
        </w:rPr>
        <w:t xml:space="preserve">Table 2:</w:t>
      </w:r>
      <w:r>
        <w:rPr>
          <w:b/>
        </w:rPr>
        <w:t xml:space="preserve"> </w:t>
      </w:r>
      <w:bookmarkEnd w:id="2b19ad71-3251-4c4d-b1e1-d42cd5c13c8c"/>
      <w:r>
        <w:t xml:space="preserve">Baseline characteristic of the cohort.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2211"/>
        <w:gridCol w:w="2211"/>
        <w:gridCol w:w="2211"/>
        <w:gridCol w:w="2211"/>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49 (12)</w:t>
              <w:br/>
              <w:t xml:space="preserve">median(IQR) = 50 (42 - 56)</w:t>
              <w:br/>
              <w:t xml:space="preserve">range = 20 - 72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61 (13)</w:t>
              <w:br/>
              <w:t xml:space="preserve">median(IQR) = 61 (53 - 72)</w:t>
              <w:br/>
              <w:t xml:space="preserve">range = 38 - 81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65 (14)</w:t>
              <w:br/>
              <w:t xml:space="preserve">median(IQR) = 64 (56 - 77)</w:t>
              <w:br/>
              <w:t xml:space="preserve">range = 37 - 89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59 (9.4)</w:t>
              <w:br/>
              <w:t xml:space="preserve">median(IQR) = 56 (53 - 66)</w:t>
              <w:br/>
              <w:t xml:space="preserve">range = 45 - 80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.0019</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95% (18)</w:t>
              <w:br/>
              <w:t xml:space="preserve">&gt;60: 5.3% (1)</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48% (11)</w:t>
              <w:br/>
              <w:t xml:space="preserve">&gt;60: 52%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39% (9)</w:t>
              <w:br/>
              <w:t xml:space="preserve">&gt;60: 61% (14)</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62% (16)</w:t>
              <w:br/>
              <w:t xml:space="preserve">&gt;60: 38% (10)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32% (6)</w:t>
              <w:br/>
              <w:t xml:space="preserve">female: 68% (13)</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48% (11)</w:t>
              <w:br/>
              <w:t xml:space="preserve">female: 52%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87% (20)</w:t>
              <w:br/>
              <w:t xml:space="preserve">female: 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73% (19)</w:t>
              <w:br/>
              <w:t xml:space="preserve">female: 27% (7)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63% (12)</w:t>
              <w:br/>
              <w:t xml:space="preserve">overweight: 26% (5)</w:t>
              <w:br/>
              <w:t xml:space="preserve">obesity: 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30% (7)</w:t>
              <w:br/>
              <w:t xml:space="preserve">overweight: 57% (13)</w:t>
              <w:br/>
              <w:t xml:space="preserve">obesity: 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13% (3)</w:t>
              <w:br/>
              <w:t xml:space="preserve">overweight: 57% (13)</w:t>
              <w:br/>
              <w:t xml:space="preserve">obesity: 30% (7)</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46% (12)</w:t>
              <w:br/>
              <w:t xml:space="preserve">overweight: 31% (8)</w:t>
              <w:br/>
              <w:t xml:space="preserve">obesity: 23% (6)</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84% (16)</w:t>
              <w:br/>
              <w:t xml:space="preserve">1–10: 16% (3)</w:t>
              <w:br/>
              <w:t xml:space="preserve">11-20: 0% (0)</w:t>
              <w:br/>
              <w:t xml:space="preserve">&gt;21: 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 (15)</w:t>
              <w:br/>
              <w:t xml:space="preserve">1–10: 8.7% (2)</w:t>
              <w:br/>
              <w:t xml:space="preserve">11-20: 17% (4)</w:t>
              <w:br/>
              <w:t xml:space="preserve">&gt;21: 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52% (12)</w:t>
              <w:br/>
              <w:t xml:space="preserve">1–10: 17% (4)</w:t>
              <w:br/>
              <w:t xml:space="preserve">11-20: 13% (3)</w:t>
              <w:br/>
              <w:t xml:space="preserve">&gt;21: 17% (4)</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 (17)</w:t>
              <w:br/>
              <w:t xml:space="preserve">1–10: 12% (3)</w:t>
              <w:br/>
              <w:t xml:space="preserve">11-20: 7.7% (2)</w:t>
              <w:br/>
              <w:t xml:space="preserve">&gt;21: 15% (4)</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84% (16)</w:t>
              <w:br/>
              <w:t xml:space="preserve">ex: 16% (3)</w:t>
              <w:br/>
              <w:t xml:space="preserve">complete: n = 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 (15)</w:t>
              <w:br/>
              <w:t xml:space="preserve">ex: 35% (8)</w:t>
              <w:br/>
              <w:t xml:space="preserve">complete: n = 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52% (12)</w:t>
              <w:br/>
              <w:t xml:space="preserve">ex: 48% (11)</w:t>
              <w:br/>
              <w:t xml:space="preserve">complete: n = 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 (17)</w:t>
              <w:br/>
              <w:t xml:space="preserve">ex: 35% (9)</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.19)</w:t>
            </w:r>
          </w:p>
        </w:tc>
      </w:tr>
    </w:tbl>
    <w:p>
      <w:pPr>
        <w:pStyle w:val="Compact"/>
      </w:pPr>
      <w:bookmarkStart w:id="317c2439-c944-4d35-bc9a-89a122823e85" w:name="tab-baseline-severity"/>
      <w:r>
        <w:rPr>
          <w:b/>
        </w:rPr>
        <w:t xml:space="preserve">Table 3:</w:t>
      </w:r>
      <w:r>
        <w:rPr>
          <w:b/>
        </w:rPr>
        <w:t xml:space="preserve"> </w:t>
      </w:r>
      <w:bookmarkEnd w:id="317c2439-c944-4d35-bc9a-89a122823e85"/>
      <w:r>
        <w:t xml:space="preserve">Baseline characteristic of the acute COVID-19 severity subsets. Statistical significance of the differences between the severity subsets was assessed with</w:t>
      </w:r>
      <w:r>
        <w:t xml:space="preserve"> </w:t>
      </w:r>
      <m:oMath>
        <m:sSup>
          <m:e>
            <m:r>
              <m:t>χ</m:t>
            </m:r>
          </m:e>
          <m:sup>
            <m:r>
              <m:t>2</m:t>
            </m:r>
          </m:sup>
        </m:sSup>
      </m:oMath>
      <w:r>
        <w:t xml:space="preserve"> </w:t>
      </w:r>
      <w:r>
        <w:t xml:space="preserve">(categorical variables) or Mann-Whitney U test (age).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1-year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(58)</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(54)</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(47)</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(49)</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(41)</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(31)</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(19)</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(18)</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(25)</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(14)</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(6)</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(8)</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(59)</w:t>
              <w:br/>
              <w:t xml:space="preserve">complete: n = 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(57)</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(47)</w:t>
              <w:br/>
              <w:t xml:space="preserve">complete: n =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(42)</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(52)</w:t>
              <w:br/>
              <w:t xml:space="preserve">complete: n = 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(47)</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(22)</w:t>
              <w:br/>
              <w:t xml:space="preserve">complete: n =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(26)</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(56)</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(50)</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(39)</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(40)</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(44)</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(45)</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(39)</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(39)</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(10)</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(8)</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(6)</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(8)</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(6)</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(6)</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(16)</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(5)</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 (9)</w:t>
              <w:br/>
              <w:t xml:space="preserve">complete: n = 91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ompact"/>
      </w:pPr>
      <w:bookmarkStart w:id="aac95cfa-16b6-4cab-8fc4-cac5542cf4bd" w:name="tab-ct-cohort"/>
      <w:r>
        <w:rPr>
          <w:b/>
        </w:rPr>
        <w:t xml:space="preserve">Table 4:</w:t>
      </w:r>
      <w:r>
        <w:rPr>
          <w:b/>
        </w:rPr>
        <w:t xml:space="preserve"> </w:t>
      </w:r>
      <w:bookmarkEnd w:id="aac95cfa-16b6-4cab-8fc4-cac5542cf4bd"/>
      <w:r>
        <w:t xml:space="preserve">Lung CT features in the entire cohort at the consecutive follow-up visits. Statistical significance of the differences between the visits was assessed with</w:t>
      </w:r>
      <w:r>
        <w:t xml:space="preserve"> </w:t>
      </w:r>
      <m:oMath>
        <m:sSup>
          <m:e>
            <m:r>
              <m:t>χ</m:t>
            </m:r>
          </m:e>
          <m:sup>
            <m:r>
              <m:t>2</m:t>
            </m:r>
          </m:sup>
        </m:sSup>
      </m:oMath>
      <w:r>
        <w:t xml:space="preserve"> </w:t>
      </w:r>
      <w:r>
        <w:t xml:space="preserve">test.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53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1-year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.29)</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(6)</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.14)</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(3)</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.57)</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(1)</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.58)</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.39)</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.62)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(16)</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.083)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(13)</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(15)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(5)</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(15)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.26)</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(13)</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(8)</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(3)</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(2)</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(16)</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(6)</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(14)</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(13)</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(17)</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(15)</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(13)</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(12)</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.77)</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.0096</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(23)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(20)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.79)</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(13)</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(18)</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(12)</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.0067</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(16)</w:t>
              <w:br/>
              <w:t xml:space="preserve">complete: n = 18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(23)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(18)</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(18)</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(16)</w:t>
              <w:br/>
              <w:t xml:space="preserve">complete: n = 18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.016</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(15)</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(21)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.06)</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(4)</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(4)</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(6)</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(5)</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.0034</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ompact"/>
      </w:pPr>
      <w:bookmarkStart w:id="14e70d1f-646c-4830-bd72-62c2358219a0" w:name="tab-ct-visits"/>
      <w:r>
        <w:rPr>
          <w:b/>
        </w:rPr>
        <w:t xml:space="preserve">Table 5:</w:t>
      </w:r>
      <w:r>
        <w:rPr>
          <w:b/>
        </w:rPr>
        <w:t xml:space="preserve"> </w:t>
      </w:r>
      <w:bookmarkEnd w:id="14e70d1f-646c-4830-bd72-62c2358219a0"/>
      <w:r>
        <w:t xml:space="preserve">Lung CT features in the acute COVID-19 severity subsets at the consecutive follow-up visits. Statistical significance of the differences between the visits was assessed with</w:t>
      </w:r>
      <w:r>
        <w:t xml:space="preserve"> </w:t>
      </w:r>
      <m:oMath>
        <m:sSup>
          <m:e>
            <m:r>
              <m:t>χ</m:t>
            </m:r>
          </m:e>
          <m:sup>
            <m:r>
              <m:t>2</m:t>
            </m:r>
          </m:sup>
        </m:sSup>
      </m:oMath>
      <w:r>
        <w:t xml:space="preserve"> </w:t>
      </w:r>
      <w:r>
        <w:t xml:space="preserve">test.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53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Visit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(16)</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(13)</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.0016</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(12)</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(6)</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(16)</w:t>
              <w:br/>
              <w:t xml:space="preserve">complete: n = 18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.0081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(15)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(17)</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(16)</w:t>
              <w:br/>
              <w:t xml:space="preserve">complete: n = 18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(15)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(13)</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(15)</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(3)</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.48)</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(6)</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(2)</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.98)</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(16)</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(23)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(6)</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(18)</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(14)</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(23)</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(3)</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(15)</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(13)</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(21)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.85)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(4)</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.97)</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(20)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.0085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.036</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(13)</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(13)</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(18)</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(5)</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.025</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(8)</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(12)</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.041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(4)</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.27)</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.18)</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.015</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360-day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.0016</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(18)</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(1)</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.0019</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.47)</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(6)</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(5)</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.0042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.16)</w:t>
            </w:r>
          </w:p>
        </w:tc>
      </w:tr>
      <w:tr>
        <w:trPr>
          <w:cantSplit/>
          <w:trHeight w:val="360" w:hRule="auto"/>
        </w:trPr>
        <w:tc>
          <w:tcPr>
            <w:vMerge/>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.0044</w:t>
            </w:r>
          </w:p>
        </w:tc>
      </w:tr>
    </w:tbl>
    <w:p>
      <w:pPr>
        <w:pStyle w:val="Compact"/>
      </w:pPr>
      <w:bookmarkStart w:id="25163267-f36f-4a33-854a-9b344247b833" w:name="tab-ct-severity"/>
      <w:r>
        <w:rPr>
          <w:b/>
        </w:rPr>
        <w:t xml:space="preserve">Table 6:</w:t>
      </w:r>
      <w:r>
        <w:rPr>
          <w:b/>
        </w:rPr>
        <w:t xml:space="preserve"> </w:t>
      </w:r>
      <w:bookmarkEnd w:id="25163267-f36f-4a33-854a-9b344247b833"/>
      <w:r>
        <w:t xml:space="preserve">Lung CT features in the acute COVID-19 severity subsets at the consecutive follow-up visits. Statistical significance of the differences between the severity subsets was assessed with</w:t>
      </w:r>
      <w:r>
        <w:t xml:space="preserve"> </w:t>
      </w:r>
      <m:oMath>
        <m:sSup>
          <m:e>
            <m:r>
              <m:t>χ</m:t>
            </m:r>
          </m:e>
          <m:sup>
            <m:r>
              <m:t>2</m:t>
            </m:r>
          </m:sup>
        </m:sSup>
      </m:oMath>
      <w:r>
        <w:t xml:space="preserve"> </w:t>
      </w:r>
      <w:r>
        <w:t xml:space="preserve">test.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984"/>
        <w:gridCol w:w="1984"/>
        <w:gridCol w:w="1984"/>
        <w:gridCol w:w="198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1-year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7.4 (6.3)</w:t>
              <w:br/>
              <w:t xml:space="preserve">median(IQR) = 6.5 (1 - 13)</w:t>
              <w:br/>
              <w:t xml:space="preserve">range = 0 - 20</w:t>
              <w:br/>
              <w:t xml:space="preserve">complete: n = 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5 (5.6)</w:t>
              <w:br/>
              <w:t xml:space="preserve">median(IQR) = 3 (0 - 9)</w:t>
              <w:br/>
              <w:t xml:space="preserve">range = 0 - 20</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3.9 (4.4)</w:t>
              <w:br/>
              <w:t xml:space="preserve">median(IQR) = 2 (0 - 7)</w:t>
              <w:br/>
              <w:t xml:space="preserve">range = 0 - 15</w:t>
              <w:br/>
              <w:t xml:space="preserve">complete: n = 70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2.9 (4.2)</w:t>
              <w:br/>
              <w:t xml:space="preserve">median(IQR) = 1 (0 - 5)</w:t>
              <w:br/>
              <w:t xml:space="preserve">range = 0 - 15</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1.5 (2.9)</w:t>
              <w:br/>
              <w:t xml:space="preserve">median(IQR) = 0 (0 - 1.5)</w:t>
              <w:br/>
              <w:t xml:space="preserve">range = 0 - 9</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0.88 (2.4)</w:t>
              <w:br/>
              <w:t xml:space="preserve">median(IQR) = 0 (0 - 0)</w:t>
              <w:br/>
              <w:t xml:space="preserve">range = 0 - 9</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0.86 (1.5)</w:t>
              <w:br/>
              <w:t xml:space="preserve">median(IQR) = 0 (0 - 1.5)</w:t>
              <w:br/>
              <w:t xml:space="preserve">range = 0 - 3</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0.21 (0.71)</w:t>
              <w:br/>
              <w:t xml:space="preserve">median(IQR) = 0 (0 - 0)</w:t>
              <w:br/>
              <w:t xml:space="preserve">range = 0 - 3</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6.2 (5.9)</w:t>
              <w:br/>
              <w:t xml:space="preserve">median(IQR) = 4.5 (0.25 - 9.8)</w:t>
              <w:br/>
              <w:t xml:space="preserve">range = 0 - 20</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3 (3.6)</w:t>
              <w:br/>
              <w:t xml:space="preserve">median(IQR) = 2 (0 - 5.5)</w:t>
              <w:br/>
              <w:t xml:space="preserve">range = 0 - 10</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2.4 (3)</w:t>
              <w:br/>
              <w:t xml:space="preserve">median(IQR) = 1 (0 - 5)</w:t>
              <w:br/>
              <w:t xml:space="preserve">range = 0 - 8</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1.6 (2.6)</w:t>
              <w:br/>
              <w:t xml:space="preserve">median(IQR) = 0 (0 - 2)</w:t>
              <w:br/>
              <w:t xml:space="preserve">range = 0 - 8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8.7 (5.3)</w:t>
              <w:br/>
              <w:t xml:space="preserve">median(IQR) = 9 (5 - 13)</w:t>
              <w:br/>
              <w:t xml:space="preserve">range = 0 - 19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4.2 (3.9)</w:t>
              <w:br/>
              <w:t xml:space="preserve">median(IQR) = 3.5 (1 - 7)</w:t>
              <w:br/>
              <w:t xml:space="preserve">range = 0 - 13</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3 (3.7)</w:t>
              <w:br/>
              <w:t xml:space="preserve">median(IQR) = 1 (0 - 5)</w:t>
              <w:br/>
              <w:t xml:space="preserve">range = 0 - 13</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2.6 (3.5)</w:t>
              <w:br/>
              <w:t xml:space="preserve">median(IQR) = 1 (0 - 4)</w:t>
              <w:br/>
              <w:t xml:space="preserve">range = 0 - 13</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12 (6.1)</w:t>
              <w:br/>
              <w:t xml:space="preserve">median(IQR) = 15 (10 - 15)</w:t>
              <w:br/>
              <w:t xml:space="preserve">range = 0 - 20</w:t>
              <w:br/>
              <w:t xml:space="preserve">complete: n = 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10 (6.1)</w:t>
              <w:br/>
              <w:t xml:space="preserve">median(IQR) = 12 (5 - 15)</w:t>
              <w:br/>
              <w:t xml:space="preserve">range = 0 - 20</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7.1 (5.1)</w:t>
              <w:br/>
              <w:t xml:space="preserve">median(IQR) = 6.5 (2.2 - 10)</w:t>
              <w:br/>
              <w:t xml:space="preserve">range = 0 - 15</w:t>
              <w:br/>
              <w:t xml:space="preserve">complete: n = 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6.4 (5.2)</w:t>
              <w:br/>
              <w:t xml:space="preserve">median(IQR) = 5 (2 - 11)</w:t>
              <w:br/>
              <w:t xml:space="preserve">range = 0 - 15</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.0033</w:t>
            </w:r>
          </w:p>
        </w:tc>
      </w:tr>
    </w:tbl>
    <w:p>
      <w:pPr>
        <w:pStyle w:val="Compact"/>
      </w:pPr>
      <w:bookmarkStart w:id="cff3be55-1efb-42c4-a867-d801823c4fb8" w:name="tab-ctss"/>
      <w:r>
        <w:rPr>
          <w:b/>
        </w:rPr>
        <w:t xml:space="preserve">Table 7:</w:t>
      </w:r>
      <w:r>
        <w:rPr>
          <w:b/>
        </w:rPr>
        <w:t xml:space="preserve"> </w:t>
      </w:r>
      <w:bookmarkEnd w:id="cff3be55-1efb-42c4-a867-d801823c4fb8"/>
      <w:r>
        <w:t xml:space="preserve">CT severity score at the consecutive visits in the entire cohort and the acute COVID-19 severity subsets. Statistical significance of the differences between the visits was assessed with Kruskal-Wallis test.</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020"/>
        <w:gridCol w:w="1984"/>
        <w:gridCol w:w="1984"/>
        <w:gridCol w:w="1984"/>
        <w:gridCol w:w="198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6-month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1-year FUP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Significance</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Opacity, % lung volume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3.3 (7.2)</w:t>
              <w:br/>
              <w:t xml:space="preserve">median(IQR) = 0.27 (0.002 - 3.3)</w:t>
              <w:br/>
              <w:t xml:space="preserve">range = 0 - 37</w:t>
              <w:br/>
              <w:t xml:space="preserve">complete: n = 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2.4 (5.9)</w:t>
              <w:br/>
              <w:t xml:space="preserve">median(IQR) = 0.11 (0 - 1.2)</w:t>
              <w:br/>
              <w:t xml:space="preserve">range = 0 - 38</w:t>
              <w:br/>
              <w:t xml:space="preserve">complete: n = 86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0.64 (1.7)</w:t>
              <w:br/>
              <w:t xml:space="preserve">median(IQR) = 0.06 (0 - 0.5)</w:t>
              <w:br/>
              <w:t xml:space="preserve">range = 0 - 12</w:t>
              <w:br/>
              <w:t xml:space="preserve">complete: n =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0.25 (0.73)</w:t>
              <w:br/>
              <w:t xml:space="preserve">median(IQR) = 0 (0 - 0.12)</w:t>
              <w:br/>
              <w:t xml:space="preserve">range = 0 - 6.2</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0.05 (0.11)</w:t>
              <w:br/>
              <w:t xml:space="preserve">median(IQR) = 0 (0 - 0.028)</w:t>
              <w:br/>
              <w:t xml:space="preserve">range = 0 - 0.33</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0.082 (0.2)</w:t>
              <w:br/>
              <w:t xml:space="preserve">median(IQR) = 0 (0 - 0)</w:t>
              <w:br/>
              <w:t xml:space="preserve">range = 0 - 0.74</w:t>
              <w:br/>
              <w:t xml:space="preserve">complete: n =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0.041 (0.07)</w:t>
              <w:br/>
              <w:t xml:space="preserve">median(IQR) = 0 (0 - 0.06)</w:t>
              <w:br/>
              <w:t xml:space="preserve">range = 0 - 0.17</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0.01 (0.037)</w:t>
              <w:br/>
              <w:t xml:space="preserve">median(IQR) = 0 (0 - 0)</w:t>
              <w:br/>
              <w:t xml:space="preserve">range = 0 - 0.16</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0.97 (1.6)</w:t>
              <w:br/>
              <w:t xml:space="preserve">median(IQR) = 0.11 (0.017 - 1.1)</w:t>
              <w:br/>
              <w:t xml:space="preserve">range = 0 - 5.2</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0.57 (1.1)</w:t>
              <w:br/>
              <w:t xml:space="preserve">median(IQR) = 0.044 (0 - 0.56)</w:t>
              <w:br/>
              <w:t xml:space="preserve">range = 0 - 4.8</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0.39 (0.75)</w:t>
              <w:br/>
              <w:t xml:space="preserve">median(IQR) = 0.04 (0 - 0.43)</w:t>
              <w:br/>
              <w:t xml:space="preserve">range = 0 - 3.3</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0.12 (0.28)</w:t>
              <w:br/>
              <w:t xml:space="preserve">median(IQR) = 0 (0 - 0.03)</w:t>
              <w:br/>
              <w:t xml:space="preserve">range = 0 - 0.91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2.1 (3.3)</w:t>
              <w:br/>
              <w:t xml:space="preserve">median(IQR) = 0.37 (0.046 - 3.2)</w:t>
              <w:br/>
              <w:t xml:space="preserve">range = 0 - 12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0.57 (1.3)</w:t>
              <w:br/>
              <w:t xml:space="preserve">median(IQR) = 0.068 (0 - 0.5)</w:t>
              <w:br/>
              <w:t xml:space="preserve">range = 0 - 5.7</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0.86 (2.7)</w:t>
              <w:br/>
              <w:t xml:space="preserve">median(IQR) = 0.01 (0 - 0.23)</w:t>
              <w:br/>
              <w:t xml:space="preserve">range = 0 - 12</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0.18 (0.46)</w:t>
              <w:br/>
              <w:t xml:space="preserve">median(IQR) = 0.02 (0 - 0.065)</w:t>
              <w:br/>
              <w:t xml:space="preserve">range = 0 - 2</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.008</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10 (12)</w:t>
              <w:br/>
              <w:t xml:space="preserve">median(IQR) = 7.6 (0.34 - 11)</w:t>
              <w:br/>
              <w:t xml:space="preserve">range = 0 - 37</w:t>
              <w:br/>
              <w:t xml:space="preserve">complete: n = 18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6.9 (9.3)</w:t>
              <w:br/>
              <w:t xml:space="preserve">median(IQR) = 2.9 (0.28 - 11)</w:t>
              <w:br/>
              <w:t xml:space="preserve">range = 0 - 38</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0.84 (1.1)</w:t>
              <w:br/>
              <w:t xml:space="preserve">median(IQR) = 0.3 (0.028 - 0.9)</w:t>
              <w:br/>
              <w:t xml:space="preserve">range = 0 - 3.7</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0.59 (1.2)</w:t>
              <w:br/>
              <w:t xml:space="preserve">median(IQR) = 0.28 (0 - 0.67)</w:t>
              <w:br/>
              <w:t xml:space="preserve">range = 0 - 6.2</w:t>
              <w:br/>
              <w:t xml:space="preserve">complete: n = 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 opacity, % lung volume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0.24 (0.53)</w:t>
              <w:br/>
              <w:t xml:space="preserve">median(IQR) = 0.009 (0 - 0.16)</w:t>
              <w:br/>
              <w:t xml:space="preserve">range = 0 - 2.5</w:t>
              <w:br/>
              <w:t xml:space="preserve">complete: n = 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0.12 (0.33)</w:t>
              <w:br/>
              <w:t xml:space="preserve">median(IQR) = 0.0035 (0 - 0.06)</w:t>
              <w:br/>
              <w:t xml:space="preserve">range = 0 - 2.4</w:t>
              <w:br/>
              <w:t xml:space="preserve">complete: n = 84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0.015 (0.058)</w:t>
              <w:br/>
              <w:t xml:space="preserve">median(IQR) = 0 (0 - 0.01)</w:t>
              <w:br/>
              <w:t xml:space="preserve">range = 0 - 0.46</w:t>
              <w:br/>
              <w:t xml:space="preserve">complete: n =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0.0084 (0.021)</w:t>
              <w:br/>
              <w:t xml:space="preserve">median(IQR) = 0 (0 - 0.01)</w:t>
              <w:br/>
              <w:t xml:space="preserve">range = 0 - 0.11</w:t>
              <w:br/>
              <w:t xml:space="preserve">complete: n = 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0.016 (0.045)</w:t>
              <w:br/>
              <w:t xml:space="preserve">median(IQR) = 0 (0 - 0.00075)</w:t>
              <w:br/>
              <w:t xml:space="preserve">range = 0 - 0.16</w:t>
              <w:br/>
              <w:t xml:space="preserve">complete: n = 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0.014 (0.038)</w:t>
              <w:br/>
              <w:t xml:space="preserve">median(IQR) = 0 (0 - 0)</w:t>
              <w:br/>
              <w:t xml:space="preserve">range = 0 - 0.12</w:t>
              <w:br/>
              <w:t xml:space="preserve">complete: n = 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0.0071 (0.013)</w:t>
              <w:br/>
              <w:t xml:space="preserve">median(IQR) = 0 (0 - 0.01)</w:t>
              <w:br/>
              <w:t xml:space="preserve">range = 0 - 0.03</w:t>
              <w:br/>
              <w:t xml:space="preserve">complete: n = 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0.0032 (0.012)</w:t>
              <w:br/>
              <w:t xml:space="preserve">median(IQR) = 0 (0 - 0)</w:t>
              <w:br/>
              <w:t xml:space="preserve">range = 0 - 0.05</w:t>
              <w:br/>
              <w:t xml:space="preserve">complete: n = 19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.59)</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0.18 (0.56)</w:t>
              <w:br/>
              <w:t xml:space="preserve">median(IQR) = 0.0035 (0 - 0.014)</w:t>
              <w:br/>
              <w:t xml:space="preserve">range = 0 - 2.5</w:t>
              <w:br/>
              <w:t xml:space="preserve">complete: n = 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0.17 (0.53)</w:t>
              <w:br/>
              <w:t xml:space="preserve">median(IQR) = 0 (0 - 0.027)</w:t>
              <w:br/>
              <w:t xml:space="preserve">range = 0 - 2.4</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0.0067 (0.02)</w:t>
              <w:br/>
              <w:t xml:space="preserve">median(IQR) = 0 (0 - 0)</w:t>
              <w:br/>
              <w:t xml:space="preserve">range = 0 - 0.09</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0.0026 (0.0092)</w:t>
              <w:br/>
              <w:t xml:space="preserve">median(IQR) = 0 (0 - 0)</w:t>
              <w:br/>
              <w:t xml:space="preserve">range = 0 - 0.04</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0.074 (0.15)</w:t>
              <w:br/>
              <w:t xml:space="preserve">median(IQR) = 0.02 (5e-04 - 0.063)</w:t>
              <w:br/>
              <w:t xml:space="preserve">range = 0 - 0.69</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0.027 (0.088)</w:t>
              <w:br/>
              <w:t xml:space="preserve">median(IQR) = 0.0015 (0 - 0.01)</w:t>
              <w:br/>
              <w:t xml:space="preserve">range = 0 - 0.4</w:t>
              <w:br/>
              <w:t xml:space="preserve">complete: n = 20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0.025 (0.1)</w:t>
              <w:br/>
              <w:t xml:space="preserve">median(IQR) = 0 (0 - 0)</w:t>
              <w:br/>
              <w:t xml:space="preserve">range = 0 - 0.46</w:t>
              <w:br/>
              <w:t xml:space="preserve">complete: n =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0.0065 (0.023)</w:t>
              <w:br/>
              <w:t xml:space="preserve">median(IQR) = 0 (0 - 0)</w:t>
              <w:br/>
              <w:t xml:space="preserve">range = 0 - 0.11</w:t>
              <w:br/>
              <w:t xml:space="preserve">complete: n = 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0.69 (0.74)</w:t>
              <w:br/>
              <w:t xml:space="preserve">median(IQR) = 0.39 (0.065 - 1.1)</w:t>
              <w:br/>
              <w:t xml:space="preserve">range = 0 - 2.1</w:t>
              <w:br/>
              <w:t xml:space="preserve">complete: n = 18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0.22 (0.29)</w:t>
              <w:br/>
              <w:t xml:space="preserve">median(IQR) = 0.076 (0.01 - 0.37)</w:t>
              <w:br/>
              <w:t xml:space="preserve">range = 0 - 1</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0.017 (0.035)</w:t>
              <w:br/>
              <w:t xml:space="preserve">median(IQR) = 0.005 (0 - 0.017)</w:t>
              <w:br/>
              <w:t xml:space="preserve">range = 0 - 0.16</w:t>
              <w:br/>
              <w:t xml:space="preserve">complete: n = 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0.019 (0.028)</w:t>
              <w:br/>
              <w:t xml:space="preserve">median(IQR) = 0.01 (0 - 0.02)</w:t>
              <w:br/>
              <w:t xml:space="preserve">range = 0 - 0.11</w:t>
              <w:br/>
              <w:t xml:space="preserve">complete: n = 26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bl>
    <w:p>
      <w:pPr>
        <w:pStyle w:val="Compact"/>
      </w:pPr>
      <w:bookmarkStart w:id="a975c17e-5cdf-42b3-b06f-de7453496eea" w:name="tab-opacity"/>
      <w:r>
        <w:rPr>
          <w:b/>
        </w:rPr>
        <w:t xml:space="preserve">Table 8:</w:t>
      </w:r>
      <w:r>
        <w:rPr>
          <w:b/>
        </w:rPr>
        <w:t xml:space="preserve"> </w:t>
      </w:r>
      <w:bookmarkEnd w:id="a975c17e-5cdf-42b3-b06f-de7453496eea"/>
      <w:r>
        <w:t xml:space="preserve">Percentages of opacity and high opacity at the consecutive visits in the entire cohort and the acute COVID-19 severity subsets. Statistical significance of the differences between the visits was assessed with Kruskal-Wallis test.</w:t>
      </w:r>
    </w:p>
    <w:p>
      <w:r>
        <w:br w:type="page"/>
      </w:r>
    </w:p>
    <w:p>
      <w:pPr>
        <w:pStyle w:val="Heading1"/>
      </w:pPr>
      <w:bookmarkStart w:id="21" w:name="sec:figures"/>
      <w:r>
        <w:t xml:space="preserve">Figures</w:t>
      </w:r>
      <w:bookmarkEnd w:id="21"/>
    </w:p>
    <w:p>
      <w:pPr>
        <w:pStyle w:val="CaptionedFigure"/>
      </w:pPr>
      <w:r>
        <w:drawing>
          <wp:inline>
            <wp:extent cx="5334000" cy="6223000"/>
            <wp:effectExtent b="0" l="0" r="0" t="0"/>
            <wp:docPr descr="Figure 1: Study inclusion flow diagram." title="" id="1" name="Picture"/>
            <a:graphic>
              <a:graphicData uri="http://schemas.openxmlformats.org/drawingml/2006/picture">
                <pic:pic>
                  <pic:nvPicPr>
                    <pic:cNvPr descr="C:\Users\piotr\Desktop\radio%20covILD\paper\figures_files/figure-docx/fig-consort-1.pdf"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1: Study inclusion flow diagram.</w:t>
      </w:r>
    </w:p>
    <w:p>
      <w:pPr>
        <w:pStyle w:val="BodyText"/>
      </w:pPr>
      <w:r>
        <w:rPr>
          <w:b/>
        </w:rPr>
        <w:t xml:space="preserve">Figure</w:t>
      </w:r>
      <w:r>
        <w:rPr>
          <w:b/>
        </w:rPr>
        <w:t xml:space="preserve"> </w:t>
      </w:r>
      <w:r>
        <w:rPr>
          <w:b/>
        </w:rPr>
        <w:t xml:space="preserve">1</w:t>
      </w:r>
      <w:r>
        <w:rPr>
          <w:b/>
        </w:rPr>
        <w:t xml:space="preserve">. Study inclusion flow diagram.</w:t>
      </w:r>
    </w:p>
    <w:p>
      <w:r>
        <w:br w:type="page"/>
      </w:r>
    </w:p>
    <w:p>
      <w:pPr>
        <w:pStyle w:val="CaptionedFigure"/>
      </w:pPr>
      <w:r>
        <w:drawing>
          <wp:inline>
            <wp:extent cx="5334000" cy="6223000"/>
            <wp:effectExtent b="0" l="0" r="0" t="0"/>
            <wp:docPr descr="Figure 2: Resolution kinetic of any and moderate-to-severe lung CT abnormalities." title="" id="1" name="Picture"/>
            <a:graphic>
              <a:graphicData uri="http://schemas.openxmlformats.org/drawingml/2006/picture">
                <pic:pic>
                  <pic:nvPicPr>
                    <pic:cNvPr descr="C:\Users\piotr\Desktop\radio%20covILD\paper\figures_files/figure-docx/fig-ct-kinetic-1.pdf"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Resolution kinetic of any and moderate-to-severe lung CT abnormalities.</w:t>
      </w:r>
    </w:p>
    <w:p>
      <w:pPr>
        <w:pStyle w:val="BodyText"/>
      </w:pPr>
      <w:r>
        <w:rPr>
          <w:b/>
        </w:rPr>
        <w:t xml:space="preserve">Figure</w:t>
      </w:r>
      <w:r>
        <w:rPr>
          <w:b/>
        </w:rPr>
        <w:t xml:space="preserve"> </w:t>
      </w:r>
      <w:r>
        <w:rPr>
          <w:b/>
        </w:rPr>
        <w:t xml:space="preserve">2</w:t>
      </w:r>
      <w:r>
        <w:rPr>
          <w:b/>
        </w:rPr>
        <w:t xml:space="preserve">. Resolution kinetic of any and moderate-to-severe lung CT abnormalities.</w:t>
      </w:r>
    </w:p>
    <w:p>
      <w:pPr>
        <w:pStyle w:val="BodyText"/>
      </w:pPr>
      <w:r>
        <w:t xml:space="preserve">Risk of any lung CT abnormalities (</w:t>
      </w:r>
      <w:r>
        <w:rPr>
          <w:b/>
        </w:rPr>
        <w:t xml:space="preserve">A</w:t>
      </w:r>
      <w:r>
        <w:t xml:space="preserve">) and moderate-to-severe lung CT abnormalities (CTSS &gt; 5,</w:t>
      </w:r>
      <w:r>
        <w:t xml:space="preserve"> </w:t>
      </w:r>
      <w:r>
        <w:rPr>
          <w:b/>
        </w:rPr>
        <w:t xml:space="preserve">B</w:t>
      </w:r>
      <w:r>
        <w:t xml:space="preserve">)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 Plots display percents of individuals with CT abnormalities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r>
        <w:br w:type="page"/>
      </w:r>
    </w:p>
    <w:p>
      <w:pPr>
        <w:pStyle w:val="CaptionedFigure"/>
      </w:pPr>
      <w:r>
        <w:drawing>
          <wp:inline>
            <wp:extent cx="5334000" cy="6223000"/>
            <wp:effectExtent b="0" l="0" r="0" t="0"/>
            <wp:docPr descr="Figure 3: Kinetic of the CT severity score." title="" id="1" name="Picture"/>
            <a:graphic>
              <a:graphicData uri="http://schemas.openxmlformats.org/drawingml/2006/picture">
                <pic:pic>
                  <pic:nvPicPr>
                    <pic:cNvPr descr="C:\Users\piotr\Desktop\radio%20covILD\paper\figures_files/figure-docx/fig-ctss-kinetic-1.pdf"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Kinetic of the CT severity score.</w:t>
      </w:r>
    </w:p>
    <w:p>
      <w:pPr>
        <w:pStyle w:val="BodyText"/>
      </w:pPr>
      <w:r>
        <w:rPr>
          <w:b/>
        </w:rPr>
        <w:t xml:space="preserve">Figure</w:t>
      </w:r>
      <w:r>
        <w:rPr>
          <w:b/>
        </w:rPr>
        <w:t xml:space="preserve"> </w:t>
      </w:r>
      <w:r>
        <w:rPr>
          <w:b/>
        </w:rPr>
        <w:t xml:space="preserve">3</w:t>
      </w:r>
      <w:r>
        <w:rPr>
          <w:b/>
        </w:rPr>
        <w:t xml:space="preserve">. Kinetic of the CT severity score.</w:t>
      </w:r>
    </w:p>
    <w:p>
      <w:pPr>
        <w:pStyle w:val="BodyText"/>
      </w:pPr>
      <w:r>
        <w:t xml:space="preserve">CTSS kinetic at the consecutive time points was investigated by Friedman test (grouping by the individual) in the entire cohort and the acute COVID-19 severity subsets. The effect size was determined by Kendall W test, differences between particular time points were compared by Wilcoxon test. Plots display individual CTSS value trajectories as thin gray lines, thick colored lines represent medians, interquartile ranges are presented as colored regions.</w:t>
      </w:r>
      <w:r>
        <w:t xml:space="preserve"> </w:t>
      </w:r>
      <m:oMath>
        <m:r>
          <m:t>χ</m:t>
        </m:r>
      </m:oMath>
      <w:r>
        <w:t xml:space="preserve"> </w:t>
      </w:r>
      <w:r>
        <w:t xml:space="preserve">statistic, degrees of freedom and p values of the Friedman test and the Kendall W statistic with 95</w:t>
      </w:r>
      <m:oMath/>
      <w:r>
        <w:t xml:space="preserve"> </w:t>
      </w:r>
      <w:r>
        <w:t xml:space="preserve">confidence intervals are presented in the plot captions. Numbers of individuals with the complete set of consecutive CT scans are shown under the plots.</w:t>
      </w:r>
    </w:p>
    <w:p>
      <w:r>
        <w:br w:type="page"/>
      </w:r>
    </w:p>
    <w:p>
      <w:pPr>
        <w:pStyle w:val="CaptionedFigure"/>
      </w:pPr>
      <w:r>
        <w:drawing>
          <wp:inline>
            <wp:extent cx="5334000" cy="6223000"/>
            <wp:effectExtent b="0" l="0" r="0" t="0"/>
            <wp:docPr descr="Figure 4: Risk of developing PILI at the one-year post-COVID-19 follow-up." title="" id="1" name="Picture"/>
            <a:graphic>
              <a:graphicData uri="http://schemas.openxmlformats.org/drawingml/2006/picture">
                <pic:pic>
                  <pic:nvPicPr>
                    <pic:cNvPr descr="C:\Users\piotr\Desktop\radio%20covILD\paper\figures_files/figure-docx/fig-pili-risk-1.pdf"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Risk of developing PILI at the one-year post-COVID-19 follow-up.</w:t>
      </w:r>
    </w:p>
    <w:p>
      <w:pPr>
        <w:pStyle w:val="BodyText"/>
      </w:pPr>
      <w:r>
        <w:rPr>
          <w:b/>
        </w:rPr>
        <w:t xml:space="preserve">Figure</w:t>
      </w:r>
      <w:r>
        <w:rPr>
          <w:b/>
        </w:rPr>
        <w:t xml:space="preserve"> </w:t>
      </w:r>
      <w:r>
        <w:rPr>
          <w:b/>
        </w:rPr>
        <w:t xml:space="preserve">4</w:t>
      </w:r>
      <w:r>
        <w:rPr>
          <w:b/>
        </w:rPr>
        <w:t xml:space="preserve">. Risk of developing PILI at the one-year post-COVID-19 follow-up.</w:t>
      </w:r>
    </w:p>
    <w:p>
      <w:pPr>
        <w:pStyle w:val="BodyText"/>
      </w:pPr>
      <w:r>
        <w:rPr>
          <w:b/>
        </w:rPr>
        <w:t xml:space="preserve">(A)</w:t>
      </w:r>
      <w:r>
        <w:t xml:space="preserve"> </w:t>
      </w:r>
      <w:r>
        <w:t xml:space="preserve">Risk factors of developing any lung CT abnormality at the one-year follow-up visit were identified by a series of logistic models. Odds ratio (OR) significance was determined by Wald Z test. OR with 95</w:t>
      </w: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risk factors of lung CT abnormality were identified by multi-parameter logistic modeling with backward elimination. OR significance was determined by Wald Z test. Model prediction was verified by 20-fold cross-validation (CV) and receiver-operating characteristic (ROC). OR with 95</w:t>
      </w:r>
      <m:oMath/>
      <w:r>
        <w:t xml:space="preserve"> </w:t>
      </w:r>
      <w:r>
        <w:t xml:space="preserve">confidence intervals are presented in a Forest plot. Area under the curve (AUC), sensitivity (Se) and specificity (Sp) for detection of lung CT abnormality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p>
      <w:r>
        <w:br w:type="page"/>
      </w:r>
    </w:p>
    <w:p>
      <w:pPr>
        <w:pStyle w:val="CaptionedFigure"/>
      </w:pPr>
      <w:r>
        <w:drawing>
          <wp:inline>
            <wp:extent cx="5334000" cy="6223000"/>
            <wp:effectExtent b="0" l="0" r="0" t="0"/>
            <wp:docPr descr="Figure 5: Predictors of CTSS at the one-year post-COVID-19 follow-up." title="" id="1" name="Picture"/>
            <a:graphic>
              <a:graphicData uri="http://schemas.openxmlformats.org/drawingml/2006/picture">
                <pic:pic>
                  <pic:nvPicPr>
                    <pic:cNvPr descr="C:\Users\piotr\Desktop\radio%20covILD\paper\figures_files/figure-docx/fig-ctss-model-1.pdf" id="0" name="Picture"/>
                    <pic:cNvPicPr>
                      <a:picLocks noChangeArrowheads="1" noChangeAspect="1"/>
                    </pic:cNvPicPr>
                  </pic:nvPicPr>
                  <pic:blipFill>
                    <a:blip r:embed="rId26"/>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Predictors of CTSS at the one-year post-COVID-19 follow-up.</w:t>
      </w:r>
    </w:p>
    <w:p>
      <w:pPr>
        <w:pStyle w:val="BodyText"/>
      </w:pPr>
      <w:r>
        <w:rPr>
          <w:b/>
        </w:rPr>
        <w:t xml:space="preserve">Figure</w:t>
      </w:r>
      <w:r>
        <w:rPr>
          <w:b/>
        </w:rPr>
        <w:t xml:space="preserve"> </w:t>
      </w:r>
      <w:r>
        <w:rPr>
          <w:b/>
        </w:rPr>
        <w:t xml:space="preserve">5</w:t>
      </w:r>
      <w:r>
        <w:rPr>
          <w:b/>
        </w:rPr>
        <w:t xml:space="preserve">. Predictors of CTSS at the one-year post-COVID-19 follow-up.</w:t>
      </w:r>
    </w:p>
    <w:p>
      <w:pPr>
        <w:pStyle w:val="BodyText"/>
      </w:pPr>
      <w:r>
        <w:rPr>
          <w:b/>
        </w:rPr>
        <w:t xml:space="preserve">(A)</w:t>
      </w:r>
      <w:r>
        <w:t xml:space="preserve"> </w:t>
      </w:r>
      <w:r>
        <w:t xml:space="preserve">Factors associated with CTSS at the one-year follow-up visit were identified by a series of Poisson models. Regression coefficient (</w:t>
      </w:r>
      <m:oMath>
        <m:r>
          <m:t>β</m:t>
        </m:r>
      </m:oMath>
      <w:r>
        <w:t xml:space="preserve">) significance was determined by Wald Z test. Exponent</w:t>
      </w:r>
      <w:r>
        <w:t xml:space="preserve"> </w:t>
      </w:r>
      <m:oMath>
        <m:r>
          <m:t>β</m:t>
        </m:r>
      </m:oMath>
      <w:r>
        <w:t xml:space="preserve"> </w:t>
      </w:r>
      <w:r>
        <w:t xml:space="preserve">with 95</w:t>
      </w: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factors associated with CTSS were identified by multi-parameter Poisson modeling with backward elimination.</w:t>
      </w:r>
      <w:r>
        <w:t xml:space="preserve"> </w:t>
      </w:r>
      <m:oMath>
        <m:r>
          <m:t>β</m:t>
        </m:r>
      </m:oMath>
      <w:r>
        <w:t xml:space="preserve"> </w:t>
      </w:r>
      <w:r>
        <w:t xml:space="preserve">significance was determined by Wald Z test. Model prediction was verified by 20-fold cross-validation (CV). Exponent</w:t>
      </w:r>
      <w:r>
        <w:t xml:space="preserve"> </w:t>
      </w:r>
      <m:oMath>
        <m:r>
          <m:t>β</m:t>
        </m:r>
      </m:oMath>
      <w:r>
        <w:t xml:space="preserve"> </w:t>
      </w:r>
      <w:r>
        <w:t xml:space="preserve">with 95</w:t>
      </w:r>
      <m:oMath/>
      <w:r>
        <w:t xml:space="preserve"> </w:t>
      </w:r>
      <w:r>
        <w:t xml:space="preserve">confidence intervals are presented in a Forest plot. Mean absolute error (MAE) for prediction of CTSS and model R</w:t>
      </w:r>
      <w:r>
        <w:rPr>
          <w:vertAlign w:val="superscript"/>
        </w:rPr>
        <w:t xml:space="preserve">2</w:t>
      </w:r>
      <w:r>
        <w:t xml:space="preserve"> </w:t>
      </w:r>
      <w:r>
        <w:t xml:space="preserve">(Rsq)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p>
      <w:r>
        <w:br w:type="page"/>
      </w:r>
    </w:p>
    <w:p>
      <w:pPr>
        <w:pStyle w:val="Heading1"/>
      </w:pPr>
      <w:bookmarkStart w:id="27" w:name="supplementary-figures"/>
      <w:r>
        <w:t xml:space="preserve">Supplementary Figures</w:t>
      </w:r>
      <w:bookmarkEnd w:id="27"/>
    </w:p>
    <w:p>
      <w:pPr>
        <w:pStyle w:val="CaptionedFigure"/>
      </w:pPr>
      <w:r>
        <w:drawing>
          <wp:inline>
            <wp:extent cx="5334000" cy="4141694"/>
            <wp:effectExtent b="0" l="0" r="0" t="0"/>
            <wp:docPr descr="Figure 6: Resolution kinetic of lung CT opacity." title="" id="1" name="Picture"/>
            <a:graphic>
              <a:graphicData uri="http://schemas.openxmlformats.org/drawingml/2006/picture">
                <pic:pic>
                  <pic:nvPicPr>
                    <pic:cNvPr descr="C:\Users\piotr\Desktop\radio%20covILD\paper\figures_files/figure-docx/fig-ct-opacity-1.pdf" id="0" name="Picture"/>
                    <pic:cNvPicPr>
                      <a:picLocks noChangeArrowheads="1" noChangeAspect="1"/>
                    </pic:cNvPicPr>
                  </pic:nvPicPr>
                  <pic:blipFill>
                    <a:blip r:embed="rId28"/>
                    <a:stretch>
                      <a:fillRect/>
                    </a:stretch>
                  </pic:blipFill>
                  <pic:spPr bwMode="auto">
                    <a:xfrm>
                      <a:off x="0" y="0"/>
                      <a:ext cx="5334000" cy="4141694"/>
                    </a:xfrm>
                    <a:prstGeom prst="rect">
                      <a:avLst/>
                    </a:prstGeom>
                    <a:noFill/>
                    <a:ln w="9525">
                      <a:noFill/>
                      <a:headEnd/>
                      <a:tailEnd/>
                    </a:ln>
                  </pic:spPr>
                </pic:pic>
              </a:graphicData>
            </a:graphic>
          </wp:inline>
        </w:drawing>
      </w:r>
    </w:p>
    <w:p>
      <w:pPr>
        <w:pStyle w:val="ImageCaption"/>
      </w:pPr>
      <w:r>
        <w:t xml:space="preserve">Figure 6: Resolution kinetic of lung CT opacity.</w:t>
      </w:r>
    </w:p>
    <w:p>
      <w:pPr>
        <w:pStyle w:val="BodyText"/>
      </w:pPr>
      <w:r>
        <w:rPr>
          <w:b/>
        </w:rPr>
        <w:t xml:space="preserve">Figure</w:t>
      </w:r>
      <w:r>
        <w:rPr>
          <w:b/>
        </w:rPr>
        <w:t xml:space="preserve"> </w:t>
      </w:r>
      <w:r>
        <w:rPr>
          <w:b/>
        </w:rPr>
        <w:t xml:space="preserve">6</w:t>
      </w:r>
      <w:r>
        <w:rPr>
          <w:b/>
        </w:rPr>
        <w:t xml:space="preserve">. Resolution kinetic of lung CT opacity.</w:t>
      </w:r>
    </w:p>
    <w:p>
      <w:pPr>
        <w:pStyle w:val="BodyText"/>
      </w:pPr>
      <w:r>
        <w:t xml:space="preserve">Risk of any lung CT opacity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 Plots display percents of individuals with CT opacity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r>
        <w:br w:type="page"/>
      </w:r>
    </w:p>
    <w:p>
      <w:pPr>
        <w:pStyle w:val="CaptionedFigure"/>
      </w:pPr>
      <w:r>
        <w:drawing>
          <wp:inline>
            <wp:extent cx="5334000" cy="6223000"/>
            <wp:effectExtent b="0" l="0" r="0" t="0"/>
            <wp:docPr descr="Figure 7: Kinetic of the lung opacity." title="" id="1" name="Picture"/>
            <a:graphic>
              <a:graphicData uri="http://schemas.openxmlformats.org/drawingml/2006/picture">
                <pic:pic>
                  <pic:nvPicPr>
                    <pic:cNvPr descr="C:\Users\piotr\Desktop\radio%20covILD\paper\figures_files/figure-docx/fig-opacity-kinetic-1.pdf" id="0" name="Picture"/>
                    <pic:cNvPicPr>
                      <a:picLocks noChangeArrowheads="1" noChangeAspect="1"/>
                    </pic:cNvPicPr>
                  </pic:nvPicPr>
                  <pic:blipFill>
                    <a:blip r:embed="rId29"/>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7: Kinetic of the lung opacity.</w:t>
      </w:r>
    </w:p>
    <w:p>
      <w:pPr>
        <w:pStyle w:val="BodyText"/>
      </w:pPr>
      <w:r>
        <w:rPr>
          <w:b/>
        </w:rPr>
        <w:t xml:space="preserve">Figure</w:t>
      </w:r>
      <w:r>
        <w:rPr>
          <w:b/>
        </w:rPr>
        <w:t xml:space="preserve"> </w:t>
      </w:r>
      <w:r>
        <w:rPr>
          <w:b/>
        </w:rPr>
        <w:t xml:space="preserve">7</w:t>
      </w:r>
      <w:r>
        <w:rPr>
          <w:b/>
        </w:rPr>
        <w:t xml:space="preserve">. Kinetic of the lung opacity.</w:t>
      </w:r>
    </w:p>
    <w:p>
      <w:pPr>
        <w:pStyle w:val="BodyText"/>
      </w:pPr>
      <w:r>
        <w:t xml:space="preserve">Kinetic of the lung opacity at the consecutive time points was investigated by Friedman test (grouping by the individual) in the entire cohort and the acute COVID-19 severity subsets. The effect size was determined by Kendall W test, differences between particular time points were compared by Wilcoxon test. Plots display individual opacity trajectories as thin gray lines, thick colored lines represent medians, interquartile ranges are presented as colored regions.</w:t>
      </w:r>
      <w:r>
        <w:t xml:space="preserve"> </w:t>
      </w:r>
      <m:oMath>
        <m:r>
          <m:t>χ</m:t>
        </m:r>
      </m:oMath>
      <w:r>
        <w:t xml:space="preserve"> </w:t>
      </w:r>
      <w:r>
        <w:t xml:space="preserve">statistic, degrees of freedom and p values of the Friedman test and the Kendall W statistic with 95</w:t>
      </w:r>
      <m:oMath/>
      <w:r>
        <w:t xml:space="preserve"> </w:t>
      </w:r>
      <w:r>
        <w:t xml:space="preserve">confidence intervals are presented in the plot captions. Numbers of individuals with the complete set of consecutive CT scans are shown under the plots.</w:t>
      </w:r>
    </w:p>
    <w:p>
      <w:r>
        <w:br w:type="page"/>
      </w:r>
    </w:p>
    <w:p>
      <w:pPr>
        <w:pStyle w:val="CaptionedFigure"/>
      </w:pPr>
      <w:r>
        <w:drawing>
          <wp:inline>
            <wp:extent cx="5334000" cy="6515847"/>
            <wp:effectExtent b="0" l="0" r="0" t="0"/>
            <wp:docPr descr="Figure 8: Risk of developing lung opacity at the one-year post-COVID-19 follow-up." title="" id="1" name="Picture"/>
            <a:graphic>
              <a:graphicData uri="http://schemas.openxmlformats.org/drawingml/2006/picture">
                <pic:pic>
                  <pic:nvPicPr>
                    <pic:cNvPr descr="C:\Users\piotr\Desktop\radio%20covILD\paper\figures_files/figure-docx/fig-opacity-risk-1.pdf" id="0" name="Picture"/>
                    <pic:cNvPicPr>
                      <a:picLocks noChangeArrowheads="1" noChangeAspect="1"/>
                    </pic:cNvPicPr>
                  </pic:nvPicPr>
                  <pic:blipFill>
                    <a:blip r:embed="rId30"/>
                    <a:stretch>
                      <a:fillRect/>
                    </a:stretch>
                  </pic:blipFill>
                  <pic:spPr bwMode="auto">
                    <a:xfrm>
                      <a:off x="0" y="0"/>
                      <a:ext cx="5334000" cy="6515847"/>
                    </a:xfrm>
                    <a:prstGeom prst="rect">
                      <a:avLst/>
                    </a:prstGeom>
                    <a:noFill/>
                    <a:ln w="9525">
                      <a:noFill/>
                      <a:headEnd/>
                      <a:tailEnd/>
                    </a:ln>
                  </pic:spPr>
                </pic:pic>
              </a:graphicData>
            </a:graphic>
          </wp:inline>
        </w:drawing>
      </w:r>
    </w:p>
    <w:p>
      <w:pPr>
        <w:pStyle w:val="ImageCaption"/>
      </w:pPr>
      <w:r>
        <w:t xml:space="preserve">Figure 8: Risk of developing lung opacity at the one-year post-COVID-19 follow-up.</w:t>
      </w:r>
    </w:p>
    <w:p>
      <w:pPr>
        <w:pStyle w:val="BodyText"/>
      </w:pPr>
      <w:r>
        <w:rPr>
          <w:b/>
        </w:rPr>
        <w:t xml:space="preserve">Figure</w:t>
      </w:r>
      <w:r>
        <w:rPr>
          <w:b/>
        </w:rPr>
        <w:t xml:space="preserve"> </w:t>
      </w:r>
      <w:r>
        <w:rPr>
          <w:b/>
        </w:rPr>
        <w:t xml:space="preserve">8</w:t>
      </w:r>
      <w:r>
        <w:rPr>
          <w:b/>
        </w:rPr>
        <w:t xml:space="preserve">. Risk of developing lung opacity at the one-year post-COVID-19 follow-up.</w:t>
      </w:r>
    </w:p>
    <w:p>
      <w:pPr>
        <w:pStyle w:val="BodyText"/>
      </w:pPr>
      <w:r>
        <w:rPr>
          <w:b/>
        </w:rPr>
        <w:t xml:space="preserve">(A)</w:t>
      </w:r>
      <w:r>
        <w:t xml:space="preserve"> </w:t>
      </w:r>
      <w:r>
        <w:t xml:space="preserve">Risk factors of developing opacity at the one-year follow-up visit were identified by a series of logistic models. Odds ratio (OR) significance was determined by Wald Z test. OR with 95</w:t>
      </w: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risk factors of opacity were identified by multi-parameter logistic modeling with backward elimination. OR significance was determined by Wald Z test. Model prediction was verified by 20-fold cross-validation (CV) and receiver-operating characteristic (ROC). OR with 95</w:t>
      </w:r>
      <m:oMath/>
      <w:r>
        <w:t xml:space="preserve"> </w:t>
      </w:r>
      <w:r>
        <w:t xml:space="preserve">confidence intervals are presented in a Forest plot. Area under the curve (AUC), sensitivity (Se) and specificity (Sp) for detection of opacity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p>
      <w:r>
        <w:br w:type="page"/>
      </w:r>
    </w:p>
    <w:p>
      <w:pPr>
        <w:pStyle w:val="CaptionedFigure"/>
      </w:pPr>
      <w:r>
        <w:drawing>
          <wp:inline>
            <wp:extent cx="5334000" cy="4141694"/>
            <wp:effectExtent b="0" l="0" r="0" t="0"/>
            <wp:docPr descr="Figure 9: Performance of detection of lung CT abnormality by automated opacity assessment." title="" id="1" name="Picture"/>
            <a:graphic>
              <a:graphicData uri="http://schemas.openxmlformats.org/drawingml/2006/picture">
                <pic:pic>
                  <pic:nvPicPr>
                    <pic:cNvPr descr="C:\Users\piotr\Desktop\radio%20covILD\paper\figures_files/figure-docx/fig-opacity-rater-1.pdf" id="0" name="Picture"/>
                    <pic:cNvPicPr>
                      <a:picLocks noChangeArrowheads="1" noChangeAspect="1"/>
                    </pic:cNvPicPr>
                  </pic:nvPicPr>
                  <pic:blipFill>
                    <a:blip r:embed="rId31"/>
                    <a:stretch>
                      <a:fillRect/>
                    </a:stretch>
                  </pic:blipFill>
                  <pic:spPr bwMode="auto">
                    <a:xfrm>
                      <a:off x="0" y="0"/>
                      <a:ext cx="5334000" cy="4141694"/>
                    </a:xfrm>
                    <a:prstGeom prst="rect">
                      <a:avLst/>
                    </a:prstGeom>
                    <a:noFill/>
                    <a:ln w="9525">
                      <a:noFill/>
                      <a:headEnd/>
                      <a:tailEnd/>
                    </a:ln>
                  </pic:spPr>
                </pic:pic>
              </a:graphicData>
            </a:graphic>
          </wp:inline>
        </w:drawing>
      </w:r>
    </w:p>
    <w:p>
      <w:pPr>
        <w:pStyle w:val="ImageCaption"/>
      </w:pPr>
      <w:r>
        <w:t xml:space="preserve">Figure 9: Performance of detection of lung CT abnormality by automated opacity assessment.</w:t>
      </w:r>
    </w:p>
    <w:p>
      <w:pPr>
        <w:pStyle w:val="BodyText"/>
      </w:pPr>
      <w:r>
        <w:rPr>
          <w:b/>
        </w:rPr>
        <w:t xml:space="preserve">Figure</w:t>
      </w:r>
      <w:r>
        <w:rPr>
          <w:b/>
        </w:rPr>
        <w:t xml:space="preserve"> </w:t>
      </w:r>
      <w:r>
        <w:rPr>
          <w:b/>
        </w:rPr>
        <w:t xml:space="preserve">9</w:t>
      </w:r>
      <w:r>
        <w:rPr>
          <w:b/>
        </w:rPr>
        <w:t xml:space="preserve">. Performance of detection of lung CT abnormality by automated opacity assessment.</w:t>
      </w:r>
    </w:p>
    <w:p>
      <w:pPr>
        <w:pStyle w:val="BodyText"/>
      </w:pPr>
      <w:r>
        <w:t xml:space="preserve">Lung CT abnormality were defined either as CTSS</w:t>
      </w:r>
      <w:r>
        <w:t xml:space="preserve"> </w:t>
      </w:r>
      <m:oMath>
        <m:r>
          <m:t>≥</m:t>
        </m:r>
      </m:oMath>
      <w:r>
        <w:t xml:space="preserve"> </w:t>
      </w:r>
      <w:r>
        <w:t xml:space="preserve">1 0 or as opacity</w:t>
      </w:r>
      <w:r>
        <w:t xml:space="preserve"> </w:t>
      </w:r>
      <m:oMath>
        <m:r>
          <m:t>≥</m:t>
        </m:r>
      </m:oMath>
      <w:r>
        <w:t xml:space="preserve"> </w:t>
      </w:r>
      <w:r>
        <w:t xml:space="preserve">1</w:t>
      </w:r>
      <m:oMath/>
      <w:r>
        <w:t xml:space="preserve"> </w:t>
      </w:r>
      <w:r>
        <w:t xml:space="preserve">lung volume. Performance of the opacity at detecting CT abnormalities defined by CTSS was investigated at the consecutive follow-ups by receiver-operating characteristic (ROC) and Cohen’s</w:t>
      </w:r>
      <w:r>
        <w:t xml:space="preserve"> </w:t>
      </w:r>
      <m:oMath>
        <m:r>
          <m:t>κ</m:t>
        </m:r>
      </m:oMath>
      <w:r>
        <w:t xml:space="preserve"> </w:t>
      </w:r>
      <w:r>
        <w:t xml:space="preserve">statistic. Numbers of complete observations and CT abnormalities (events) are indicated under the plots.</w:t>
      </w:r>
    </w:p>
    <w:p>
      <w:pPr>
        <w:pStyle w:val="BodyText"/>
      </w:pPr>
      <w:r>
        <w:rPr>
          <w:b/>
        </w:rPr>
        <w:t xml:space="preserve">(A)</w:t>
      </w:r>
      <w:r>
        <w:t xml:space="preserve"> </w:t>
      </w:r>
      <w:r>
        <w:t xml:space="preserve">ROC curves annotated with sensitivity (Se), specificity (Sp) and area under the curve (AUC) values with 95</w:t>
      </w:r>
      <m:oMath/>
      <w:r>
        <w:t xml:space="preserve"> </w:t>
      </w:r>
      <w:r>
        <w:t xml:space="preserve">confidence intervals.</w:t>
      </w:r>
    </w:p>
    <w:p>
      <w:pPr>
        <w:pStyle w:val="BodyText"/>
      </w:pPr>
      <w:r>
        <w:rPr>
          <w:b/>
        </w:rPr>
        <w:t xml:space="preserve">(B)</w:t>
      </w:r>
      <w:r>
        <w:t xml:space="preserve"> </w:t>
      </w:r>
      <m:oMath>
        <m:r>
          <m:t>κ</m:t>
        </m:r>
      </m:oMath>
      <w:r>
        <w:t xml:space="preserve"> </w:t>
      </w:r>
      <w:r>
        <w:t xml:space="preserve">with 95</w:t>
      </w:r>
      <m:oMath/>
      <w:r>
        <w:t xml:space="preserve"> </w:t>
      </w:r>
      <w:r>
        <w:t xml:space="preserve">confidence intervals presented in a forest plot.</w:t>
      </w:r>
    </w:p>
    <w:p>
      <w:r>
        <w:br w:type="page"/>
      </w:r>
    </w:p>
    <w:p>
      <w:pPr>
        <w:pStyle w:val="CaptionedFigure"/>
      </w:pPr>
      <w:r>
        <w:drawing>
          <wp:inline>
            <wp:extent cx="5334000" cy="5334000"/>
            <wp:effectExtent b="0" l="0" r="0" t="0"/>
            <wp:docPr descr="Figure 10: Correlation of CTSS and lung opacity." title="" id="1" name="Picture"/>
            <a:graphic>
              <a:graphicData uri="http://schemas.openxmlformats.org/drawingml/2006/picture">
                <pic:pic>
                  <pic:nvPicPr>
                    <pic:cNvPr descr="C:\Users\piotr\Desktop\radio%20covILD\paper\figures_files/figure-docx/fig-ctss-opacity-1.pdf"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Correlation of CTSS and lung opacity.</w:t>
      </w:r>
    </w:p>
    <w:p>
      <w:pPr>
        <w:pStyle w:val="BodyText"/>
      </w:pPr>
      <w:r>
        <w:rPr>
          <w:b/>
        </w:rPr>
        <w:t xml:space="preserve">Figure</w:t>
      </w:r>
      <w:r>
        <w:rPr>
          <w:b/>
        </w:rPr>
        <w:t xml:space="preserve"> </w:t>
      </w:r>
      <w:r>
        <w:rPr>
          <w:b/>
        </w:rPr>
        <w:t xml:space="preserve">10</w:t>
      </w:r>
      <w:r>
        <w:rPr>
          <w:b/>
        </w:rPr>
        <w:t xml:space="preserve">. Correlation of CTSS and lung opacity.</w:t>
      </w:r>
    </w:p>
    <w:p>
      <w:pPr>
        <w:pStyle w:val="BodyText"/>
      </w:pPr>
      <w:r>
        <w:t xml:space="preserve">Correlation of CTSS and lung opacity at the consecutive follow-ups was investigated with Spearman test. Points represent single observations, blue lines with gray regions represent fitted linear trend with 95</w:t>
      </w:r>
      <m:oMath/>
      <w:r>
        <w:t xml:space="preserve"> </w:t>
      </w:r>
      <w:r>
        <w:t xml:space="preserve">confidence interval. Correlation coefficients (r), p values and numbers of complete observations are indicated in the plot captions.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df" /><Relationship Type="http://schemas.openxmlformats.org/officeDocument/2006/relationships/image" Id="rId23" Target="media/rId23.pdf" /><Relationship Type="http://schemas.openxmlformats.org/officeDocument/2006/relationships/image" Id="rId28" Target="media/rId28.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32" Target="media/rId32.pdf" /><Relationship Type="http://schemas.openxmlformats.org/officeDocument/2006/relationships/image" Id="rId29" Target="media/rId29.pdf" /><Relationship Type="http://schemas.openxmlformats.org/officeDocument/2006/relationships/image" Id="rId31" Target="media/rId31.pdf" /><Relationship Type="http://schemas.openxmlformats.org/officeDocument/2006/relationships/image" Id="rId30" Target="media/rId30.pdf"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2021-12-29T00:30:23Z</dcterms:created>
  <dcterms:modified xsi:type="dcterms:W3CDTF">2021-12-29T00:30:23Z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2021-12-29</vt:lpwstr>
  </property>
  <property fmtid="{D5CDD505-2E9C-101B-9397-08002B2CF9AE}" pid="6" name="header-includes">
    <vt:lpwstr> </vt:lpwstr>
  </property>
  <property fmtid="{D5CDD505-2E9C-101B-9397-08002B2CF9AE}" pid="7" name="output">
    <vt:lpwstr/>
  </property>
  <property fmtid="{D5CDD505-2E9C-101B-9397-08002B2CF9AE}" pid="8" name="subtitle">
    <vt:lpwstr>Tables and figures</vt:lpwstr>
  </property>
</Properties>
</file>