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rId46.png" ContentType="image/png"/>
  <Override PartName="/word/media/rId58.png" ContentType="image/png"/>
  <Override PartName="/word/media/rId52.png" ContentType="image/png"/>
  <Override PartName="/word/media/rId49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Inflammation,</w:t>
      </w:r>
      <w:r>
        <w:t xml:space="preserve"> </w:t>
      </w:r>
      <w:r>
        <w:t xml:space="preserve">SARS-CoV-2</w:t>
      </w:r>
      <w:r>
        <w:t xml:space="preserve"> </w:t>
      </w:r>
      <w:r>
        <w:t xml:space="preserve">infection</w:t>
      </w:r>
      <w:r>
        <w:t xml:space="preserve"> </w:t>
      </w:r>
      <w:r>
        <w:t xml:space="preserve">and</w:t>
      </w:r>
      <w:r>
        <w:t xml:space="preserve"> </w:t>
      </w:r>
      <w:r>
        <w:t xml:space="preserve">mental</w:t>
      </w:r>
      <w:r>
        <w:t xml:space="preserve"> </w:t>
      </w:r>
      <w:r>
        <w:t xml:space="preserve">health</w:t>
      </w:r>
      <w:r>
        <w:t xml:space="preserve"> </w:t>
      </w:r>
      <w:r>
        <w:t xml:space="preserve">disorders</w:t>
      </w:r>
      <w:r>
        <w:t xml:space="preserve"> </w:t>
      </w:r>
      <w:r>
        <w:t xml:space="preserve">impact</w:t>
      </w:r>
      <w:r>
        <w:t xml:space="preserve"> </w:t>
      </w:r>
      <w:r>
        <w:t xml:space="preserve">on</w:t>
      </w:r>
      <w:r>
        <w:t xml:space="preserve"> </w:t>
      </w:r>
      <w:r>
        <w:t xml:space="preserve">systemic</w:t>
      </w:r>
      <w:r>
        <w:t xml:space="preserve"> </w:t>
      </w:r>
      <w:r>
        <w:t xml:space="preserve">levels</w:t>
      </w:r>
      <w:r>
        <w:t xml:space="preserve"> </w:t>
      </w:r>
      <w:r>
        <w:t xml:space="preserve">of</w:t>
      </w:r>
      <w:r>
        <w:t xml:space="preserve"> </w:t>
      </w:r>
      <w:r>
        <w:t xml:space="preserve">aminoacid</w:t>
      </w:r>
      <w:r>
        <w:t xml:space="preserve"> </w:t>
      </w:r>
      <w:r>
        <w:t xml:space="preserve">neurotransmitter</w:t>
      </w:r>
      <w:r>
        <w:t xml:space="preserve"> </w:t>
      </w:r>
      <w:r>
        <w:t xml:space="preserve">precursors</w:t>
      </w:r>
    </w:p>
    <w:p>
      <w:pPr>
        <w:pStyle w:val="Subtitle"/>
      </w:pPr>
      <w:r>
        <w:t xml:space="preserve">Manuscript</w:t>
      </w:r>
    </w:p>
    <w:p>
      <w:pPr>
        <w:pStyle w:val="Date"/>
      </w:pPr>
      <w:r>
        <w:t xml:space="preserve">2023-05-18</w:t>
      </w:r>
    </w:p>
    <w:p>
      <w:r>
        <w:br w:type="page"/>
      </w:r>
    </w:p>
    <w:bookmarkStart w:id="20" w:name="keywords"/>
    <w:p>
      <w:pPr>
        <w:pStyle w:val="Heading1"/>
      </w:pPr>
      <w:r>
        <w:t xml:space="preserve">Keywords</w:t>
      </w:r>
    </w:p>
    <w:p>
      <w:pPr>
        <w:pStyle w:val="FirstParagraph"/>
      </w:pPr>
      <w:r>
        <w:t xml:space="preserve">SARS-CoV-2, inflammation, serotonin, dopamine, tryptophan, kynurenine, mental health</w:t>
      </w:r>
    </w:p>
    <w:p>
      <w:r>
        <w:br w:type="page"/>
      </w:r>
    </w:p>
    <w:bookmarkEnd w:id="20"/>
    <w:bookmarkStart w:id="21" w:name="abstract"/>
    <w:p>
      <w:pPr>
        <w:pStyle w:val="Heading1"/>
      </w:pPr>
      <w:r>
        <w:t xml:space="preserve">Abstract</w:t>
      </w:r>
    </w:p>
    <w:p>
      <w:pPr>
        <w:pStyle w:val="FirstParagraph"/>
      </w:pPr>
      <w:r>
        <w:rPr>
          <w:bCs/>
          <w:b/>
        </w:rPr>
        <w:t xml:space="preserve">Background:</w:t>
      </w:r>
      <w:r>
        <w:t xml:space="preserve"> </w:t>
      </w:r>
      <w:r>
        <w:t xml:space="preserve">Serotonin and dopamine metabolism poses a junction of mental and somatic health.</w:t>
      </w:r>
      <w:r>
        <w:t xml:space="preserve"> </w:t>
      </w:r>
      <w:r>
        <w:t xml:space="preserve">We aimed to identify demographic, clinical, mental health- and SARS-CoV-2 infection-related factors affecting systemic serotonin and dopamine turnover.</w:t>
      </w:r>
    </w:p>
    <w:p>
      <w:pPr>
        <w:pStyle w:val="TextBody"/>
      </w:pPr>
      <w:r>
        <w:rPr>
          <w:bCs/>
          <w:b/>
        </w:rPr>
        <w:t xml:space="preserve">Methods:</w:t>
      </w:r>
      <w:r>
        <w:t xml:space="preserve"> </w:t>
      </w:r>
      <w:r>
        <w:t xml:space="preserve">The cross-sectional SIMMUN (n = 165, Austria) and longitudinal INCOV cohort (n = 167, Su et al. 2022) were investigated.</w:t>
      </w:r>
      <w:r>
        <w:t xml:space="preserve"> </w:t>
      </w:r>
      <w:r>
        <w:t xml:space="preserve">Explanatory variables encompassed age, sex, clinical and inflammatory parameters, SARS-CoV-2 infection, and anxiety, depression (HADS) and mental stress scoring (PSS-4).</w:t>
      </w:r>
      <w:r>
        <w:t xml:space="preserve"> </w:t>
      </w:r>
      <w:r>
        <w:t xml:space="preserve">Their effects on plasma concentrations of serotonin (serotonin, tryptophan, kynurenine) and dopamine availability markers (dopamine sulfate, phenylalanine, tyrosine) were assessed by linear modeling, correlation analysis and two-tailed T tests.</w:t>
      </w:r>
    </w:p>
    <w:p>
      <w:pPr>
        <w:pStyle w:val="TextBody"/>
      </w:pPr>
      <w:r>
        <w:rPr>
          <w:bCs/>
          <w:b/>
        </w:rPr>
        <w:t xml:space="preserve">Results:</w:t>
      </w:r>
      <w:r>
        <w:t xml:space="preserve"> </w:t>
      </w:r>
      <w:r>
        <w:t xml:space="preserve">In the SIMMUN collective, the inflammatory marker neopterin, SARS-CoV-2 infection, age, depression symptoms and mental stress independently stimulated catabolism of the serotonin precursor tryptophan to kynurenine.</w:t>
      </w:r>
      <w:r>
        <w:t xml:space="preserve"> </w:t>
      </w:r>
      <w:r>
        <w:t xml:space="preserve">Inflammation and age were also suppressed the first step of dopamine biosynthesis, phenylalanine - tyrosine conversion.</w:t>
      </w:r>
      <w:r>
        <w:t xml:space="preserve"> </w:t>
      </w:r>
      <w:r>
        <w:t xml:space="preserve">In the INCOV cohort, inflammation was associated with lowered serotonin (IL6: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= -0.24 [95% CI: -0.4 to -0.089]) and the dopamine metabolite, dopamine sulfate (interferon-gamma: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= -0.13 [95% CI: -0.24 to -0.014]).</w:t>
      </w:r>
      <w:r>
        <w:t xml:space="preserve"> </w:t>
      </w:r>
      <w:r>
        <w:t xml:space="preserve">Serotonin correlated with tryptophan levels, especially in acute and sub-acute infection.</w:t>
      </w:r>
      <w:r>
        <w:t xml:space="preserve"> </w:t>
      </w:r>
      <w:r>
        <w:t xml:space="preserve">Serotonin (</w:t>
      </w:r>
      <m:oMath>
        <m:r>
          <m:t>β</m:t>
        </m:r>
      </m:oMath>
      <w:r>
        <w:t xml:space="preserve"> </w:t>
      </w:r>
      <w:r>
        <w:t xml:space="preserve">= 0.72 [95% CI: 0.3 to 1.1])</w:t>
      </w:r>
      <w:r>
        <w:t xml:space="preserve"> </w:t>
      </w:r>
      <w:r>
        <w:t xml:space="preserve">and dopamine sulfate (</w:t>
      </w:r>
      <m:oMath>
        <m:r>
          <m:t>β</m:t>
        </m:r>
      </m:oMath>
      <w:r>
        <w:t xml:space="preserve"> </w:t>
      </w:r>
      <w:r>
        <w:t xml:space="preserve">= 0.64 [95% CI: 0.28 to 1]) were significantly increased during SARS-CoV-2 infection recovery.</w:t>
      </w:r>
    </w:p>
    <w:p>
      <w:pPr>
        <w:pStyle w:val="TextBody"/>
      </w:pPr>
      <w:r>
        <w:rPr>
          <w:bCs/>
          <w:b/>
        </w:rPr>
        <w:t xml:space="preserve">Conclusion:</w:t>
      </w:r>
      <w:r>
        <w:t xml:space="preserve"> </w:t>
      </w:r>
      <w:r>
        <w:t xml:space="preserve">Inflammation limits systemic serotonin and dopamine by activating the competitor kynurenine pathway and inhibiting the phenylalanine - tyrosine conversion, respectively, and may link SARS-CoV-2 infection with mental health problems.</w:t>
      </w:r>
      <w:r>
        <w:t xml:space="preserve"> </w:t>
      </w:r>
      <w:r>
        <w:t xml:space="preserve">Advanced age and mental disorders can additionally suppress neurotransmitter synthesis.</w:t>
      </w:r>
    </w:p>
    <w:p>
      <w:r>
        <w:br w:type="page"/>
      </w:r>
    </w:p>
    <w:bookmarkEnd w:id="21"/>
    <w:bookmarkStart w:id="22" w:name="introduction"/>
    <w:p>
      <w:pPr>
        <w:pStyle w:val="Heading1"/>
      </w:pPr>
      <w:r>
        <w:t xml:space="preserve">Introduction</w:t>
      </w:r>
    </w:p>
    <w:p>
      <w:pPr>
        <w:pStyle w:val="FirstParagraph"/>
      </w:pPr>
      <w:r>
        <w:rPr>
          <w:iCs/>
          <w:i/>
        </w:rPr>
        <w:t xml:space="preserve">Katharina, Sophia: your part</w:t>
      </w:r>
    </w:p>
    <w:p>
      <w:pPr>
        <w:pStyle w:val="TextBody"/>
      </w:pPr>
      <w:r>
        <w:t xml:space="preserve">The impact of persistent and SARS-CoV-2-related inflammation and immunity, SARS-CoV-2 recovery on indolamine and katecholamine neurotransmitter metabolism as well as its mutual interaction with mental disorder symptoms are still incompletely resolved.</w:t>
      </w:r>
      <w:r>
        <w:t xml:space="preserve"> </w:t>
      </w:r>
      <w:r>
        <w:t xml:space="preserve">To address that, we explored effects of demographic and clinical factors, inflammation, SARS-CoV-2 infection, anti-SARS-CoV-2 humoral response and mental disorders on the tryptophan - kynurenine and phenylalanine axes as readouts of systemic availability of serotonin and dopamine in the SIMMUN cohort, a cross-sectional medical service user collective.</w:t>
      </w:r>
      <w:r>
        <w:t xml:space="preserve"> </w:t>
      </w:r>
      <w:r>
        <w:t xml:space="preserve">Furthermore, association of circulating serotonin</w:t>
      </w:r>
      <w:r>
        <w:t xml:space="preserve"> </w:t>
      </w:r>
      <w:r>
        <w:t xml:space="preserve">(1–4)</w:t>
      </w:r>
      <w:r>
        <w:t xml:space="preserve"> </w:t>
      </w:r>
      <w:r>
        <w:t xml:space="preserve">and of the major dopamine decay product, dopamine 3-O-sulfate</w:t>
      </w:r>
      <w:r>
        <w:t xml:space="preserve"> </w:t>
      </w:r>
      <w:r>
        <w:t xml:space="preserve">(5–7)</w:t>
      </w:r>
      <w:r>
        <w:t xml:space="preserve"> </w:t>
      </w:r>
      <w:r>
        <w:t xml:space="preserve">with systemic levels of inflammatory cytokines, SARS-CoV-2 course, age and availability of biosynthesis precursors and competition pathway metabolites were investigated in the published longitudinal INCOV collective</w:t>
      </w:r>
      <w:r>
        <w:t xml:space="preserve"> </w:t>
      </w:r>
      <w:r>
        <w:t xml:space="preserve">(8)</w:t>
      </w:r>
      <w:r>
        <w:t xml:space="preserve">.</w:t>
      </w:r>
    </w:p>
    <w:p>
      <w:r>
        <w:br w:type="page"/>
      </w:r>
    </w:p>
    <w:bookmarkEnd w:id="22"/>
    <w:bookmarkStart w:id="33" w:name="materials-and-methods"/>
    <w:p>
      <w:pPr>
        <w:pStyle w:val="Heading1"/>
      </w:pPr>
      <w:r>
        <w:t xml:space="preserve">Materials and Methods</w:t>
      </w:r>
    </w:p>
    <w:bookmarkStart w:id="23" w:name="ethics-statement"/>
    <w:p>
      <w:pPr>
        <w:pStyle w:val="Heading2"/>
      </w:pPr>
      <w:r>
        <w:t xml:space="preserve">Ethics statement</w:t>
      </w:r>
    </w:p>
    <w:p>
      <w:pPr>
        <w:pStyle w:val="FirstParagraph"/>
      </w:pPr>
      <w:r>
        <w:t xml:space="preserve">The SIMMUN study was conducted in accordance with the Declaration of Helsinki and European Data Policy.</w:t>
      </w:r>
      <w:r>
        <w:t xml:space="preserve"> </w:t>
      </w:r>
      <w:r>
        <w:t xml:space="preserve">All participants gave written informed consent prior to enrollment.</w:t>
      </w:r>
      <w:r>
        <w:t xml:space="preserve"> </w:t>
      </w:r>
      <w:r>
        <w:t xml:space="preserve">Participants’ data were stored and analyzed in anonymized form.</w:t>
      </w:r>
      <w:r>
        <w:t xml:space="preserve"> </w:t>
      </w:r>
      <w:r>
        <w:t xml:space="preserve">This study was approved by the ethics committee of the Medical University Innsbruck, Austria (approval number: 1132/2020).</w:t>
      </w:r>
      <w:r>
        <w:t xml:space="preserve"> </w:t>
      </w:r>
      <w:r>
        <w:t xml:space="preserve">No approval by the ethics committee was required for analysis of the published INCOV data set</w:t>
      </w:r>
      <w:r>
        <w:t xml:space="preserve"> </w:t>
      </w:r>
      <w:r>
        <w:t xml:space="preserve">(8)</w:t>
      </w:r>
      <w:r>
        <w:t xml:space="preserve">.</w:t>
      </w:r>
    </w:p>
    <w:bookmarkEnd w:id="23"/>
    <w:bookmarkStart w:id="26" w:name="study-cohorts"/>
    <w:p>
      <w:pPr>
        <w:pStyle w:val="Heading2"/>
      </w:pPr>
      <w:r>
        <w:t xml:space="preserve">Study cohorts</w:t>
      </w:r>
    </w:p>
    <w:p>
      <w:pPr>
        <w:pStyle w:val="FirstParagraph"/>
      </w:pPr>
      <w:r>
        <w:t xml:space="preserve">Details on study cohorts, procedures and analses are provided in</w:t>
      </w:r>
      <w:r>
        <w:t xml:space="preserve"> </w:t>
      </w:r>
      <w:r>
        <w:rPr>
          <w:bCs/>
          <w:b/>
        </w:rPr>
        <w:t xml:space="preserve">Supplementary Methods</w:t>
      </w:r>
      <w:r>
        <w:t xml:space="preserve">.</w:t>
      </w:r>
    </w:p>
    <w:bookmarkStart w:id="24" w:name="simmun-study"/>
    <w:p>
      <w:pPr>
        <w:pStyle w:val="Heading3"/>
      </w:pPr>
      <w:r>
        <w:t xml:space="preserve">SIMMUN study</w:t>
      </w:r>
    </w:p>
    <w:p>
      <w:pPr>
        <w:pStyle w:val="FirstParagraph"/>
      </w:pPr>
      <w:r>
        <w:t xml:space="preserve">Individuals tested for SARS-CoV-2 via PCR at the University Hospital of Innsbruck and patients of the University Clinic for Psychiatry I and II (Innsbruck, Austria) undergoing routine SARS-CoV-2 PCR were invited to participate in the SIMMUN study.</w:t>
      </w:r>
      <w:r>
        <w:t xml:space="preserve"> </w:t>
      </w:r>
      <w:r>
        <w:t xml:space="preserve">The study was conducted between 10. June 2020 and 27.May 2021.</w:t>
      </w:r>
      <w:r>
        <w:t xml:space="preserve"> </w:t>
      </w:r>
      <w:r>
        <w:t xml:space="preserve">The inclusion criteria were age of 18 - 70 years, proficiency in German, residence in the study region (Tyrol, Austria), and a SARS-CoV-2 PCR test conducted at the study site.</w:t>
      </w:r>
      <w:r>
        <w:t xml:space="preserve"> </w:t>
      </w:r>
      <w:r>
        <w:t xml:space="preserve">The exclusion criteria were active SARS-CoV-2 infection (&lt; 14 days after diagnosis), pregnancy, active malignancy, organ transplantation, surgery in the past 3 months, inflammatory illness and oral corticosteroid treatment.</w:t>
      </w:r>
      <w:r>
        <w:t xml:space="preserve"> </w:t>
      </w:r>
      <w:r>
        <w:t xml:space="preserve">The analysis inclusion criterion was the complete study variable dataset (</w:t>
      </w:r>
      <w:r>
        <w:rPr>
          <w:bCs/>
          <w:b/>
        </w:rPr>
        <w:t xml:space="preserve">Figure</w:t>
      </w:r>
      <w:r>
        <w:rPr>
          <w:bCs/>
          <w:b/>
        </w:rPr>
        <w:t xml:space="preserve"> </w:t>
      </w:r>
      <w:r>
        <w:rPr>
          <w:bCs/>
          <w:b/>
        </w:rPr>
        <w:t xml:space="preserve">1</w:t>
      </w:r>
      <w:r>
        <w:t xml:space="preserve">,</w:t>
      </w:r>
      <w:r>
        <w:t xml:space="preserve"> </w:t>
      </w:r>
      <w:r>
        <w:rPr>
          <w:bCs/>
          <w:b/>
        </w:rPr>
        <w:t xml:space="preserve">Supplementary Table S1</w:t>
      </w:r>
      <w:r>
        <w:t xml:space="preserve">).</w:t>
      </w:r>
      <w:r>
        <w:t xml:space="preserve"> </w:t>
      </w:r>
      <w:r>
        <w:t xml:space="preserve">Significant differences between the analyzed and excluded participants are listed in</w:t>
      </w:r>
      <w:r>
        <w:t xml:space="preserve"> </w:t>
      </w:r>
      <w:r>
        <w:rPr>
          <w:bCs/>
          <w:b/>
        </w:rPr>
        <w:t xml:space="preserve">Supplementary Table S2</w:t>
      </w:r>
      <w:r>
        <w:t xml:space="preserve">.</w:t>
      </w:r>
    </w:p>
    <w:bookmarkEnd w:id="24"/>
    <w:bookmarkStart w:id="25" w:name="incov-study"/>
    <w:p>
      <w:pPr>
        <w:pStyle w:val="Heading3"/>
      </w:pPr>
      <w:r>
        <w:t xml:space="preserve">INCOV study</w:t>
      </w:r>
    </w:p>
    <w:p>
      <w:pPr>
        <w:pStyle w:val="FirstParagraph"/>
      </w:pPr>
      <w:r>
        <w:t xml:space="preserve">Proteome and metabolome data and clinical information for the INCOV cohort were extracted from supplementary tables accompanying the report by Su and colleagues</w:t>
      </w:r>
      <w:r>
        <w:t xml:space="preserve"> </w:t>
      </w:r>
      <w:r>
        <w:t xml:space="preserve">(8)</w:t>
      </w:r>
      <w:r>
        <w:t xml:space="preserve">.</w:t>
      </w:r>
      <w:r>
        <w:t xml:space="preserve"> </w:t>
      </w:r>
      <w:r>
        <w:t xml:space="preserve">In the current analysis, samples obtained for individuals with the complete age information and complete study variable dataset (</w:t>
      </w:r>
      <w:r>
        <w:rPr>
          <w:bCs/>
          <w:b/>
        </w:rPr>
        <w:t xml:space="preserve">Figure 1</w:t>
      </w:r>
      <w:r>
        <w:t xml:space="preserve">,</w:t>
      </w:r>
      <w:r>
        <w:t xml:space="preserve"> </w:t>
      </w:r>
      <w:r>
        <w:rPr>
          <w:bCs/>
          <w:b/>
        </w:rPr>
        <w:t xml:space="preserve">Table</w:t>
      </w:r>
      <w:r>
        <w:rPr>
          <w:bCs/>
          <w:b/>
        </w:rPr>
        <w:t xml:space="preserve"> </w:t>
      </w:r>
      <w:r>
        <w:rPr>
          <w:bCs/>
          <w:b/>
        </w:rPr>
        <w:t xml:space="preserve">2</w:t>
      </w:r>
      <w:r>
        <w:t xml:space="preserve">,</w:t>
      </w:r>
      <w:r>
        <w:t xml:space="preserve"> </w:t>
      </w:r>
      <w:r>
        <w:rPr>
          <w:bCs/>
          <w:b/>
        </w:rPr>
        <w:t xml:space="preserve">Supplementary Table S3</w:t>
      </w:r>
      <w:r>
        <w:t xml:space="preserve">).</w:t>
      </w:r>
    </w:p>
    <w:bookmarkEnd w:id="25"/>
    <w:bookmarkEnd w:id="26"/>
    <w:bookmarkStart w:id="30" w:name="procedures"/>
    <w:p>
      <w:pPr>
        <w:pStyle w:val="Heading2"/>
      </w:pPr>
      <w:r>
        <w:t xml:space="preserve">Procedures</w:t>
      </w:r>
    </w:p>
    <w:bookmarkStart w:id="27" w:name="simmun-study-1"/>
    <w:p>
      <w:pPr>
        <w:pStyle w:val="Heading3"/>
      </w:pPr>
      <w:r>
        <w:t xml:space="preserve">SIMMUN study</w:t>
      </w:r>
    </w:p>
    <w:p>
      <w:pPr>
        <w:pStyle w:val="FirstParagraph"/>
      </w:pPr>
      <w:r>
        <w:t xml:space="preserve">The SIMMUN study data were gathered during in-person visits including a physician assessment, supervised completion of self-rating questionnaire and a blood sample collection (</w:t>
      </w:r>
      <w:r>
        <w:rPr>
          <w:bCs/>
          <w:b/>
        </w:rPr>
        <w:t xml:space="preserve">Supplementary Table S1</w:t>
      </w:r>
      <w:r>
        <w:t xml:space="preserve">).</w:t>
      </w:r>
    </w:p>
    <w:p>
      <w:pPr>
        <w:pStyle w:val="TextBody"/>
      </w:pPr>
      <w:r>
        <w:t xml:space="preserve">Demographic and clinical variables: age, sex, body mass index, professionally diagnosed mental illness, self-reported chronic somatic conditions, smoking and alcohol consumption, result and date of the SARS-CoV-2 PCR test were surveyed during the study visit or extracted from electronic patient records.</w:t>
      </w:r>
    </w:p>
    <w:p>
      <w:pPr>
        <w:pStyle w:val="TextBody"/>
      </w:pPr>
      <w:r>
        <w:t xml:space="preserve">Inflammatory markers: plasma neopterin concentrations (NEO) and neutrophil - lymphocyte ratio (NLR) were determined by the certified clinical routine laboratory at the University Hospital of Innsbruck.</w:t>
      </w:r>
      <w:r>
        <w:t xml:space="preserve"> </w:t>
      </w:r>
      <w:r>
        <w:t xml:space="preserve">Plasma concentrations of tryptophan (TRP), kynurenine (KYN), phenylalanine (PHE) and tyrosine (TYR) were determined by high-performance liquid chromatography, and the KYN/TRP and PHE/TYR ratios calculated</w:t>
      </w:r>
      <w:r>
        <w:t xml:space="preserve"> </w:t>
      </w:r>
      <w:r>
        <w:t xml:space="preserve">(9–11)</w:t>
      </w:r>
      <w:r>
        <w:t xml:space="preserve">.</w:t>
      </w:r>
      <w:r>
        <w:t xml:space="preserve"> </w:t>
      </w:r>
      <w:r>
        <w:t xml:space="preserve">Plasma titer of immunoglobulin gamma against receptor binding domain S1/S2 protein (anti-RBD IgG) were quantified by ELISA</w:t>
      </w:r>
      <w:r>
        <w:t xml:space="preserve"> </w:t>
      </w:r>
      <w:r>
        <w:t xml:space="preserve">(12)</w:t>
      </w:r>
      <w:r>
        <w:t xml:space="preserve">.</w:t>
      </w:r>
      <w:r>
        <w:t xml:space="preserve"> </w:t>
      </w:r>
      <w:r>
        <w:t xml:space="preserve">Laboratory measurements at and beyond the detection limits were substituted with the lower or upper detection limit value, respectively.</w:t>
      </w:r>
    </w:p>
    <w:p>
      <w:pPr>
        <w:pStyle w:val="TextBody"/>
      </w:pPr>
      <w:r>
        <w:t xml:space="preserve">Mental stress was scored with the 4-item perceived stress scale (PSS-4)</w:t>
      </w:r>
      <w:r>
        <w:t xml:space="preserve"> </w:t>
      </w:r>
      <w:r>
        <w:t xml:space="preserve">(13)</w:t>
      </w:r>
      <w:r>
        <w:t xml:space="preserve">.</w:t>
      </w:r>
      <w:r>
        <w:t xml:space="preserve"> </w:t>
      </w:r>
      <w:r>
        <w:t xml:space="preserve">Anxiety and depression signs were scored with the hospital anxiety and depression scale (HADS) including 7 items for anxiety and 7 items for depression</w:t>
      </w:r>
      <w:r>
        <w:t xml:space="preserve"> </w:t>
      </w:r>
      <w:r>
        <w:t xml:space="preserve">(14)</w:t>
      </w:r>
      <w:r>
        <w:t xml:space="preserve">.</w:t>
      </w:r>
      <w:r>
        <w:t xml:space="preserve"> </w:t>
      </w:r>
      <w:r>
        <w:t xml:space="preserve">The total possible score range for each subscale is 0 to 21, with higher scores indicating more intense symptoms of anxiety/depression.</w:t>
      </w:r>
      <w:r>
        <w:t xml:space="preserve"> </w:t>
      </w:r>
      <w:r>
        <w:t xml:space="preserve">Clinically relevant signs of anxiety or depression were identified with the cutoff of</w:t>
      </w:r>
      <w:r>
        <w:t xml:space="preserve"> </w:t>
      </w:r>
      <m:oMath>
        <m:r>
          <m:rPr>
            <m:sty m:val="p"/>
          </m:rPr>
          <m:t>≥</m:t>
        </m:r>
      </m:oMath>
      <w:r>
        <w:t xml:space="preserve"> </w:t>
      </w:r>
      <w:r>
        <w:t xml:space="preserve">8 points</w:t>
      </w:r>
      <w:r>
        <w:t xml:space="preserve"> </w:t>
      </w:r>
      <w:r>
        <w:t xml:space="preserve">(14,15)</w:t>
      </w:r>
      <w:r>
        <w:t xml:space="preserve">.</w:t>
      </w:r>
    </w:p>
    <w:p>
      <w:pPr>
        <w:pStyle w:val="TextBody"/>
      </w:pPr>
      <w:r>
        <w:t xml:space="preserve">In order to improve normality of some numeric study variables prior to linear modeling and statistical hypothesis testing with parametric tools, logarithm or square root transformations were applied (</w:t>
      </w:r>
      <w:r>
        <w:rPr>
          <w:bCs/>
          <w:b/>
        </w:rPr>
        <w:t xml:space="preserve">Supplementary Table S1</w:t>
      </w:r>
      <w:r>
        <w:t xml:space="preserve">)</w:t>
      </w:r>
    </w:p>
    <w:bookmarkEnd w:id="27"/>
    <w:bookmarkStart w:id="29" w:name="incov-cohort"/>
    <w:p>
      <w:pPr>
        <w:pStyle w:val="Heading3"/>
      </w:pPr>
      <w:r>
        <w:t xml:space="preserve">INCOV cohort</w:t>
      </w:r>
    </w:p>
    <w:p>
      <w:pPr>
        <w:pStyle w:val="FirstParagraph"/>
      </w:pPr>
      <w:r>
        <w:t xml:space="preserve">Plasma proteomes and metabolomes in the INCOV cohort were measured by proximity extension assay (Olink, Sweden) and ultra-high-performance liquid chromatography/tandem accurate mass spectrometry (Metabolon, USA)</w:t>
      </w:r>
      <w:r>
        <w:t xml:space="preserve"> </w:t>
      </w:r>
      <w:r>
        <w:t xml:space="preserve">(8,16)</w:t>
      </w:r>
      <w:r>
        <w:t xml:space="preserve">.</w:t>
      </w:r>
      <w:r>
        <w:t xml:space="preserve"> </w:t>
      </w:r>
      <w:r>
        <w:t xml:space="preserve">Normalized, age- and sex-adjusted, log</w:t>
      </w:r>
      <w:r>
        <w:rPr>
          <w:vertAlign w:val="subscript"/>
        </w:rPr>
        <w:t xml:space="preserve">2</w:t>
      </w:r>
      <w:r>
        <w:t xml:space="preserve">-transformed plasma concentrations of metabolites and cytokines, and clinical information were extracted from</w:t>
      </w:r>
      <w:r>
        <w:t xml:space="preserve"> </w:t>
      </w:r>
      <w:hyperlink r:id="rId28">
        <w:r>
          <w:rPr>
            <w:rStyle w:val="InternetLink"/>
          </w:rPr>
          <w:t xml:space="preserve">supplementary tables</w:t>
        </w:r>
      </w:hyperlink>
      <w:r>
        <w:t xml:space="preserve"> </w:t>
      </w:r>
      <w:r>
        <w:t xml:space="preserve">of the report by Su et al.</w:t>
      </w:r>
      <w:r>
        <w:t xml:space="preserve"> </w:t>
      </w:r>
      <w:r>
        <w:t xml:space="preserve">(8)</w:t>
      </w:r>
      <w:r>
        <w:t xml:space="preserve">.</w:t>
      </w:r>
      <w:r>
        <w:t xml:space="preserve"> </w:t>
      </w:r>
      <w:r>
        <w:t xml:space="preserve">Plasma levels of metabolites implicated in systemic turnover of serotonin (serotonin, TRP, KYN, quinolinate [QUIN]) and dopamine (PHE, TYR and dopamine 3-O-sulfate [DA sulfate]), major inflammatory cytokines (interleukin-6 [IL6], interleukin-10 [IL10], tumor necrosis factor-alpha [TNF] and interferon-gamma [IFNG]) and age were analyzed (</w:t>
      </w:r>
      <w:r>
        <w:rPr>
          <w:bCs/>
          <w:b/>
        </w:rPr>
        <w:t xml:space="preserve">Supplementary Table S3</w:t>
      </w:r>
      <w:r>
        <w:t xml:space="preserve">).</w:t>
      </w:r>
    </w:p>
    <w:p>
      <w:pPr>
        <w:pStyle w:val="TextBody"/>
      </w:pPr>
      <w:r>
        <w:t xml:space="preserve">Plasma features were sampled in uninfected controls and SARS-CoV-2 individuals at three timepoints after diagnosis:</w:t>
      </w:r>
      <w:r>
        <w:t xml:space="preserve"> </w:t>
      </w:r>
      <w:r>
        <w:t xml:space="preserve">acute (median: 10 days),</w:t>
      </w:r>
      <w:r>
        <w:t xml:space="preserve"> </w:t>
      </w:r>
      <w:r>
        <w:t xml:space="preserve">sub-acute (median: 14) and</w:t>
      </w:r>
      <w:r>
        <w:t xml:space="preserve"> </w:t>
      </w:r>
      <w:r>
        <w:t xml:space="preserve">recovery (median: 64 after diagnosis) (</w:t>
      </w:r>
      <w:r>
        <w:rPr>
          <w:bCs/>
          <w:b/>
        </w:rPr>
        <w:t xml:space="preserve">Supplementary Table S3</w:t>
      </w:r>
      <w:r>
        <w:t xml:space="preserve">).</w:t>
      </w:r>
    </w:p>
    <w:bookmarkEnd w:id="29"/>
    <w:bookmarkEnd w:id="30"/>
    <w:bookmarkStart w:id="31" w:name="study-endpoints"/>
    <w:p>
      <w:pPr>
        <w:pStyle w:val="Heading2"/>
      </w:pPr>
      <w:r>
        <w:t xml:space="preserve">Study endpoints</w:t>
      </w:r>
    </w:p>
    <w:p>
      <w:pPr>
        <w:pStyle w:val="FirstParagraph"/>
      </w:pPr>
      <w:r>
        <w:t xml:space="preserve">Our analysis pursued two endpoints.</w:t>
      </w:r>
      <w:r>
        <w:t xml:space="preserve"> </w:t>
      </w:r>
      <w:r>
        <w:t xml:space="preserve">The first endpoint was to determine demographic, clinical, psychometric, inflammation- and SARS-CoV-2-related factors influencing plasma levels of serotonin and dopamine precursors and products of competitor metabolic pathways (TRP, KYN, KYN/TRP, PHE, TYR, PHE/TYR).</w:t>
      </w:r>
      <w:r>
        <w:t xml:space="preserve"> </w:t>
      </w:r>
      <w:r>
        <w:t xml:space="preserve">This endpoint was addressed by multi-parameter modeling in the SIMMUN cohort.</w:t>
      </w:r>
      <w:r>
        <w:t xml:space="preserve"> </w:t>
      </w:r>
      <w:r>
        <w:t xml:space="preserve">The second endpoint was to investigate how the readouts of systemic serotonin and dopamine availability, plasma serotonin</w:t>
      </w:r>
      <w:r>
        <w:t xml:space="preserve"> </w:t>
      </w:r>
      <w:r>
        <w:t xml:space="preserve">(1–4)</w:t>
      </w:r>
      <w:r>
        <w:t xml:space="preserve"> </w:t>
      </w:r>
      <w:r>
        <w:t xml:space="preserve">and DA sulfate</w:t>
      </w:r>
      <w:r>
        <w:t xml:space="preserve"> </w:t>
      </w:r>
      <w:r>
        <w:t xml:space="preserve">(5–7)</w:t>
      </w:r>
      <w:r>
        <w:t xml:space="preserve">, are influenced by age, inflammatory cytokines, timepoint of the SARS-CoV-2 infection, their precursors (TRP, PHE, TYR) and competitor pathway products (KYN, QUIN).</w:t>
      </w:r>
      <w:r>
        <w:t xml:space="preserve"> </w:t>
      </w:r>
      <w:r>
        <w:t xml:space="preserve">This endpoint was addressed by multi-parameter robust linear modeling, time course modeling and correlation analysis in the INCOV cohort (</w:t>
      </w:r>
      <w:r>
        <w:rPr>
          <w:bCs/>
          <w:b/>
        </w:rPr>
        <w:t xml:space="preserve">Figure</w:t>
      </w:r>
      <w:r>
        <w:rPr>
          <w:bCs/>
          <w:b/>
        </w:rPr>
        <w:t xml:space="preserve"> </w:t>
      </w:r>
      <w:r>
        <w:rPr>
          <w:bCs/>
          <w:b/>
        </w:rPr>
        <w:t xml:space="preserve">1</w:t>
      </w:r>
      <w:r>
        <w:t xml:space="preserve">).</w:t>
      </w:r>
    </w:p>
    <w:bookmarkEnd w:id="31"/>
    <w:bookmarkStart w:id="32" w:name="statistical-analysis"/>
    <w:p>
      <w:pPr>
        <w:pStyle w:val="Heading2"/>
      </w:pPr>
      <w:r>
        <w:t xml:space="preserve">Statistical analysis</w:t>
      </w:r>
    </w:p>
    <w:p>
      <w:pPr>
        <w:pStyle w:val="FirstParagraph"/>
      </w:pPr>
      <w:r>
        <w:t xml:space="preserve">R version 4.2.3 was used for statistical analysis.</w:t>
      </w:r>
    </w:p>
    <w:p>
      <w:pPr>
        <w:pStyle w:val="TextBody"/>
      </w:pPr>
      <w:r>
        <w:t xml:space="preserve">Numeric variables were presented as medians with interquartile ranges and ranges.</w:t>
      </w:r>
      <w:r>
        <w:t xml:space="preserve"> </w:t>
      </w:r>
      <w:r>
        <w:t xml:space="preserve">Categorical variables are presented as percentages and counts within the complete observation set.</w:t>
      </w:r>
      <w:r>
        <w:t xml:space="preserve"> </w:t>
      </w:r>
      <w:r>
        <w:t xml:space="preserve">Distribution normality and variance homogeneity was assessed by Shapiro-Wilk and Levene test, respectively.</w:t>
      </w:r>
      <w:r>
        <w:t xml:space="preserve"> </w:t>
      </w:r>
      <w:r>
        <w:t xml:space="preserve">In the SIMMUN cohort, non-normally distributed numeric variables were transformed with the logarithm or square root prior to modeling and analyses with parametric tests (</w:t>
      </w:r>
      <w:r>
        <w:rPr>
          <w:bCs/>
          <w:b/>
        </w:rPr>
        <w:t xml:space="preserve">Supplementary Table S1</w:t>
      </w:r>
      <w:r>
        <w:t xml:space="preserve">).</w:t>
      </w:r>
      <w:r>
        <w:t xml:space="preserve"> </w:t>
      </w:r>
      <w:r>
        <w:t xml:space="preserve">Since most of the INCOV study variables were non-normally distributed, robust linear modeling and non-parametric testing were employed.</w:t>
      </w:r>
      <w:r>
        <w:t xml:space="preserve"> </w:t>
      </w:r>
      <w:r>
        <w:t xml:space="preserve">Since the tau-equivalence assumption investigated by factor analysis for the HADS scales was violated, consistency of psychometric tools was investigated by global McDonald’s</w:t>
      </w:r>
      <w:r>
        <w:t xml:space="preserve"> </w:t>
      </w:r>
      <m:oMath>
        <m:r>
          <m:t>ω</m:t>
        </m:r>
      </m:oMath>
      <w:r>
        <w:t xml:space="preserve"> </w:t>
      </w:r>
      <w:r>
        <w:t xml:space="preserve">(17–19)</w:t>
      </w:r>
      <w:r>
        <w:t xml:space="preserve">.</w:t>
      </w:r>
      <w:r>
        <w:t xml:space="preserve"> </w:t>
      </w:r>
      <w:r>
        <w:t xml:space="preserve">Except for multi-parameter modeling, p values were corrected for multiple testing with the false discovery rate method</w:t>
      </w:r>
      <w:r>
        <w:t xml:space="preserve"> </w:t>
      </w:r>
      <w:r>
        <w:t xml:space="preserve">(20)</w:t>
      </w:r>
      <w:r>
        <w:t xml:space="preserve"> </w:t>
      </w:r>
      <w:r>
        <w:t xml:space="preserve">separately for each analysis task.</w:t>
      </w:r>
      <w:r>
        <w:t xml:space="preserve"> </w:t>
      </w:r>
      <w:r>
        <w:t xml:space="preserve">Effects with p &lt; 0.05 were considered significant.</w:t>
      </w:r>
    </w:p>
    <w:p>
      <w:pPr>
        <w:pStyle w:val="TextBody"/>
      </w:pPr>
      <w:r>
        <w:t xml:space="preserve">Correlation was assessed by Spearman’s rank or Pearson test.</w:t>
      </w:r>
      <w:r>
        <w:t xml:space="preserve"> </w:t>
      </w:r>
      <w:r>
        <w:t xml:space="preserve">Significance of comparisons of numeric variables between two groups was determined by Mann-Whitney test with r effect size statistic or by two-tailed T test with Cohen’s d effect size metric.</w:t>
      </w:r>
      <w:r>
        <w:t xml:space="preserve"> </w:t>
      </w:r>
      <w:r>
        <w:t xml:space="preserve">Comparisons of categorical variable distributions were evaluated by</w:t>
      </w:r>
      <w:r>
        <w:t xml:space="preserve"> </w:t>
      </w:r>
      <m:oMath>
        <m:sSup>
          <m:e>
            <m:r>
              <m:t>χ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test with Cramer V effect size statistic.</w:t>
      </w:r>
      <w:r>
        <w:t xml:space="preserve"> </w:t>
      </w:r>
      <w:r>
        <w:t xml:space="preserve">Correlation was assessed by Pearson’s or Spearman’s rank test</w:t>
      </w:r>
      <w:r>
        <w:t xml:space="preserve"> </w:t>
      </w:r>
      <w:r>
        <w:t xml:space="preserve">(21,22)</w:t>
      </w:r>
      <w:r>
        <w:t xml:space="preserve">.</w:t>
      </w:r>
    </w:p>
    <w:p>
      <w:pPr>
        <w:pStyle w:val="TextBody"/>
      </w:pPr>
      <w:r>
        <w:t xml:space="preserve">In the SIMMUN cohort, effects of age, sex, body mass class, somatic and metal conditions, body mass class, smoking and alcohol consumption history, the inflammation markers NEO and NLR, SARS-CoV-2 infection status, anti-RBD IgG titer, signs of depression and anxiety (HADS), mental stress scoring (PSS-4) on systemic levels of aminoacid neurotransmitter precursor and competitor pathway products (TRP, KYN, KYN/TRP ratio, PHE, TYR and PHE/TYR ratio) was assessed by multi-parameter linear regression with backward elimination.</w:t>
      </w:r>
      <w:r>
        <w:t xml:space="preserve"> </w:t>
      </w:r>
      <w:r>
        <w:t xml:space="preserve">Modeling responses and explanatory variables were subjected to normality-stabilizing transformations (</w:t>
      </w:r>
      <w:r>
        <w:rPr>
          <w:bCs/>
          <w:b/>
        </w:rPr>
        <w:t xml:space="preserve">Supplementary Table S1</w:t>
      </w:r>
      <w:r>
        <w:t xml:space="preserve">) and normalized prior to modeling in the SIMMUN cohort.</w:t>
      </w:r>
      <w:r>
        <w:t xml:space="preserve"> </w:t>
      </w:r>
      <w:r>
        <w:t xml:space="preserve">Normality and homogeneity of linear model residuals were evaluated by Shapiro-Wilk and Levene test, respectively, and visual inspection (residuals versus fitted and quantile-quantile plots).</w:t>
      </w:r>
      <w:r>
        <w:t xml:space="preserve"> </w:t>
      </w:r>
      <w:r>
        <w:t xml:space="preserve">In the INCOV cohort, effects of age, plasma levels of inflammatory cytokines (IL6, IL10, TNF, IFNG), timepoint of SARS-CoV-2 infection (acute, sub-acute, recovery versus uninfected control) and plasma levels of neurotransmitter precursors and competitor pathway products (TRP, KYN, QUIN, PHE, TYR) on plasma serotonin and DA sulfate were modeled by multi-parameter robust linear regression with the MM algorithm and Huber psi function</w:t>
      </w:r>
      <w:r>
        <w:t xml:space="preserve"> </w:t>
      </w:r>
      <w:r>
        <w:t xml:space="preserve">(23,24)</w:t>
      </w:r>
      <w:r>
        <w:t xml:space="preserve">.</w:t>
      </w:r>
      <w:r>
        <w:t xml:space="preserve"> </w:t>
      </w:r>
      <w:r>
        <w:t xml:space="preserve">Reproducibility and proper parameterization of the multi-parameter linear and robust models was investigated by RMSE and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statistics in 10-fold cross-validation</w:t>
      </w:r>
      <w:r>
        <w:t xml:space="preserve"> </w:t>
      </w:r>
      <w:r>
        <w:t xml:space="preserve">(25)</w:t>
      </w:r>
      <w:r>
        <w:t xml:space="preserve">.</w:t>
      </w:r>
      <w:r>
        <w:t xml:space="preserve"> </w:t>
      </w:r>
      <w:r>
        <w:t xml:space="preserve">Significance of the model estimates was assessed by two-tailed T test.</w:t>
      </w:r>
    </w:p>
    <w:p>
      <w:pPr>
        <w:pStyle w:val="TextBody"/>
      </w:pPr>
      <w:r>
        <w:t xml:space="preserve">Differences in cytokines and metabolites between uninfected controls, acute and sub-acute SARS-CoV-2 infection and recovery in the INCOV collective were investigated by robust linear modeling (MM algorithm, Huber’s psi function) with uninfected subset or acute infection serving as baselines.</w:t>
      </w:r>
    </w:p>
    <w:p>
      <w:pPr>
        <w:pStyle w:val="TextBody"/>
      </w:pPr>
      <w:r>
        <w:t xml:space="preserve">Pairwise Spearman’s correlation coefficients</w:t>
      </w:r>
      <w:r>
        <w:t xml:space="preserve"> </w:t>
      </w:r>
      <m:oMath>
        <m:r>
          <m:t>ρ</m:t>
        </m:r>
      </m:oMath>
      <w:r>
        <w:t xml:space="preserve"> </w:t>
      </w:r>
      <w:r>
        <w:t xml:space="preserve">were calculated for cytokines and metabolites in the INCOV cohort.</w:t>
      </w:r>
      <w:r>
        <w:t xml:space="preserve"> </w:t>
      </w:r>
      <w:r>
        <w:t xml:space="preserve">The correlation matrices were subsequently scaled into the [0, 1] range and converted to undirected force directed graphs</w:t>
      </w:r>
      <w:r>
        <w:t xml:space="preserve"> </w:t>
      </w:r>
      <w:r>
        <w:t xml:space="preserve">(26)</w:t>
      </w:r>
      <w:r>
        <w:t xml:space="preserve">.</w:t>
      </w:r>
      <w:r>
        <w:t xml:space="preserve"> </w:t>
      </w:r>
      <w:r>
        <w:t xml:space="preserve">The graphs were visualized as two-dimensional network plots with the node proximity determined by the</w:t>
      </w:r>
      <w:r>
        <w:t xml:space="preserve"> </w:t>
      </w:r>
      <m:oMath>
        <m:r>
          <m:t>ρ</m:t>
        </m:r>
      </m:oMath>
      <w:r>
        <w:t xml:space="preserve"> </w:t>
      </w:r>
      <w:r>
        <w:t xml:space="preserve">value and distance-dependent repulsion, and edge color and width coding for the</w:t>
      </w:r>
      <w:r>
        <w:t xml:space="preserve"> </w:t>
      </w:r>
      <m:oMath>
        <m:r>
          <m:t>ρ</m:t>
        </m:r>
      </m:oMath>
      <w:r>
        <w:t xml:space="preserve"> </w:t>
      </w:r>
      <w:r>
        <w:t xml:space="preserve">value and sign</w:t>
      </w:r>
      <w:r>
        <w:t xml:space="preserve"> </w:t>
      </w:r>
      <w:r>
        <w:t xml:space="preserve">(27)</w:t>
      </w:r>
      <w:r>
        <w:t xml:space="preserve">.</w:t>
      </w:r>
    </w:p>
    <w:p>
      <w:r>
        <w:br w:type="page"/>
      </w:r>
    </w:p>
    <w:bookmarkEnd w:id="32"/>
    <w:bookmarkEnd w:id="33"/>
    <w:bookmarkStart w:id="37" w:name="results"/>
    <w:p>
      <w:pPr>
        <w:pStyle w:val="Heading1"/>
      </w:pPr>
      <w:r>
        <w:t xml:space="preserve">Results</w:t>
      </w:r>
    </w:p>
    <w:bookmarkStart w:id="34" w:name="characteristic-of-the-study-cohorts"/>
    <w:p>
      <w:pPr>
        <w:pStyle w:val="Heading2"/>
      </w:pPr>
      <w:r>
        <w:t xml:space="preserve">Characteristic of the study cohorts</w:t>
      </w:r>
    </w:p>
    <w:p>
      <w:pPr>
        <w:pStyle w:val="FirstParagraph"/>
      </w:pPr>
      <w:r>
        <w:t xml:space="preserve">Herein, two collectives of uninfected controls and COVID-19 convalescents were analyzed.</w:t>
      </w:r>
      <w:r>
        <w:t xml:space="preserve"> </w:t>
      </w:r>
      <w:r>
        <w:t xml:space="preserve">The SIMMUN cohort, included adult healthy individuals, patients of the University Hospital of Innsbruck and patients of the local psychiatry clinic (Innsbruck, Austria), who underwent routine SARS-CoV-2 PCR screening at the study site between June 2020 and May 2021.</w:t>
      </w:r>
      <w:r>
        <w:t xml:space="preserve"> </w:t>
      </w:r>
      <w:r>
        <w:t xml:space="preserve">Out of 215 individuals enrolled, 165 SIMMUN participants with a study variable dataset were analyzed (</w:t>
      </w:r>
      <w:r>
        <w:rPr>
          <w:bCs/>
          <w:b/>
        </w:rPr>
        <w:t xml:space="preserve">Figure</w:t>
      </w:r>
      <w:r>
        <w:rPr>
          <w:bCs/>
          <w:b/>
        </w:rPr>
        <w:t xml:space="preserve"> </w:t>
      </w:r>
      <w:r>
        <w:rPr>
          <w:bCs/>
          <w:b/>
        </w:rPr>
        <w:t xml:space="preserve">1</w:t>
      </w:r>
      <w:r>
        <w:t xml:space="preserve">,</w:t>
      </w:r>
      <w:r>
        <w:t xml:space="preserve"> </w:t>
      </w:r>
      <w:r>
        <w:rPr>
          <w:bCs/>
          <w:b/>
        </w:rPr>
        <w:t xml:space="preserve">Supplementary Table S1</w:t>
      </w:r>
      <w:r>
        <w:t xml:space="preserve">).</w:t>
      </w:r>
      <w:r>
        <w:t xml:space="preserve"> </w:t>
      </w:r>
      <w:r>
        <w:t xml:space="preserve">The excluded individuals were characterized by more frequent psychiatric conditions, depression and anxiety signs, elevated mental stress scoring and less frequent SARS-CoV-2 infections as compared with the analyzed participants (</w:t>
      </w:r>
      <w:r>
        <w:rPr>
          <w:bCs/>
          <w:b/>
        </w:rPr>
        <w:t xml:space="preserve">Supplementary Table S2</w:t>
      </w:r>
      <w:r>
        <w:t xml:space="preserve">).</w:t>
      </w:r>
      <w:r>
        <w:t xml:space="preserve"> </w:t>
      </w:r>
      <w:r>
        <w:t xml:space="preserve">SARS-CoV-2-positive individuals accounted for 39% of the SIMMUN cohort.</w:t>
      </w:r>
      <w:r>
        <w:t xml:space="preserve"> </w:t>
      </w:r>
      <w:r>
        <w:t xml:space="preserve">None of the participants had received anti-SARS-CoV-2 vaccination prior to enrollment.</w:t>
      </w:r>
      <w:r>
        <w:t xml:space="preserve"> </w:t>
      </w:r>
      <w:r>
        <w:t xml:space="preserve">Males represented</w:t>
      </w:r>
      <w:r>
        <w:t xml:space="preserve"> </w:t>
      </w:r>
      <w:r>
        <w:t xml:space="preserve">38% of the cohort and the median age was 50 years.</w:t>
      </w:r>
      <w:r>
        <w:t xml:space="preserve"> </w:t>
      </w:r>
      <w:r>
        <w:t xml:space="preserve">The gender and age structure of the SARS-CoV-2-negative and -positive subsets was comparable.</w:t>
      </w:r>
      <w:r>
        <w:t xml:space="preserve"> </w:t>
      </w:r>
      <w:r>
        <w:t xml:space="preserve">Roughly half of participants were overweight or obese and suffered from somatic comorbidities; these figures were similar for SARS-CoV-2-negative and -positive individuals.</w:t>
      </w:r>
      <w:r>
        <w:t xml:space="preserve"> </w:t>
      </w:r>
      <w:r>
        <w:t xml:space="preserve">The psychiatric conditions affected 41% of the SIMMUN collective and were more significantly more common in SARS-CoV-2-negative participants.</w:t>
      </w:r>
      <w:r>
        <w:t xml:space="preserve"> </w:t>
      </w:r>
      <w:r>
        <w:t xml:space="preserve">Signs of depression and anxiety, and intensity of mental stress were gauged with the HADS depression, HADS anxiety and PSS-4 tools, respectively</w:t>
      </w:r>
      <w:r>
        <w:t xml:space="preserve"> </w:t>
      </w:r>
      <w:r>
        <w:t xml:space="preserve">(13,14)</w:t>
      </w:r>
      <w:r>
        <w:t xml:space="preserve">.</w:t>
      </w:r>
      <w:r>
        <w:t xml:space="preserve"> </w:t>
      </w:r>
      <w:r>
        <w:t xml:space="preserve">The psychometric tools displayed good-to-excellent internal consistency (</w:t>
      </w:r>
      <m:oMath>
        <m:r>
          <m:t>ω</m:t>
        </m:r>
      </m:oMath>
      <w:r>
        <w:t xml:space="preserve"> </w:t>
      </w:r>
      <w:r>
        <w:t xml:space="preserve">= 0.74 - 0.96)</w:t>
      </w:r>
      <w:r>
        <w:t xml:space="preserve"> </w:t>
      </w:r>
      <w:r>
        <w:t xml:space="preserve">(17)</w:t>
      </w:r>
      <w:r>
        <w:t xml:space="preserve"> </w:t>
      </w:r>
      <w:r>
        <w:t xml:space="preserve">(</w:t>
      </w:r>
      <w:r>
        <w:rPr>
          <w:bCs/>
          <w:b/>
        </w:rPr>
        <w:t xml:space="preserve">Supplementary Figure S1</w:t>
      </w:r>
      <w:r>
        <w:t xml:space="preserve">).</w:t>
      </w:r>
      <w:r>
        <w:t xml:space="preserve"> </w:t>
      </w:r>
      <w:r>
        <w:t xml:space="preserve">Percentages of clinically relevant anxiety signs (HADS</w:t>
      </w:r>
      <w:r>
        <w:t xml:space="preserve"> </w:t>
      </w:r>
      <m:oMath>
        <m:r>
          <m:rPr>
            <m:sty m:val="p"/>
          </m:rPr>
          <m:t>≥</m:t>
        </m:r>
      </m:oMath>
      <w:r>
        <w:t xml:space="preserve"> </w:t>
      </w:r>
      <w:r>
        <w:t xml:space="preserve">8)</w:t>
      </w:r>
      <w:r>
        <w:t xml:space="preserve"> </w:t>
      </w:r>
      <w:r>
        <w:t xml:space="preserve">(14,15)</w:t>
      </w:r>
      <w:r>
        <w:t xml:space="preserve"> </w:t>
      </w:r>
      <w:r>
        <w:t xml:space="preserve">were significantly higher in the uninfected subset.</w:t>
      </w:r>
      <w:r>
        <w:t xml:space="preserve"> </w:t>
      </w:r>
      <w:r>
        <w:t xml:space="preserve">Depression signs tended to be more common in SASR-CoV-2-negative participants; scores of mental stress were comparable in both SARS-CoV-2 strata.</w:t>
      </w:r>
      <w:r>
        <w:t xml:space="preserve"> </w:t>
      </w:r>
      <w:r>
        <w:t xml:space="preserve">As expected, titer of antibodies against the S1/S2 SARS-CoV-2 pathogen (anti-RBD IgG) was significantly higher in the convalescent subset.</w:t>
      </w:r>
      <w:r>
        <w:t xml:space="preserve"> </w:t>
      </w:r>
      <w:r>
        <w:t xml:space="preserve">In 73% of SARS-CoV-2-infected SIMMUN study participants, the infection was mild and ambulatory (</w:t>
      </w:r>
      <w:r>
        <w:rPr>
          <w:bCs/>
          <w:b/>
        </w:rPr>
        <w:t xml:space="preserve">Table</w:t>
      </w:r>
      <w:r>
        <w:rPr>
          <w:bCs/>
          <w:b/>
        </w:rPr>
        <w:t xml:space="preserve"> </w:t>
      </w:r>
      <w:r>
        <w:rPr>
          <w:bCs/>
          <w:b/>
        </w:rPr>
        <w:t xml:space="preserve">1</w:t>
      </w:r>
      <w:r>
        <w:t xml:space="preserve">).</w:t>
      </w:r>
      <w:r>
        <w:t xml:space="preserve"> </w:t>
      </w:r>
      <w:r>
        <w:t xml:space="preserve">In the SIMMUN study, inflammatory markers and metabolites were recorded at a single timepoint.</w:t>
      </w:r>
      <w:r>
        <w:t xml:space="preserve"> </w:t>
      </w:r>
      <w:r>
        <w:t xml:space="preserve">The median SARS-CoV-2 test - sampling interval was 138.5 days (IQR: 119 - 157.25).</w:t>
      </w:r>
    </w:p>
    <w:p>
      <w:pPr>
        <w:pStyle w:val="TextBody"/>
      </w:pPr>
      <w:r>
        <w:t xml:space="preserve">The analyzed subset of the genuine INCOV cohort</w:t>
      </w:r>
      <w:r>
        <w:t xml:space="preserve"> </w:t>
      </w:r>
      <w:r>
        <w:t xml:space="preserve">(8,16)</w:t>
      </w:r>
      <w:r>
        <w:t xml:space="preserve"> </w:t>
      </w:r>
      <w:r>
        <w:t xml:space="preserve">encompassed participants with complete age information, serotonin- and dopamine-related metabolites and major inflammatory cytokines (</w:t>
      </w:r>
      <w:r>
        <w:rPr>
          <w:bCs/>
          <w:b/>
        </w:rPr>
        <w:t xml:space="preserve">Figure</w:t>
      </w:r>
      <w:r>
        <w:rPr>
          <w:bCs/>
          <w:b/>
        </w:rPr>
        <w:t xml:space="preserve"> </w:t>
      </w:r>
      <w:r>
        <w:rPr>
          <w:bCs/>
          <w:b/>
        </w:rPr>
        <w:t xml:space="preserve">1</w:t>
      </w:r>
      <w:r>
        <w:t xml:space="preserve">,</w:t>
      </w:r>
      <w:r>
        <w:t xml:space="preserve"> </w:t>
      </w:r>
      <w:r>
        <w:rPr>
          <w:bCs/>
          <w:b/>
        </w:rPr>
        <w:t xml:space="preserve">Supplementary Table S3</w:t>
      </w:r>
      <w:r>
        <w:t xml:space="preserve">).</w:t>
      </w:r>
      <w:r>
        <w:t xml:space="preserve"> </w:t>
      </w:r>
      <w:r>
        <w:t xml:space="preserve">The metabolites and cytokines were sampled in uninfected individuals and at three timepoints of SARS-CoV-2 infection:</w:t>
      </w:r>
      <w:r>
        <w:t xml:space="preserve"> </w:t>
      </w:r>
      <w:r>
        <w:t xml:space="preserve">acute (median 10 days),</w:t>
      </w:r>
      <w:r>
        <w:t xml:space="preserve"> </w:t>
      </w:r>
      <w:r>
        <w:t xml:space="preserve">sub-acute (median 14 days) and</w:t>
      </w:r>
      <w:r>
        <w:t xml:space="preserve"> </w:t>
      </w:r>
      <w:r>
        <w:t xml:space="preserve">recovery (median 64 days after diagnosis) (</w:t>
      </w:r>
      <w:r>
        <w:rPr>
          <w:bCs/>
          <w:b/>
        </w:rPr>
        <w:t xml:space="preserve">Supplementary Table S4</w:t>
      </w:r>
      <w:r>
        <w:t xml:space="preserve">).</w:t>
      </w:r>
      <w:r>
        <w:t xml:space="preserve"> </w:t>
      </w:r>
      <w:r>
        <w:t xml:space="preserve">Out of</w:t>
      </w:r>
      <w:r>
        <w:t xml:space="preserve"> </w:t>
      </w:r>
      <w:r>
        <w:t xml:space="preserve">645 initially enrolled participants,</w:t>
      </w:r>
      <w:r>
        <w:t xml:space="preserve"> </w:t>
      </w:r>
      <w:r>
        <w:t xml:space="preserve">167 individuals with 354 samples were included in the analyzed INCOV subset (</w:t>
      </w:r>
      <w:r>
        <w:rPr>
          <w:bCs/>
          <w:b/>
        </w:rPr>
        <w:t xml:space="preserve">Figure</w:t>
      </w:r>
      <w:r>
        <w:rPr>
          <w:bCs/>
          <w:b/>
        </w:rPr>
        <w:t xml:space="preserve"> </w:t>
      </w:r>
      <w:r>
        <w:rPr>
          <w:bCs/>
          <w:b/>
        </w:rPr>
        <w:t xml:space="preserve">1</w:t>
      </w:r>
      <w:r>
        <w:t xml:space="preserve">).</w:t>
      </w:r>
      <w:r>
        <w:t xml:space="preserve"> </w:t>
      </w:r>
      <w:r>
        <w:t xml:space="preserve">SARS-CoV-2-positive individuals comprised 84% of the analyzed INCOV collective.</w:t>
      </w:r>
      <w:r>
        <w:t xml:space="preserve"> </w:t>
      </w:r>
      <w:r>
        <w:t xml:space="preserve">Males constituted</w:t>
      </w:r>
      <w:r>
        <w:t xml:space="preserve"> </w:t>
      </w:r>
      <w:r>
        <w:t xml:space="preserve">56% of participants, the median age was 60 years.</w:t>
      </w:r>
      <w:r>
        <w:t xml:space="preserve"> </w:t>
      </w:r>
      <w:r>
        <w:t xml:space="preserve">SARS-CoV-2-positive participants were significantly older than the uninfected subset.</w:t>
      </w:r>
      <w:r>
        <w:t xml:space="preserve"> </w:t>
      </w:r>
      <w:r>
        <w:t xml:space="preserve">Shares of overweight or obese individuals tended to be higher in the SARS-COV-2 group.</w:t>
      </w:r>
      <w:r>
        <w:t xml:space="preserve"> </w:t>
      </w:r>
      <w:r>
        <w:t xml:space="preserve">Nearly all (97%) of SARS-CoV-2-positive INCOV individuals were hospitalized due to a moderate-to-critical infection (</w:t>
      </w:r>
      <w:r>
        <w:rPr>
          <w:bCs/>
          <w:b/>
        </w:rPr>
        <w:t xml:space="preserve">Table</w:t>
      </w:r>
      <w:r>
        <w:rPr>
          <w:bCs/>
          <w:b/>
        </w:rPr>
        <w:t xml:space="preserve"> </w:t>
      </w:r>
      <w:r>
        <w:rPr>
          <w:bCs/>
          <w:b/>
        </w:rPr>
        <w:t xml:space="preserve">2</w:t>
      </w:r>
      <w:r>
        <w:t xml:space="preserve">).</w:t>
      </w:r>
    </w:p>
    <w:p>
      <w:pPr>
        <w:pStyle w:val="TextBody"/>
      </w:pPr>
      <w:r>
        <w:t xml:space="preserve">As compared with the SIMMUN collective, INCOV study participants were characterized by a significantly higher percentages of males, more advanced age, elevated rates of overweight or obesity, higher share of SARS-CoV-2 cases and more severe infection course (</w:t>
      </w:r>
      <w:r>
        <w:rPr>
          <w:bCs/>
          <w:b/>
        </w:rPr>
        <w:t xml:space="preserve">Supplementary Table S5</w:t>
      </w:r>
      <w:r>
        <w:t xml:space="preserve">).</w:t>
      </w:r>
    </w:p>
    <w:bookmarkEnd w:id="34"/>
    <w:bookmarkStart w:id="35" w:name="Xd55176a3b34b22afbbf49b1d25332a90b28e1a5"/>
    <w:p>
      <w:pPr>
        <w:pStyle w:val="Heading2"/>
      </w:pPr>
      <w:r>
        <w:t xml:space="preserve">Inflammation, SARS-CoV-2 infection, age, mental stress and depression influence systemic levels of neutrotransmitter precursors</w:t>
      </w:r>
    </w:p>
    <w:p>
      <w:pPr>
        <w:pStyle w:val="FirstParagraph"/>
      </w:pPr>
      <w:r>
        <w:t xml:space="preserve">In an initial search for predictors of neurotransmitter turnover, we modeled plasma TRP, KYN and KYN/TRP as readouts of systemic serotonin</w:t>
      </w:r>
      <w:r>
        <w:t xml:space="preserve"> </w:t>
      </w:r>
      <w:r>
        <w:t xml:space="preserve">(2,9)</w:t>
      </w:r>
      <w:r>
        <w:t xml:space="preserve">, and PHE, TYR and PHE/TYR as markers of dopamine availability</w:t>
      </w:r>
      <w:r>
        <w:t xml:space="preserve"> </w:t>
      </w:r>
      <w:r>
        <w:t xml:space="preserve">(5,11)</w:t>
      </w:r>
      <w:r>
        <w:t xml:space="preserve"> </w:t>
      </w:r>
      <w:r>
        <w:t xml:space="preserve">in the INCOV collective.</w:t>
      </w:r>
      <w:r>
        <w:t xml:space="preserve"> </w:t>
      </w:r>
      <w:r>
        <w:t xml:space="preserve">The candidate explanatory variables were age, sex, body mass, somatic and mental conditions, alcohol and tobacco consumption, SARS-CoV-2 infection recovery, anti-SARS-CoV-2 antibody titer, NEO and NLR as inflammatory markers, as well as mental stress, depression and anxiety signs (</w:t>
      </w:r>
      <w:r>
        <w:rPr>
          <w:bCs/>
          <w:b/>
        </w:rPr>
        <w:t xml:space="preserve">Supplementary Table S1</w:t>
      </w:r>
      <w:r>
        <w:t xml:space="preserve">).</w:t>
      </w:r>
    </w:p>
    <w:p>
      <w:pPr>
        <w:pStyle w:val="TextBody"/>
      </w:pPr>
      <w:r>
        <w:t xml:space="preserve">Full multi-parameter linear models were optimized by backwards elimination of non-significant terms</w:t>
      </w:r>
      <w:r>
        <w:t xml:space="preserve"> </w:t>
      </w:r>
      <w:r>
        <w:t xml:space="preserve">(24)</w:t>
      </w:r>
      <w:r>
        <w:t xml:space="preserve"> </w:t>
      </w:r>
      <w:r>
        <w:t xml:space="preserve">(</w:t>
      </w:r>
      <w:r>
        <w:rPr>
          <w:bCs/>
          <w:b/>
        </w:rPr>
        <w:t xml:space="preserve">Supplementary Table S6</w:t>
      </w:r>
      <w:r>
        <w:t xml:space="preserve">).</w:t>
      </w:r>
      <w:r>
        <w:t xml:space="preserve"> </w:t>
      </w:r>
      <w:r>
        <w:t xml:space="preserve">Meaningful models could be established for TRP, KYN, KYN/TRP, TYR and PHE/TYR.</w:t>
      </w:r>
      <w:r>
        <w:t xml:space="preserve"> </w:t>
      </w:r>
      <w:r>
        <w:t xml:space="preserve">The PHE model had a negligible explanatory performance, proved non-significant as compared with the intercept-only null model and was hence not further analyzed.</w:t>
      </w:r>
      <w:r>
        <w:t xml:space="preserve"> </w:t>
      </w:r>
      <w:r>
        <w:t xml:space="preserve">The remaining models were characterized by good reproducibility and proper parameterization as indicated by comparable fit errors in the genuine dataset and cross-validation.</w:t>
      </w:r>
      <w:r>
        <w:t xml:space="preserve"> </w:t>
      </w:r>
      <w:r>
        <w:t xml:space="preserve">The KYN and KYN/TRP ratio models had the best explanatory performance measured by cross-validated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of</w:t>
      </w:r>
      <w:r>
        <w:t xml:space="preserve"> </w:t>
      </w:r>
      <w:r>
        <w:t xml:space="preserve">0.21 and</w:t>
      </w:r>
      <w:r>
        <w:t xml:space="preserve"> </w:t>
      </w:r>
      <w:r>
        <w:t xml:space="preserve">0.3, respectively.</w:t>
      </w:r>
      <w:r>
        <w:t xml:space="preserve"> </w:t>
      </w:r>
      <w:r>
        <w:t xml:space="preserve">The TRP, TYR and PHE/TYR models could explain between</w:t>
      </w:r>
      <w:r>
        <w:t xml:space="preserve"> </w:t>
      </w:r>
      <w:r>
        <w:t xml:space="preserve">10% and</w:t>
      </w:r>
      <w:r>
        <w:t xml:space="preserve"> </w:t>
      </w:r>
      <w:r>
        <w:t xml:space="preserve">15% of the cross-validated response variances 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,</w:t>
      </w:r>
      <w:r>
        <w:t xml:space="preserve"> </w:t>
      </w:r>
      <w:r>
        <w:rPr>
          <w:bCs/>
          <w:b/>
        </w:rPr>
        <w:t xml:space="preserve">Supplementary Figure S2</w:t>
      </w:r>
      <w:r>
        <w:t xml:space="preserve">).</w:t>
      </w:r>
    </w:p>
    <w:p>
      <w:pPr>
        <w:pStyle w:val="TextBody"/>
      </w:pPr>
      <w:r>
        <w:t xml:space="preserve">The inflammatory marker NEO and depression signs were independently associated with reduced plasma TRP.</w:t>
      </w:r>
      <w:r>
        <w:t xml:space="preserve"> </w:t>
      </w:r>
      <w:r>
        <w:t xml:space="preserve">Increased KYN and KYN/TRP were significantly associated with SARS-CoV-2 infection, elevated NEO and age.</w:t>
      </w:r>
      <w:r>
        <w:t xml:space="preserve"> </w:t>
      </w:r>
      <w:r>
        <w:t xml:space="preserve">Additionally, high mental stress was linked to increased KYN/TRP.</w:t>
      </w:r>
      <w:r>
        <w:br/>
      </w:r>
      <w:r>
        <w:t xml:space="preserve">Low NLR, in turn, was related to increased KYN (</w:t>
      </w:r>
      <w:r>
        <w:rPr>
          <w:bCs/>
          <w:b/>
        </w:rPr>
        <w:t xml:space="preserve">Figure</w:t>
      </w:r>
      <w:r>
        <w:rPr>
          <w:bCs/>
          <w:b/>
        </w:rPr>
        <w:t xml:space="preserve"> </w:t>
      </w:r>
      <w:r>
        <w:rPr>
          <w:bCs/>
          <w:b/>
        </w:rPr>
        <w:t xml:space="preserve">2</w:t>
      </w:r>
      <w:r>
        <w:rPr>
          <w:bCs/>
          <w:b/>
        </w:rPr>
        <w:t xml:space="preserve">A</w:t>
      </w:r>
      <w:r>
        <w:t xml:space="preserve">).</w:t>
      </w:r>
      <w:r>
        <w:t xml:space="preserve"> </w:t>
      </w:r>
      <w:r>
        <w:t xml:space="preserve">Plasma TYR concentrations were negatively regulated by inflammation gauged by NEO and rose significantly with age.</w:t>
      </w:r>
      <w:r>
        <w:t xml:space="preserve"> </w:t>
      </w:r>
      <w:r>
        <w:t xml:space="preserve">SARS-CoV infection and age were independently linked to lower PHE/TYR (</w:t>
      </w:r>
      <w:r>
        <w:rPr>
          <w:bCs/>
          <w:b/>
        </w:rPr>
        <w:t xml:space="preserve">Figure</w:t>
      </w:r>
      <w:r>
        <w:rPr>
          <w:bCs/>
          <w:b/>
        </w:rPr>
        <w:t xml:space="preserve"> </w:t>
      </w:r>
      <w:r>
        <w:rPr>
          <w:bCs/>
          <w:b/>
        </w:rPr>
        <w:t xml:space="preserve">2</w:t>
      </w:r>
      <w:r>
        <w:rPr>
          <w:bCs/>
          <w:b/>
        </w:rPr>
        <w:t xml:space="preserve">B</w:t>
      </w:r>
      <w:r>
        <w:t xml:space="preserve">).</w:t>
      </w:r>
    </w:p>
    <w:p>
      <w:pPr>
        <w:pStyle w:val="TextBody"/>
      </w:pPr>
      <w:r>
        <w:t xml:space="preserve">In, univariable analysis of the INCOV dataset (</w:t>
      </w:r>
      <w:r>
        <w:rPr>
          <w:bCs/>
          <w:b/>
        </w:rPr>
        <w:t xml:space="preserve">Supplementary Tables S7 - S8</w:t>
      </w:r>
      <w:r>
        <w:t xml:space="preserve">), we could corroborate significant, positive, moderate-to-strong correlations of age and NEO with increased KYN and higher KYN/TRP (</w:t>
      </w:r>
      <w:r>
        <w:rPr>
          <w:bCs/>
          <w:b/>
        </w:rPr>
        <w:t xml:space="preserve">Supplementary Figure S3</w:t>
      </w:r>
      <w:r>
        <w:t xml:space="preserve">).</w:t>
      </w:r>
      <w:r>
        <w:t xml:space="preserve"> </w:t>
      </w:r>
      <w:r>
        <w:t xml:space="preserve">Participant’s age was paralleled by elevated circulating TYR and lowered PHE/TYR in univariable correlation analysis (</w:t>
      </w:r>
      <w:r>
        <w:rPr>
          <w:bCs/>
          <w:b/>
        </w:rPr>
        <w:t xml:space="preserve">Supplementary Figure S4</w:t>
      </w:r>
      <w:r>
        <w:t xml:space="preserve">).</w:t>
      </w:r>
    </w:p>
    <w:p>
      <w:pPr>
        <w:pStyle w:val="TextBody"/>
      </w:pPr>
      <w:r>
        <w:t xml:space="preserve">Collectively, in the SIMMUN cohort, systemic inflammation reflected by NEO, SARS-CoV-2 infection and age were the key factors, which possibly brake serotonin synthesis by depletion of its precursor TRP via the KYN pathway.</w:t>
      </w:r>
      <w:r>
        <w:t xml:space="preserve"> </w:t>
      </w:r>
      <w:r>
        <w:t xml:space="preserve">This mechanism may be further perpetuated by signs of depression and mental stress.</w:t>
      </w:r>
      <w:r>
        <w:t xml:space="preserve"> </w:t>
      </w:r>
      <w:r>
        <w:t xml:space="preserve">Age and SARS-CoV-2 infection are proposed as regulators of the dopamine precursors, PHE and TYR.</w:t>
      </w:r>
    </w:p>
    <w:bookmarkEnd w:id="35"/>
    <w:bookmarkStart w:id="36" w:name="X12bb5292bc9b198560d2d94fe536d734e7ae93d"/>
    <w:p>
      <w:pPr>
        <w:pStyle w:val="Heading2"/>
      </w:pPr>
      <w:r>
        <w:t xml:space="preserve">Inflammatory cytokines, SARS-CoV-2 infection course, age and availability of biosynthesis precursors regulate systemic serotonine and dopamine turnover</w:t>
      </w:r>
    </w:p>
    <w:p>
      <w:pPr>
        <w:pStyle w:val="FirstParagraph"/>
      </w:pPr>
      <w:r>
        <w:t xml:space="preserve">Next, we validated the effects of inflammation, SARS-CoV-2 infection and age on serotonin and dopamine metabolism in the INCOV cohort</w:t>
      </w:r>
      <w:r>
        <w:t xml:space="preserve"> </w:t>
      </w:r>
      <w:r>
        <w:t xml:space="preserve">(8)</w:t>
      </w:r>
      <w:r>
        <w:t xml:space="preserve">.</w:t>
      </w:r>
      <w:r>
        <w:t xml:space="preserve"> </w:t>
      </w:r>
      <w:r>
        <w:t xml:space="preserve">The outcome parameters in such analyses were plasma levels of serotonin</w:t>
      </w:r>
      <w:r>
        <w:t xml:space="preserve"> </w:t>
      </w:r>
      <w:r>
        <w:t xml:space="preserve">(1–4)</w:t>
      </w:r>
      <w:r>
        <w:t xml:space="preserve">, and DA sulfate, a the main circulating dopamine catabolite</w:t>
      </w:r>
      <w:r>
        <w:t xml:space="preserve"> </w:t>
      </w:r>
      <w:r>
        <w:t xml:space="preserve">(5–7)</w:t>
      </w:r>
      <w:r>
        <w:t xml:space="preserve">.</w:t>
      </w:r>
      <w:r>
        <w:t xml:space="preserve"> </w:t>
      </w:r>
      <w:r>
        <w:t xml:space="preserve">The explanatory variables were age, infection timepoint, major inflammatory cytokines (IL6, IL10, TNG, IFNG), precursors and competitor metabolites of serotonin (TRP, KYN, QUIN), and precursors of dopamine (PHE, TYR) (</w:t>
      </w:r>
      <w:r>
        <w:rPr>
          <w:bCs/>
          <w:b/>
        </w:rPr>
        <w:t xml:space="preserve">Supplementary Table S3</w:t>
      </w:r>
      <w:r>
        <w:t xml:space="preserve">).</w:t>
      </w:r>
    </w:p>
    <w:p>
      <w:pPr>
        <w:pStyle w:val="TextBody"/>
      </w:pPr>
      <w:r>
        <w:t xml:space="preserve">Multi-parameter robust regression models could explain</w:t>
      </w:r>
      <w:r>
        <w:t xml:space="preserve"> </w:t>
      </w:r>
      <w:r>
        <w:t xml:space="preserve">13% and</w:t>
      </w:r>
      <w:r>
        <w:t xml:space="preserve"> </w:t>
      </w:r>
      <w:r>
        <w:t xml:space="preserve">11% of cross-validated variance of serotonin and DA sulfate.</w:t>
      </w:r>
      <w:r>
        <w:t xml:space="preserve"> </w:t>
      </w:r>
      <w:r>
        <w:t xml:space="preserve">Comparable model errors in the training dataset and cross-validation indicated good reproducibility and proper parameterization of the models (</w:t>
      </w:r>
      <w:r>
        <w:rPr>
          <w:bCs/>
          <w:b/>
        </w:rPr>
        <w:t xml:space="preserve">Figure</w:t>
      </w:r>
      <w:r>
        <w:rPr>
          <w:bCs/>
          <w:b/>
        </w:rPr>
        <w:t xml:space="preserve"> </w:t>
      </w:r>
      <w:r>
        <w:rPr>
          <w:bCs/>
          <w:b/>
        </w:rPr>
        <w:t xml:space="preserve">3</w:t>
      </w:r>
      <w:r>
        <w:rPr>
          <w:bCs/>
          <w:b/>
        </w:rPr>
        <w:t xml:space="preserve">A</w:t>
      </w:r>
      <w:r>
        <w:t xml:space="preserve">).</w:t>
      </w:r>
      <w:r>
        <w:t xml:space="preserve"> </w:t>
      </w:r>
      <w:r>
        <w:t xml:space="preserve">In the INCOV collective,</w:t>
      </w:r>
      <w:r>
        <w:t xml:space="preserve"> </w:t>
      </w:r>
      <w:r>
        <w:t xml:space="preserve">4 predictors of plasma serotonin were identified.</w:t>
      </w:r>
      <w:r>
        <w:t xml:space="preserve"> </w:t>
      </w:r>
      <w:r>
        <w:t xml:space="preserve">Age and IL6 was associated with significantly lower serotonin levels, whereas TRP and the SARS-CoV-2 recovery timepoint, i.e. 64 were predictors of increased serotonin.</w:t>
      </w:r>
      <w:r>
        <w:t xml:space="preserve"> </w:t>
      </w:r>
      <w:r>
        <w:t xml:space="preserve">The SARS-CoV-2 recovery timepoint and TNF predicted higher DA sulfate levels, and IFNG was associated with a significantly decreased DA sulfate (</w:t>
      </w:r>
      <w:r>
        <w:rPr>
          <w:bCs/>
          <w:b/>
        </w:rPr>
        <w:t xml:space="preserve">Figure</w:t>
      </w:r>
      <w:r>
        <w:rPr>
          <w:bCs/>
          <w:b/>
        </w:rPr>
        <w:t xml:space="preserve"> </w:t>
      </w:r>
      <w:r>
        <w:rPr>
          <w:bCs/>
          <w:b/>
        </w:rPr>
        <w:t xml:space="preserve">3</w:t>
      </w:r>
      <w:r>
        <w:t xml:space="preserve">,</w:t>
      </w:r>
      <w:r>
        <w:t xml:space="preserve"> </w:t>
      </w:r>
      <w:r>
        <w:rPr>
          <w:bCs/>
          <w:b/>
        </w:rPr>
        <w:t xml:space="preserve">Supplementary Table S9</w:t>
      </w:r>
      <w:r>
        <w:t xml:space="preserve">).</w:t>
      </w:r>
    </w:p>
    <w:p>
      <w:pPr>
        <w:pStyle w:val="TextBody"/>
      </w:pPr>
      <w:r>
        <w:t xml:space="preserve">These findings were confirmed by time course modeling.</w:t>
      </w:r>
      <w:r>
        <w:t xml:space="preserve"> </w:t>
      </w:r>
      <w:r>
        <w:t xml:space="preserve">The peak inflammatory cytokine levels during acute infection were paralleled by a significant decrease in the serotonin precursor TRP and upregulated TRP decay products KYN and QUIN</w:t>
      </w:r>
      <w:r>
        <w:t xml:space="preserve"> </w:t>
      </w:r>
      <w:r>
        <w:t xml:space="preserve">(9)</w:t>
      </w:r>
      <w:r>
        <w:t xml:space="preserve">.</w:t>
      </w:r>
      <w:r>
        <w:t xml:space="preserve"> </w:t>
      </w:r>
      <w:r>
        <w:t xml:space="preserve">The inflammatory milieu of acute infection correlated with a significant rise in PHE, suggestive of an inhibited PHE - TYR conversion</w:t>
      </w:r>
      <w:r>
        <w:t xml:space="preserve"> </w:t>
      </w:r>
      <w:r>
        <w:t xml:space="preserve">(11)</w:t>
      </w:r>
      <w:r>
        <w:t xml:space="preserve">.</w:t>
      </w:r>
      <w:r>
        <w:t xml:space="preserve"> </w:t>
      </w:r>
      <w:r>
        <w:t xml:space="preserve">In turn, resolution of systemic inflammation during sub-acute SARS-CoV-2 infection and recovery, was associated with significantly decreased KYN and QUIN, paralleled by elevated TRP and serotonin.</w:t>
      </w:r>
      <w:r>
        <w:t xml:space="preserve"> </w:t>
      </w:r>
      <w:r>
        <w:t xml:space="preserve">This suggests re-routing of the TRP from IDO-mediated decay to the serotonin biosynthesis</w:t>
      </w:r>
      <w:r>
        <w:t xml:space="preserve"> </w:t>
      </w:r>
      <w:r>
        <w:t xml:space="preserve">(9)</w:t>
      </w:r>
      <w:r>
        <w:t xml:space="preserve">.</w:t>
      </w:r>
      <w:r>
        <w:t xml:space="preserve"> </w:t>
      </w:r>
      <w:r>
        <w:t xml:space="preserve">Similarly, infection recovery was associated with significantly decreased PHE and elevated DA sulfate suggestive of an efficient PH - TYR conversion, dopamine synthesis and subsequent dopamine sulfonylation</w:t>
      </w:r>
      <w:r>
        <w:t xml:space="preserve"> </w:t>
      </w:r>
      <w:r>
        <w:t xml:space="preserve">(5–7,11)</w:t>
      </w:r>
      <w:r>
        <w:t xml:space="preserve">.</w:t>
      </w:r>
    </w:p>
    <w:p>
      <w:pPr>
        <w:pStyle w:val="TextBody"/>
      </w:pPr>
      <w:r>
        <w:t xml:space="preserve">In correlation analysis, plasma serotonin TRP were negatively associated with inflammatory cytokines with at least moderate strength (</w:t>
      </w:r>
      <m:oMath>
        <m:r>
          <m:t>ρ</m:t>
        </m:r>
      </m:oMath>
      <w:r>
        <w:t xml:space="preserve"> </w:t>
      </w:r>
      <w:r>
        <w:t xml:space="preserve">&gt; 0.2) during acute and sub-acute infection.</w:t>
      </w:r>
      <w:r>
        <w:t xml:space="preserve"> </w:t>
      </w:r>
      <w:r>
        <w:t xml:space="preserve">By contrast, the TRP decay products KYN and QUIN correlated positively with circulating IL6, IL10, TNF and IFNG.</w:t>
      </w:r>
      <w:r>
        <w:t xml:space="preserve"> </w:t>
      </w:r>
      <w:r>
        <w:t xml:space="preserve">Serotonin levels correlated also TRP during acute and sub-acute infection with moderate effect size (acute:</w:t>
      </w:r>
      <w:r>
        <w:t xml:space="preserve"> </w:t>
      </w:r>
      <m:oMath>
        <m:r>
          <m:t>ρ</m:t>
        </m:r>
      </m:oMath>
      <w:r>
        <w:t xml:space="preserve"> </w:t>
      </w:r>
      <w:r>
        <w:t xml:space="preserve">= 0.2,</w:t>
      </w:r>
      <w:r>
        <w:t xml:space="preserve"> </w:t>
      </w:r>
      <w:r>
        <w:t xml:space="preserve">sub-acute:</w:t>
      </w:r>
      <w:r>
        <w:t xml:space="preserve"> </w:t>
      </w:r>
      <m:oMath>
        <m:r>
          <m:t>ρ</m:t>
        </m:r>
      </m:oMath>
      <w:r>
        <w:t xml:space="preserve"> </w:t>
      </w:r>
      <w:r>
        <w:t xml:space="preserve">= 0.3).</w:t>
      </w:r>
      <w:r>
        <w:t xml:space="preserve"> </w:t>
      </w:r>
      <w:r>
        <w:t xml:space="preserve">This may indicate that systemic availability of tryptophan may be particularly crucial for serotonin synthesis at the peak of the infection-related inflammation (</w:t>
      </w:r>
      <w:r>
        <w:rPr>
          <w:bCs/>
          <w:b/>
        </w:rPr>
        <w:t xml:space="preserve">Figure</w:t>
      </w:r>
      <w:r>
        <w:rPr>
          <w:bCs/>
          <w:b/>
        </w:rPr>
        <w:t xml:space="preserve"> </w:t>
      </w:r>
      <w:r>
        <w:rPr>
          <w:bCs/>
          <w:b/>
        </w:rPr>
        <w:t xml:space="preserve">5</w:t>
      </w:r>
      <w:r>
        <w:rPr>
          <w:bCs/>
          <w:b/>
        </w:rPr>
        <w:t xml:space="preserve">A</w:t>
      </w:r>
      <w:r>
        <w:t xml:space="preserve">).</w:t>
      </w:r>
      <w:r>
        <w:t xml:space="preserve"> </w:t>
      </w:r>
      <w:r>
        <w:t xml:space="preserve">Concerning the dopamine turnover metabolites, moderate-to-strong positive correlations of PHE with inflammatory cytokines and negative association of TYR with inflammatory markers could be observed in acute and sub-acute infection.</w:t>
      </w:r>
      <w:r>
        <w:t xml:space="preserve"> </w:t>
      </w:r>
      <w:r>
        <w:t xml:space="preserve">For these timepoints, moderate, negative correlation of IFNG and IL6 with plasma levels of DA sulfate were identified.</w:t>
      </w:r>
      <w:r>
        <w:t xml:space="preserve"> </w:t>
      </w:r>
      <w:r>
        <w:t xml:space="preserve">This regulatory pattern of dopamine-related metabolite regulation during infection fits well into the proposed inhibition of PHE-TYR conversion and dopamine biosynthesis by inflammation</w:t>
      </w:r>
      <w:r>
        <w:t xml:space="preserve"> </w:t>
      </w:r>
      <w:r>
        <w:t xml:space="preserve">(11)</w:t>
      </w:r>
      <w:r>
        <w:t xml:space="preserve">.</w:t>
      </w:r>
    </w:p>
    <w:p>
      <w:pPr>
        <w:pStyle w:val="TextBody"/>
      </w:pPr>
      <w:r>
        <w:t xml:space="preserve">In sum, the analyses of the longitudinal INCOV collective suggest the SARS-CoV-2-elicited inflammation bolsters the TRP catabolism via the KYN pathway and downregulates the PHE - TYR conversion, which may limit serotonin and dopamine formation during acute infection and early recovery.</w:t>
      </w:r>
    </w:p>
    <w:p>
      <w:r>
        <w:br w:type="page"/>
      </w:r>
    </w:p>
    <w:bookmarkEnd w:id="36"/>
    <w:bookmarkEnd w:id="37"/>
    <w:bookmarkStart w:id="38" w:name="discussion"/>
    <w:p>
      <w:pPr>
        <w:pStyle w:val="Heading1"/>
      </w:pPr>
      <w:r>
        <w:t xml:space="preserve">Discussion</w:t>
      </w:r>
    </w:p>
    <w:p>
      <w:pPr>
        <w:pStyle w:val="FirstParagraph"/>
      </w:pPr>
      <w:r>
        <w:t xml:space="preserve">With two cohorts consisting of uninfected and SARS-CoV-2-positive individuals, we explored the effects of demographic, clinical, psychometric, infection-, inflammation- and SARS-CoV-2-related factors on systemic turnover of serotonin and dopamine.</w:t>
      </w:r>
      <w:r>
        <w:t xml:space="preserve"> </w:t>
      </w:r>
      <w:r>
        <w:t xml:space="preserve">Our results underline the pivotal role of SARS-CoV-2-dependent and -independent, e.g. chronic low grade inflammation on systemic availability of serotonin and dopamine.</w:t>
      </w:r>
      <w:r>
        <w:t xml:space="preserve"> </w:t>
      </w:r>
      <w:r>
        <w:t xml:space="preserve">Furthermore, they put forward plasma TRP levels as a one of limiting factors for systemic serotonin biosynthesis during SARS-CoV-2 infection.</w:t>
      </w:r>
      <w:r>
        <w:t xml:space="preserve"> </w:t>
      </w:r>
      <w:r>
        <w:t xml:space="preserve">Mechanistically, we corroborate the stimulatory effect of inflammation on IDO, which catalyzes the decay of TRP to KYN and hence suppresses serotonin synthesis by depletion of its precursor.</w:t>
      </w:r>
      <w:r>
        <w:t xml:space="preserve"> </w:t>
      </w:r>
      <w:r>
        <w:t xml:space="preserve">Advanced age, mental stress and depression were proposed as infection-independent factors contributing to reduced TRP and, consequently, reduced serotonin formation.</w:t>
      </w:r>
      <w:r>
        <w:t xml:space="preserve"> </w:t>
      </w:r>
      <w:r>
        <w:t xml:space="preserve">Our data suggest similar inhibitory effects of inflammation and age on PHE - TYR conversion, which is the initial step of dopamine formation.</w:t>
      </w:r>
    </w:p>
    <w:p>
      <w:pPr>
        <w:pStyle w:val="TextBody"/>
      </w:pPr>
      <w:r>
        <w:rPr>
          <w:iCs/>
          <w:i/>
        </w:rPr>
        <w:t xml:space="preserve">Points to discuss</w:t>
      </w:r>
    </w:p>
    <w:p>
      <w:pPr>
        <w:numPr>
          <w:ilvl w:val="0"/>
          <w:numId w:val="1001"/>
        </w:numPr>
      </w:pPr>
      <w:r>
        <w:t xml:space="preserve">Role of inflammation and SARS-CoV-2 in activity of the TRP -&gt; KYN pathway and its implication for systemic serotonin synthesis</w:t>
      </w:r>
    </w:p>
    <w:p>
      <w:pPr>
        <w:numPr>
          <w:ilvl w:val="0"/>
          <w:numId w:val="1001"/>
        </w:numPr>
      </w:pPr>
      <w:r>
        <w:t xml:space="preserve">Role of inflammation and SARS-CoV-2 in the PHE - TYR conversion and subsequent dopamine synthesis</w:t>
      </w:r>
    </w:p>
    <w:p>
      <w:pPr>
        <w:numPr>
          <w:ilvl w:val="0"/>
          <w:numId w:val="1001"/>
        </w:numPr>
      </w:pPr>
      <w:r>
        <w:t xml:space="preserve">Effects of mental health-related factors on serotonin and dopamine availability, mutual relationship?</w:t>
      </w:r>
    </w:p>
    <w:p>
      <w:pPr>
        <w:numPr>
          <w:ilvl w:val="0"/>
          <w:numId w:val="1001"/>
        </w:numPr>
      </w:pPr>
      <w:r>
        <w:t xml:space="preserve">Systemic turnover of serotonin and dopamine - is it relevant for the central nervous system? Pro and contra!</w:t>
      </w:r>
    </w:p>
    <w:bookmarkEnd w:id="38"/>
    <w:bookmarkStart w:id="39" w:name="limitations"/>
    <w:p>
      <w:pPr>
        <w:pStyle w:val="Heading1"/>
      </w:pPr>
      <w:r>
        <w:t xml:space="preserve">Limitations</w:t>
      </w:r>
    </w:p>
    <w:p>
      <w:pPr>
        <w:pStyle w:val="FirstParagraph"/>
      </w:pPr>
      <w:r>
        <w:t xml:space="preserve">Our study has limitations.</w:t>
      </w:r>
      <w:r>
        <w:t xml:space="preserve"> </w:t>
      </w:r>
      <w:r>
        <w:t xml:space="preserve">First, circulating serotonin, dopamine or any abundant dopamine metabolites (e.g. DA sulfate)</w:t>
      </w:r>
      <w:r>
        <w:t xml:space="preserve"> </w:t>
      </w:r>
      <w:r>
        <w:t xml:space="preserve">(5–7)</w:t>
      </w:r>
      <w:r>
        <w:t xml:space="preserve">, i.e. more direct readouts of neurotransmitter turnover, were not measured in the SIMMUN cohort.</w:t>
      </w:r>
      <w:r>
        <w:t xml:space="preserve"> </w:t>
      </w:r>
      <w:r>
        <w:t xml:space="preserve">Additionally, the metabolite were measured in the SIMMUN cohort at a single time point with a highly variable infection - sampling time interval.</w:t>
      </w:r>
      <w:r>
        <w:t xml:space="preserve"> </w:t>
      </w:r>
      <w:r>
        <w:t xml:space="preserve">This precluded time course analyses like those conducted in the INCOV cohort.</w:t>
      </w:r>
      <w:r>
        <w:t xml:space="preserve"> </w:t>
      </w:r>
      <w:r>
        <w:t xml:space="preserve">For the INCOV collective, KYN/TRP and PHE/TYR could not be computed with normalized metabolome data, and measurements of stress, depression and anxiety were not available.</w:t>
      </w:r>
      <w:r>
        <w:t xml:space="preserve"> </w:t>
      </w:r>
      <w:r>
        <w:t xml:space="preserve">This incompatibility of the datasets precluded development of comprehensive multi-parameter models in one of the cohorts and subsequent direct validation in the other.</w:t>
      </w:r>
      <w:r>
        <w:t xml:space="preserve"> </w:t>
      </w:r>
      <w:r>
        <w:t xml:space="preserve">Second, relevance of circulating serotonin- and dopamine-related metabolites for the neurotransmitter metabolism in the central nervous system and mental health disorders is controversial, as discussed above.</w:t>
      </w:r>
      <w:r>
        <w:t xml:space="preserve"> </w:t>
      </w:r>
      <w:r>
        <w:t xml:space="preserve">Third, the SIMMUN cohort suffered from a selection bias due to enrichment in psychiatric and hospital patients with a high rate of mental and somatic conditions.</w:t>
      </w:r>
      <w:r>
        <w:t xml:space="preserve"> </w:t>
      </w:r>
      <w:r>
        <w:t xml:space="preserve">Hence, the SIMMUN collective is not representative for the entire pandemic population.</w:t>
      </w:r>
      <w:r>
        <w:t xml:space="preserve"> </w:t>
      </w:r>
      <w:r>
        <w:t xml:space="preserve">Fourth, both the SIMMUN and INCOV cohorts were recruited during initial phases of the pandemic and do not include any (SIMMUN) or systematically vaccinated patients (INCOV).</w:t>
      </w:r>
      <w:r>
        <w:t xml:space="preserve"> </w:t>
      </w:r>
      <w:r>
        <w:t xml:space="preserve">Similarly, the analyzed cohorts were exposed to wild-type-like SARS-CoV-2 variants and do not allow to assess effects of repeated, seasonal infections with highly transmissible but far less virulent omicron pathogens.</w:t>
      </w:r>
      <w:r>
        <w:t xml:space="preserve"> </w:t>
      </w:r>
      <w:r>
        <w:t xml:space="preserve">For these reasons, studies with recent, real world post-pandemic collectives are urgently needed to validate our findings.</w:t>
      </w:r>
      <w:r>
        <w:t xml:space="preserve"> </w:t>
      </w:r>
      <w:r>
        <w:t xml:space="preserve">Finally, the cross-sectional SIMMUN and INCOV cohorts encompassed uninfected controls and SARS-CoV-2 infections ranging from asymptomatic to critical disease.</w:t>
      </w:r>
      <w:r>
        <w:t xml:space="preserve"> </w:t>
      </w:r>
      <w:r>
        <w:t xml:space="preserve">In particular, the shares of pathogen-positive individuals and the infection severity differed significantly between the analyzed collectives.</w:t>
      </w:r>
      <w:r>
        <w:t xml:space="preserve"> </w:t>
      </w:r>
      <w:r>
        <w:t xml:space="preserve">The more severe infection in INCOV study participants can explain stronger effects of inflammation and infection recovery on the metabolites of interest that those observed in the SIMMUN collective.</w:t>
      </w:r>
    </w:p>
    <w:bookmarkEnd w:id="39"/>
    <w:bookmarkStart w:id="40" w:name="conclusions"/>
    <w:p>
      <w:pPr>
        <w:pStyle w:val="Heading1"/>
      </w:pPr>
      <w:r>
        <w:t xml:space="preserve">Conclusions</w:t>
      </w:r>
    </w:p>
    <w:p>
      <w:pPr>
        <w:pStyle w:val="FirstParagraph"/>
      </w:pPr>
      <w:r>
        <w:t xml:space="preserve">SARS-CoV-2-dependent and -independent inflammation can lower systemic availability of serotonin and dopamine by depletion of the tryptophan via the competitive kynurenine pathway and inhibition of the phenylalanine - tyrosine suppression, respectively.</w:t>
      </w:r>
      <w:r>
        <w:t xml:space="preserve"> </w:t>
      </w:r>
      <w:r>
        <w:t xml:space="preserve">Those effects can be further amplified by advanced age, mental stress and depression.</w:t>
      </w:r>
      <w:r>
        <w:br/>
      </w:r>
      <w:r>
        <w:t xml:space="preserve">It remains to be investigated, if and how this mechanism may contribute to neurotransmitter metabolism in the central nervous system and, consequently, to mental disorders following SARS-CoV-2 infection.</w:t>
      </w:r>
    </w:p>
    <w:p>
      <w:r>
        <w:br w:type="page"/>
      </w:r>
    </w:p>
    <w:bookmarkEnd w:id="40"/>
    <w:bookmarkStart w:id="41" w:name="acknowledgements"/>
    <w:p>
      <w:pPr>
        <w:pStyle w:val="Heading1"/>
      </w:pPr>
      <w:r>
        <w:t xml:space="preserve">Acknowledgements</w:t>
      </w:r>
    </w:p>
    <w:p>
      <w:pPr>
        <w:pStyle w:val="FirstParagraph"/>
      </w:pPr>
      <w:r>
        <w:t xml:space="preserve">We thank all participants and patients for the participation in the study.</w:t>
      </w:r>
    </w:p>
    <w:bookmarkEnd w:id="41"/>
    <w:bookmarkStart w:id="42" w:name="funding"/>
    <w:p>
      <w:pPr>
        <w:pStyle w:val="Heading1"/>
      </w:pPr>
      <w:r>
        <w:t xml:space="preserve">Funding</w:t>
      </w:r>
    </w:p>
    <w:p>
      <w:pPr>
        <w:pStyle w:val="FirstParagraph"/>
      </w:pPr>
      <w:r>
        <w:t xml:space="preserve">The study was supported by the Science Fund of the Land Tirol (grant number GZ71134 to Katharina Hüfner).</w:t>
      </w:r>
    </w:p>
    <w:bookmarkEnd w:id="42"/>
    <w:bookmarkStart w:id="44" w:name="data-and-code-availability"/>
    <w:p>
      <w:pPr>
        <w:pStyle w:val="Heading1"/>
      </w:pPr>
      <w:r>
        <w:t xml:space="preserve">Data and code availability</w:t>
      </w:r>
    </w:p>
    <w:p>
      <w:pPr>
        <w:pStyle w:val="FirstParagraph"/>
      </w:pPr>
      <w:r>
        <w:t xml:space="preserve">Anonymized patient data will be made available upon request to the corresponding author.</w:t>
      </w:r>
      <w:r>
        <w:t xml:space="preserve"> </w:t>
      </w:r>
      <w:r>
        <w:t xml:space="preserve">The INCOV cohort data are publicly available at</w:t>
      </w:r>
      <w:r>
        <w:t xml:space="preserve"> </w:t>
      </w:r>
      <w:hyperlink r:id="rId28">
        <w:r>
          <w:rPr>
            <w:rStyle w:val="InternetLink"/>
          </w:rPr>
          <w:t xml:space="preserve">https://data.mendeley.com/datasets/96v329bg7g/1</w:t>
        </w:r>
      </w:hyperlink>
      <w:r>
        <w:t xml:space="preserve">.</w:t>
      </w:r>
      <w:r>
        <w:t xml:space="preserve"> </w:t>
      </w:r>
      <w:r>
        <w:t xml:space="preserve">The analysis pipeline code is available at</w:t>
      </w:r>
      <w:r>
        <w:t xml:space="preserve"> </w:t>
      </w:r>
      <w:hyperlink r:id="rId43">
        <w:r>
          <w:rPr>
            <w:rStyle w:val="InternetLink"/>
          </w:rPr>
          <w:t xml:space="preserve">https://github.com/PiotrTymoszuk/simmun</w:t>
        </w:r>
      </w:hyperlink>
      <w:r>
        <w:t xml:space="preserve">.</w:t>
      </w:r>
    </w:p>
    <w:p>
      <w:r>
        <w:br w:type="page"/>
      </w:r>
    </w:p>
    <w:bookmarkEnd w:id="44"/>
    <w:bookmarkStart w:id="45" w:name="tables"/>
    <w:p>
      <w:pPr>
        <w:pStyle w:val="Heading1"/>
      </w:pPr>
      <w:r>
        <w:t xml:space="preserve">Tables</w:t>
      </w:r>
    </w:p>
    <w:p>
      <w:pPr>
        <w:pStyle w:val="TableCaption"/>
      </w:pPr>
      <w:r>
        <w:t xml:space="preserve">Table 1:</w:t>
      </w:r>
      <w:r>
        <w:t xml:space="preserve"> </w:t>
      </w:r>
      <w:r>
        <w:t xml:space="preserve">Characteristic of the local SIMMUN cohort. Numeric variables are presented as medians with interquartile ranges. Categorical variables are presented as percentages and counts within complete observation sets.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268"/>
        <w:gridCol w:w="2268"/>
        <w:gridCol w:w="2268"/>
        <w:gridCol w:w="1417"/>
        <w:gridCol w:w="1531"/>
        <w:gridCol w:w="1531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Variable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true"/>
                <w:u w:val="none"/>
                <w:vertAlign w:val="superscript"/>
                <w:sz w:val="20"/>
                <w:szCs w:val="20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Uninfected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SARS-CoV-2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Test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Significance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true"/>
                <w:u w:val="none"/>
                <w:vertAlign w:val="superscript"/>
                <w:sz w:val="20"/>
                <w:szCs w:val="20"/>
                <w:color w:val="000000"/>
              </w:rPr>
              <w:t xml:space="preserve">b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Effect size</w:t>
            </w:r>
          </w:p>
        </w:tc>
      </w:tr>
      <w:tr>
        <w:trPr>
          <w:trHeight w:val="360" w:hRule="auto"/>
        </w:trPr>
        body 1
        <w:tc>
          <w:tcPr>
            <w:tcBorders>
              <w:bottom w:val="single" w:sz="6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Participants, n</w:t>
            </w:r>
          </w:p>
        </w:tc>
        <w:tc>
          <w:tcPr>
            <w:tcBorders>
              <w:bottom w:val="single" w:sz="6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101</w:t>
            </w:r>
          </w:p>
        </w:tc>
        <w:tc>
          <w:tcPr>
            <w:tcBorders>
              <w:bottom w:val="single" w:sz="6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64</w:t>
            </w:r>
          </w:p>
        </w:tc>
        <w:tc>
          <w:tcPr>
            <w:tcBorders>
              <w:bottom w:val="single" w:sz="6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2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Sex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female: 64% (65)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male: 36% (36)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female: 58% (37)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male: 42% (27)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χ² 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ns (p = 0.54)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V = 0.066</w:t>
            </w:r>
          </w:p>
        </w:tc>
      </w:tr>
      <w:tr>
        <w:trPr>
          <w:trHeight w:val="360" w:hRule="auto"/>
        </w:trPr>
        body 3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Age, years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50 [IQR: 35 - 58]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range: 18 - 69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50 [IQR: 32 - 56]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range: 20 - 68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Mann-Whitney 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ns (p = 0.45)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 = 0.069</w:t>
            </w:r>
          </w:p>
        </w:tc>
      </w:tr>
      <w:tr>
        <w:trPr>
          <w:trHeight w:val="360" w:hRule="auto"/>
        </w:trPr>
        body 4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Body mass class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vertAlign w:val="superscript"/>
                <w:sz w:val="20"/>
                <w:szCs w:val="20"/>
                <w:color w:val="000000"/>
              </w:rPr>
              <w:t xml:space="preserve">c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normal: 53% (54)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overweight: 32% (32)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obesity: 15% (15)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normal: 53% (34)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overweight: 27% (17)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obesity: 20% (13)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χ² 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ns (p = 0.6)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V = 0.079</w:t>
            </w:r>
          </w:p>
        </w:tc>
      </w:tr>
      <w:tr>
        <w:trPr>
          <w:trHeight w:val="360" w:hRule="auto"/>
        </w:trPr>
        body 5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Somatic comorbidity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54% (55)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45% (29)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χ² 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ns (p = 0.43)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V = 0.089</w:t>
            </w:r>
          </w:p>
        </w:tc>
      </w:tr>
      <w:tr>
        <w:trPr>
          <w:trHeight w:val="360" w:hRule="auto"/>
        </w:trPr>
        body 6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Psychiatric comorbidity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50% (50)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28% (18)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χ² 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 = 0.021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V = 0.21</w:t>
            </w:r>
          </w:p>
        </w:tc>
      </w:tr>
      <w:tr>
        <w:trPr>
          <w:trHeight w:val="360" w:hRule="auto"/>
        </w:trPr>
        body 7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HADS anxiety score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&lt; 8: 57% (58)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≥ 8: 43% (43)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&lt; 8: 80% (51)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≥ 8: 20% (13)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χ² 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 = 0.013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V = 0.23</w:t>
            </w:r>
          </w:p>
        </w:tc>
      </w:tr>
      <w:tr>
        <w:trPr>
          <w:trHeight w:val="360" w:hRule="auto"/>
        </w:trPr>
        body 8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HADS depression score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&lt; 8: 69% (70)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≥ 8: 31% (31)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&lt; 8: 84% (54)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≥ 8: 16% (10)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χ² 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ns (p = 0.078)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V = 0.17</w:t>
            </w:r>
          </w:p>
        </w:tc>
      </w:tr>
      <w:tr>
        <w:trPr>
          <w:trHeight w:val="360" w:hRule="auto"/>
        </w:trPr>
        body 9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Depression or anxiety signs, HADS ≥ 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45% (45)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20% (13)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χ² 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 = 0.0078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V = 0.25</w:t>
            </w:r>
          </w:p>
        </w:tc>
      </w:tr>
      <w:tr>
        <w:trPr>
          <w:trHeight w:val="360" w:hRule="auto"/>
        </w:trPr>
        body10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PSS-4 stress score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 [IQR: 3 - 9]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range: 0 - 14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 [IQR: 3 - 8]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range: 1 - 13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Mann-Whitney 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ns (p = 0.33)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 = 0.095</w:t>
            </w:r>
          </w:p>
        </w:tc>
      </w:tr>
      <w:tr>
        <w:trPr>
          <w:trHeight w:val="360" w:hRule="auto"/>
        </w:trPr>
        body11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anti-RBD SARS-CoV-2, IgG, AU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0.31 [IQR: 0.28 - 0.34]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range: 0.21 - 0.99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16 [IQR: 14 - 17]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range: 0.42 - 20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Mann-Whitney 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 &lt; 0.001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 = 0.84</w:t>
            </w:r>
          </w:p>
        </w:tc>
      </w:tr>
      <w:tr>
        <w:trPr>
          <w:trHeight w:val="360" w:hRule="auto"/>
        </w:trPr>
        body12
        <w:tc>
          <w:tcPr>
            <w:tcBorders>
              <w:bottom w:val="single" w:sz="12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COVID-19 severity</w:t>
            </w:r>
          </w:p>
        </w:tc>
        <w:tc>
          <w:tcPr>
            <w:tcBorders>
              <w:bottom w:val="single" w:sz="12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ambulatory: 73% (47)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hospitalized: 27% (17)</w:t>
            </w:r>
          </w:p>
        </w:tc>
        <w:tc>
          <w:tcPr>
            <w:tcBorders>
              <w:bottom w:val="single" w:sz="12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footer 1
        <w:tc>
          <w:tcPr>
            <w:gridSpan w:val="6"/>
            <w:tcBorders>
              <w:bottom w:val="single" w:sz="6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vertAlign w:val="superscript"/>
                <w:sz w:val="20"/>
                <w:szCs w:val="20"/>
                <w:color w:val="000000"/>
              </w:rPr>
              <w:t xml:space="preserve">a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HADS: hospital anxiety and depression scale; PSS-4: perceived stress scale, 4 item; RBD: receptor binding domain; IgG: immunoglobulin gamma; AU: arbitrary urnits.</w:t>
            </w:r>
          </w:p>
        </w:tc>
      </w:tr>
      <w:tr>
        <w:trPr>
          <w:trHeight w:val="360" w:hRule="auto"/>
        </w:trPr>
        footer 2
        <w:tc>
          <w:tcPr>
            <w:gridSpan w:val="6"/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vertAlign w:val="superscript"/>
                <w:sz w:val="20"/>
                <w:szCs w:val="20"/>
                <w:color w:val="000000"/>
              </w:rPr>
              <w:t xml:space="preserve">b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corrected for multiple testing with the false discovery rate method.</w:t>
            </w:r>
          </w:p>
        </w:tc>
      </w:tr>
      <w:tr>
        <w:trPr>
          <w:trHeight w:val="360" w:hRule="auto"/>
        </w:trPr>
        footer 3
        <w:tc>
          <w:tcPr>
            <w:gridSpan w:val="6"/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vertAlign w:val="superscript"/>
                <w:sz w:val="20"/>
                <w:szCs w:val="20"/>
                <w:color w:val="000000"/>
              </w:rPr>
              <w:t xml:space="preserve">c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overweight: body mass index (BMI) 25 - 30 kg/m²; obesity: BMI &gt; 30 kg/m²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2:</w:t>
      </w:r>
      <w:r>
        <w:t xml:space="preserve"> </w:t>
      </w:r>
      <w:r>
        <w:t xml:space="preserve">Characteristic of the external INCOV cohort. Numeric variables are presented as medians with interquartile ranges. Categorical variables are presented as percentages and counts within complete observation sets.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268"/>
        <w:gridCol w:w="2268"/>
        <w:gridCol w:w="2268"/>
        <w:gridCol w:w="1417"/>
        <w:gridCol w:w="1531"/>
        <w:gridCol w:w="1531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Variable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Uninfected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SARS-CoV-2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Test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Significance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Effect size</w:t>
            </w:r>
          </w:p>
        </w:tc>
      </w:tr>
      <w:tr>
        <w:trPr>
          <w:trHeight w:val="360" w:hRule="auto"/>
        </w:trPr>
        body1
        <w:tc>
          <w:tcPr>
            <w:tcBorders>
              <w:bottom w:val="single" w:sz="6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Participants, n</w:t>
            </w:r>
          </w:p>
        </w:tc>
        <w:tc>
          <w:tcPr>
            <w:tcBorders>
              <w:bottom w:val="single" w:sz="6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27</w:t>
            </w:r>
          </w:p>
        </w:tc>
        <w:tc>
          <w:tcPr>
            <w:tcBorders>
              <w:bottom w:val="single" w:sz="6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140</w:t>
            </w:r>
          </w:p>
        </w:tc>
        <w:tc>
          <w:tcPr>
            <w:tcBorders>
              <w:bottom w:val="single" w:sz="6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6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Sex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female: 56% (15)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male: 44% (12)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female: 41% (58)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male: 59% (82)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χ² 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ns (p = 0.25)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V = 0.1</w:t>
            </w:r>
          </w:p>
        </w:tc>
      </w:tr>
      <w:tr>
        <w:trPr>
          <w:trHeight w:val="360" w:hRule="auto"/>
        </w:trPr>
        body3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Age, years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vertAlign w:val="superscript"/>
                <w:sz w:val="20"/>
                <w:szCs w:val="20"/>
                <w:color w:val="000000"/>
              </w:rPr>
              <w:t xml:space="preserve">a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56 [IQR: 49 - 60]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range: 32 - 70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62 [IQR: 48 - 73]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range: 26 - 89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Mann-Whitney 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 = 0.044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 = 0.17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Body mass class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normal: 44% (12)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overweight: 22% (6)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obesity: 33% (9)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normal: 26% (36)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overweight: 36% (51)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obesity: 38% (53)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χ² 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ns (p = 0.17)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V = 0.16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Ethnics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vertAlign w:val="superscript"/>
                <w:sz w:val="20"/>
                <w:szCs w:val="20"/>
                <w:color w:val="000000"/>
              </w:rPr>
              <w:t xml:space="preserve">b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Asian: 0% (0)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Black or African-American: 12% (3)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White: 88% (21)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Other: 0% (0)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Asian: 16% (22)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Black or African-American: 9.3% (13)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White: 46% (65)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Other: 29% (40)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χ² 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 = 0.0013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V = 0.33</w:t>
            </w:r>
          </w:p>
        </w:tc>
      </w:tr>
      <w:tr>
        <w:trPr>
          <w:trHeight w:val="360" w:hRule="auto"/>
        </w:trPr>
        body6
        <w:tc>
          <w:tcPr>
            <w:tcBorders>
              <w:bottom w:val="single" w:sz="12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COVID-19 severity</w:t>
            </w:r>
          </w:p>
        </w:tc>
        <w:tc>
          <w:tcPr>
            <w:tcBorders>
              <w:bottom w:val="single" w:sz="12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mild: 2.9% (4)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moderate: 59% (83)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severe: 25% (35)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critical: 13% (18)</w:t>
            </w:r>
          </w:p>
        </w:tc>
        <w:tc>
          <w:tcPr>
            <w:tcBorders>
              <w:bottom w:val="single" w:sz="12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footer1
        <w:tc>
          <w:tcPr>
            <w:gridSpan w:val="6"/>
            <w:tcBorders>
              <w:bottom w:val="single" w:sz="6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vertAlign w:val="superscript"/>
                <w:sz w:val="20"/>
                <w:szCs w:val="20"/>
                <w:color w:val="000000"/>
              </w:rPr>
              <w:t xml:space="preserve">a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overweight: body mass index (BMI) 25 - 30 kg/mm², obesity: BMI &gt; 30 kg/mm²</w:t>
            </w:r>
          </w:p>
        </w:tc>
      </w:tr>
      <w:tr>
        <w:trPr>
          <w:trHeight w:val="360" w:hRule="auto"/>
        </w:trPr>
        footer2
        <w:tc>
          <w:tcPr>
            <w:gridSpan w:val="6"/>
            <w:tcBorders>
              <w:bottom w:val="single" w:sz="6" w:space="0" w:color="666666"/>
              <w:top w:val="single" w:sz="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vertAlign w:val="superscript"/>
                <w:sz w:val="20"/>
                <w:szCs w:val="20"/>
                <w:color w:val="000000"/>
              </w:rPr>
              <w:t xml:space="preserve">b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WHO ordinal scale for clinical improvement; mild: 1 - 2, moderate: 3 - 4, severe: 5 - 6, critical: 7</w:t>
            </w:r>
          </w:p>
        </w:tc>
      </w:tr>
    </w:tbl>
    <w:p>
      <w:r>
        <w:br w:type="page"/>
      </w:r>
    </w:p>
    <w:bookmarkEnd w:id="45"/>
    <w:bookmarkStart w:id="61" w:name="figures"/>
    <w:p>
      <w:pPr>
        <w:pStyle w:val="Heading1"/>
      </w:pPr>
      <w:r>
        <w:t xml:space="preserve">Figures</w:t>
      </w:r>
    </w:p>
    <w:p>
      <w:pPr>
        <w:pStyle w:val="CaptionedFigure"/>
      </w:pPr>
      <w:r>
        <w:drawing>
          <wp:inline>
            <wp:extent cx="5943600" cy="4272792"/>
            <wp:effectExtent b="0" l="0" r="0" t="0"/>
            <wp:docPr descr="Figure 1: Inclusion scheme for the SIMMUN and INCOV cohorts, and analysis strategy." title="" id="47" name="Picture"/>
            <a:graphic>
              <a:graphicData uri="http://schemas.openxmlformats.org/drawingml/2006/picture">
                <pic:pic>
                  <pic:nvPicPr>
                    <pic:cNvPr descr="C:\Users\piotr\Desktop\simmun%20revision\paper\main_manuscript_files/figure-docx/fig-inclusion-1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2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Inclusion scheme for the SIMMUN and INCOV cohorts, and analysis strategy.</w:t>
      </w:r>
    </w:p>
    <w:p>
      <w:pPr>
        <w:pStyle w:val="TextBody"/>
      </w:pPr>
      <w:r>
        <w:rPr>
          <w:bCs/>
          <w:b/>
        </w:rPr>
        <w:t xml:space="preserve">Figure</w:t>
      </w:r>
      <w:r>
        <w:rPr>
          <w:bCs/>
          <w:b/>
        </w:rPr>
        <w:t xml:space="preserve"> </w:t>
      </w:r>
      <w:r>
        <w:rPr>
          <w:bCs/>
          <w:b/>
        </w:rPr>
        <w:t xml:space="preserve">1</w:t>
      </w:r>
      <w:r>
        <w:rPr>
          <w:bCs/>
          <w:b/>
        </w:rPr>
        <w:t xml:space="preserve">. Inclusion scheme for the SIMMUN and INCOV cohorts, and analysis strategy.</w:t>
      </w:r>
    </w:p>
    <w:p>
      <w:pPr>
        <w:pStyle w:val="TextBody"/>
      </w:pPr>
      <w:r>
        <w:rPr>
          <w:iCs/>
          <w:i/>
        </w:rPr>
        <w:t xml:space="preserve">TRP: tryptophan; KYN: kynurenine; PHE: phenylalanine; TYR: tyrosine; KYN/TRP: kynurenine - tryptophan ratio; PHE/TYR: phenylalanine - tyrosine ratio; QUIN: quinolinate; 5-HT: serotonin; DA: dopamine; Ab: antibody; IL6: interleukin-6; IL10: interleukin-10; TNF: tumor-necrosis factor alpha; IFNG: interferon gamma.</w:t>
      </w:r>
    </w:p>
    <w:p>
      <w:r>
        <w:br w:type="page"/>
      </w:r>
    </w:p>
    <w:p>
      <w:pPr>
        <w:pStyle w:val="CaptionedFigure"/>
      </w:pPr>
      <w:r>
        <w:drawing>
          <wp:inline>
            <wp:extent cx="5943600" cy="5943600"/>
            <wp:effectExtent b="0" l="0" r="0" t="0"/>
            <wp:docPr descr="Figure 2: Results of multi-parameter linear modeling of tryptophan, kynurenine, kynurenine/tryptophan ratio, tyrosine and phenylalanine/tyrosine ratio in the SIMMUN cohort." title="" id="50" name="Picture"/>
            <a:graphic>
              <a:graphicData uri="http://schemas.openxmlformats.org/drawingml/2006/picture">
                <pic:pic>
                  <pic:nvPicPr>
                    <pic:cNvPr descr="C:\Users\piotr\Desktop\simmun%20revision\paper\main_manuscript_files/figure-docx/fig-modeling-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Results of multi-parameter linear modeling of tryptophan, kynurenine, kynurenine/tryptophan ratio, tyrosine and phenylalanine/tyrosine ratio in the SIMMUN cohort.</w:t>
      </w:r>
    </w:p>
    <w:p>
      <w:pPr>
        <w:pStyle w:val="TextBody"/>
      </w:pPr>
      <w:r>
        <w:rPr>
          <w:bCs/>
          <w:b/>
        </w:rPr>
        <w:t xml:space="preserve">Figure</w:t>
      </w:r>
      <w:r>
        <w:rPr>
          <w:bCs/>
          <w:b/>
        </w:rPr>
        <w:t xml:space="preserve"> </w:t>
      </w:r>
      <w:r>
        <w:rPr>
          <w:bCs/>
          <w:b/>
        </w:rPr>
        <w:t xml:space="preserve">2</w:t>
      </w:r>
      <w:r>
        <w:rPr>
          <w:bCs/>
          <w:b/>
        </w:rPr>
        <w:t xml:space="preserve">. Results of multi-parameter linear modeling of tryptophan, kynurenine, kynurenine/tryptophan ratio, tyrosine and phenylalanine/tyrosine ratio in the SIMMUN cohort.</w:t>
      </w:r>
    </w:p>
    <w:p>
      <w:pPr>
        <w:pStyle w:val="TextBody"/>
      </w:pPr>
      <w:r>
        <w:rPr>
          <w:iCs/>
          <w:i/>
        </w:rPr>
        <w:t xml:space="preserve">Effects of systemic inflammation markers (neopterin [NEO], neutrophil-lymphocyte ratio [NLR]), SARS-CoV-2 infection status, titre of immunoglobulin gamma against the receptor binding domain of the S1 SARS-CoV-2 protein (anti-RBD IgG), scores of anxiety, depression (hospital depression and anxiety scale [HADS]) and mental stress (perceived stress scale, 4 item [PSS4]), age and sex was investigated by multi-parameter linear regression with backward elimination of non-significant terms. Overall model validity was assessed by likelihood-ratio test (LRT). Significant model coefficient estimates with 95% confidence intervals are presented in Forest plots. LRT results (F values, degrees of freedom and p values) and total numbers of complete observations are indicated in the plot captions. Model intercepts (baseline) are indicated in the X axis titles.</w:t>
      </w:r>
    </w:p>
    <w:p>
      <w:pPr>
        <w:pStyle w:val="TextBody"/>
      </w:pPr>
      <w:r>
        <w:rPr>
          <w:iCs/>
          <w:i/>
        </w:rPr>
        <w:t xml:space="preserve">TRP: tryptophan; KYN: kynurenin; KYN/TRP: kynurenine - tryptophan ratio; PHE: phenylalanine; TYR: tyrosine; PHE/TYR: phenylalanine - tyrosine ratio.</w:t>
      </w:r>
    </w:p>
    <w:p>
      <w:r>
        <w:br w:type="page"/>
      </w:r>
    </w:p>
    <w:p>
      <w:pPr>
        <w:pStyle w:val="CaptionedFigure"/>
      </w:pPr>
      <w:r>
        <w:drawing>
          <wp:inline>
            <wp:extent cx="5943600" cy="6934899"/>
            <wp:effectExtent b="0" l="0" r="0" t="0"/>
            <wp:docPr descr="Figure 3: Results of multi-parameter robust linear modeling of plasma levels of serotonin and dopamine sulfate in the INCOV cohort." title="" id="53" name="Picture"/>
            <a:graphic>
              <a:graphicData uri="http://schemas.openxmlformats.org/drawingml/2006/picture">
                <pic:pic>
                  <pic:nvPicPr>
                    <pic:cNvPr descr="C:\Users\piotr\Desktop\simmun%20revision\paper\main_manuscript_files/figure-docx/fig-incov-neuro-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34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Results of multi-parameter robust linear modeling of plasma levels of serotonin and dopamine sulfate in the INCOV cohort.</w:t>
      </w:r>
    </w:p>
    <w:p>
      <w:pPr>
        <w:pStyle w:val="TextBody"/>
      </w:pPr>
      <w:r>
        <w:rPr>
          <w:bCs/>
          <w:b/>
        </w:rPr>
        <w:t xml:space="preserve">Figure</w:t>
      </w:r>
      <w:r>
        <w:rPr>
          <w:bCs/>
          <w:b/>
        </w:rPr>
        <w:t xml:space="preserve"> </w:t>
      </w:r>
      <w:r>
        <w:rPr>
          <w:bCs/>
          <w:b/>
        </w:rPr>
        <w:t xml:space="preserve">3</w:t>
      </w:r>
      <w:r>
        <w:rPr>
          <w:bCs/>
          <w:b/>
        </w:rPr>
        <w:t xml:space="preserve">. Results of multi-parameter robust linear modeling of plasma levels of serotonin and dopamine sulfate in the INCOV cohort.</w:t>
      </w:r>
    </w:p>
    <w:p>
      <w:pPr>
        <w:pStyle w:val="TextBody"/>
      </w:pPr>
      <w:r>
        <w:rPr>
          <w:iCs/>
          <w:i/>
        </w:rPr>
        <w:t xml:space="preserve">Effects of patient’s age, timepoint after SARS-CoV-2 infection (acute: median 10 days, sub-acute: median 14 days, recovery: median 64 days after infection as compared with healthy controls), plasma levels of metabolites related to neurotransmitter biosynthesis and competitor pathways (tryptophan [TRP], kynurenine [KYN], quinolinate [QUIN], phenylalanine [PHE] and tyrosine [TYR]), and plasma concentrations of inflammatory cytokines (interleukin-6 [IL6], interleukin-10 [IL10], tumor necrosis factor-alpha [TNF] and interferon-gamma [IFNG]) on plasma concentrations of serotonin (5-hydroxy tryptamine [5-HT]) and dopamine sulfate (DA sulfate) were modeled by multi-parameter robust linear regression.</w:t>
      </w:r>
    </w:p>
    <w:p>
      <w:pPr>
        <w:pStyle w:val="TextBody"/>
      </w:pPr>
      <w:r>
        <w:rPr>
          <w:iCs/>
          <w:i/>
        </w:rPr>
        <w:t xml:space="preserve">(A) Model fit error (root mean square error [RMSE]) and fraction of explained variances (R-squared) of the robust linear models assessed in the genuine training dataset and 10-fold cross-validation (CV).</w:t>
      </w:r>
    </w:p>
    <w:p>
      <w:pPr>
        <w:pStyle w:val="TextBody"/>
      </w:pPr>
      <w:r>
        <w:rPr>
          <w:iCs/>
          <w:i/>
        </w:rPr>
        <w:t xml:space="preserve">(B) Estimated of model coefficients with 95% confidence intervals presented in Forest plots. Numbers of complete observations are indicated in the plot captions. Model intercepts (baseline) are indicated in the X axis titles.</w:t>
      </w:r>
    </w:p>
    <w:p>
      <w:r>
        <w:br w:type="page"/>
      </w:r>
    </w:p>
    <w:p>
      <w:pPr>
        <w:pStyle w:val="CaptionedFigure"/>
      </w:pPr>
      <w:r>
        <w:drawing>
          <wp:inline>
            <wp:extent cx="5943600" cy="6934899"/>
            <wp:effectExtent b="0" l="0" r="0" t="0"/>
            <wp:docPr descr="Figure 4: Time course of inflammatory cytokines, serotonin, dopamine sulfate and the neurotransmitter biosynthesis precursors and competitor pathway products during SARS-CoV infection and recovery in the INCOV cohort." title="" id="56" name="Picture"/>
            <a:graphic>
              <a:graphicData uri="http://schemas.openxmlformats.org/drawingml/2006/picture">
                <pic:pic>
                  <pic:nvPicPr>
                    <pic:cNvPr descr="C:\Users\piotr\Desktop\simmun%20revision\paper\main_manuscript_files/figure-docx/fig-time-ourse-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34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Time course of inflammatory cytokines, serotonin, dopamine sulfate and the neurotransmitter biosynthesis precursors and competitor pathway products during SARS-CoV infection and recovery in the INCOV cohort.</w:t>
      </w:r>
    </w:p>
    <w:p>
      <w:pPr>
        <w:pStyle w:val="TextBody"/>
      </w:pPr>
      <w:r>
        <w:rPr>
          <w:bCs/>
          <w:b/>
        </w:rPr>
        <w:t xml:space="preserve">Figure</w:t>
      </w:r>
      <w:r>
        <w:rPr>
          <w:bCs/>
          <w:b/>
        </w:rPr>
        <w:t xml:space="preserve"> </w:t>
      </w:r>
      <w:r>
        <w:rPr>
          <w:bCs/>
          <w:b/>
        </w:rPr>
        <w:t xml:space="preserve">4</w:t>
      </w:r>
      <w:r>
        <w:rPr>
          <w:bCs/>
          <w:b/>
        </w:rPr>
        <w:t xml:space="preserve">. Time course of inflammatory cytokines, serotonin, dopamine sulfate and the neurotransmitter biosynthesis precursors and competitor pathway products during SARS-CoV infection and recovery in the INCOV cohort.</w:t>
      </w:r>
    </w:p>
    <w:p>
      <w:pPr>
        <w:pStyle w:val="TextBody"/>
      </w:pPr>
      <w:r>
        <w:rPr>
          <w:iCs/>
          <w:i/>
        </w:rPr>
        <w:t xml:space="preserve">Time courses of normalized log</w:t>
      </w:r>
      <w:r>
        <w:rPr>
          <w:vertAlign w:val="subscript"/>
          <w:iCs/>
          <w:i/>
        </w:rPr>
        <w:t xml:space="preserve">2</w:t>
      </w:r>
      <w:r>
        <w:rPr>
          <w:iCs/>
          <w:i/>
        </w:rPr>
        <w:t xml:space="preserve">-transformed plasma concentrations of inflammatory cytokines (A, interleukin-6 [IL6], interleukin-10 [IL-10], tumor necrosis factor-alpha [TNF] and interferon gamma [INFG]), metabolites implicated in serotonin synthesis (B, tryptophan [TRP], kynurenine [KYN], quinolinate [QUIN] and serotonin/5-hydroxy tryptamine [5-HT]) and metabolites implicated in dopamine turnover (C, phenylalanine [PHE], tyrosine [TYR] and dopamine sulfate [DA sulfate]). Differences between uninfected controls and acute, sub-acute SARS-CoV-2 infection and recovery (median 10, 14 and 64 days after infection, respectively) were modeled by robust linear regression with the uninfected controls as baseline. Mean normalized concentrations with 2 standard errors of the mean (2</w:t>
      </w:r>
      <w:r>
        <w:rPr>
          <w:iCs/>
          <w:i/>
        </w:rPr>
        <w:t xml:space="preserve"> </w:t>
      </w:r>
      <m:oMath>
        <m:r>
          <m:rPr>
            <m:sty m:val="p"/>
          </m:rPr>
          <m:t>×</m:t>
        </m:r>
      </m:oMath>
      <w:r>
        <w:rPr>
          <w:iCs/>
          <w:i/>
        </w:rPr>
        <w:t xml:space="preserve"> </w:t>
      </w:r>
      <w:r>
        <w:rPr>
          <w:iCs/>
          <w:i/>
        </w:rPr>
        <w:t xml:space="preserve">SEM) are depicted as solid lines with tinted ribbons (plots on the left). Robust linear model coefficient estimates with 95% confidence intervals are visualized in Forest plots (right). Numbers of complete observations per timepoint are indicated in the X axes.</w:t>
      </w:r>
    </w:p>
    <w:p>
      <w:r>
        <w:br w:type="page"/>
      </w:r>
    </w:p>
    <w:p>
      <w:pPr>
        <w:pStyle w:val="CaptionedFigure"/>
      </w:pPr>
      <w:r>
        <w:drawing>
          <wp:inline>
            <wp:extent cx="5943600" cy="7264866"/>
            <wp:effectExtent b="0" l="0" r="0" t="0"/>
            <wp:docPr descr="Figure 5: Correlation of plasma levels of inflammatory cytokines, serotonin and dopamine sulfate, their precursors and competitor pathway products in healthy controls and SARS-CoV-2 patients of the INCOV cohort." title="" id="59" name="Picture"/>
            <a:graphic>
              <a:graphicData uri="http://schemas.openxmlformats.org/drawingml/2006/picture">
                <pic:pic>
                  <pic:nvPicPr>
                    <pic:cNvPr descr="C:\Users\piotr\Desktop\simmun%20revision\paper\main_manuscript_files/figure-docx/fig-incov-corr-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64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Correlation of plasma levels of inflammatory cytokines, serotonin and dopamine sulfate, their precursors and competitor pathway products in healthy controls and SARS-CoV-2 patients of the INCOV cohort.</w:t>
      </w:r>
    </w:p>
    <w:p>
      <w:pPr>
        <w:pStyle w:val="TextBody"/>
      </w:pPr>
      <w:r>
        <w:rPr>
          <w:bCs/>
          <w:b/>
        </w:rPr>
        <w:t xml:space="preserve">Figure</w:t>
      </w:r>
      <w:r>
        <w:rPr>
          <w:bCs/>
          <w:b/>
        </w:rPr>
        <w:t xml:space="preserve"> </w:t>
      </w:r>
      <w:r>
        <w:rPr>
          <w:bCs/>
          <w:b/>
        </w:rPr>
        <w:t xml:space="preserve">5</w:t>
      </w:r>
      <w:r>
        <w:rPr>
          <w:bCs/>
          <w:b/>
        </w:rPr>
        <w:t xml:space="preserve">. Correlation of plasma levels of inflammatory cytokines, serotonin and dopamine sulfate, their precursors and competitor pathway products in healthy controls and SARS-CoV-2 patients of the INCOV cohort.</w:t>
      </w:r>
    </w:p>
    <w:p>
      <w:pPr>
        <w:pStyle w:val="TextBody"/>
      </w:pPr>
      <w:r>
        <w:rPr>
          <w:iCs/>
          <w:i/>
        </w:rPr>
        <w:t xml:space="preserve">plasma levels of metabolites implicated in serotonin synthesis (A, tryptophan [TRP], kynurenine [KYN], quinolinic acid [QUIN], serotonin [5-hydroxy tryptamine, 5-HT]), dopamine turnover (B, phenylalanine [PHE], tyrosine [TYR], dopamine sulfate [DA sulfate]) and inflammatory cytokines (interleukin-6 [IL6], interleukin-10 [IL10], tumor necrosis factor-alpha [TNF], interferon-gamma [INFG]) were subjected to pairwise correlation analysis in uninfected and SARS-CoV-2-infected individuals (acute: median 10 days, sub-acute: median 14 days, recovery: median 64 days after infection). Correlation coefficient matrices for at least moderate effects (</w:t>
      </w:r>
      <m:oMath>
        <m:r>
          <m:t>ρ</m:t>
        </m:r>
      </m:oMath>
      <w:r>
        <w:rPr>
          <w:iCs/>
          <w:i/>
        </w:rPr>
        <w:t xml:space="preserve"> </w:t>
      </w:r>
      <w:r>
        <w:rPr>
          <w:iCs/>
          <w:i/>
        </w:rPr>
        <w:t xml:space="preserve">&gt; 0.2) were visualized as force-directed network plots. Node color codes for the parameter type (gray: inflammatory cytokines, orange: serotonin, green: dopamine turnover), edge width and color codes for the value and sign of the correlation coefficient.</w:t>
      </w:r>
    </w:p>
    <w:p>
      <w:r>
        <w:br w:type="page"/>
      </w:r>
    </w:p>
    <w:bookmarkEnd w:id="61"/>
    <w:bookmarkStart w:id="62" w:name="acknowledgements-1"/>
    <w:p>
      <w:pPr>
        <w:pStyle w:val="Heading1"/>
      </w:pPr>
      <w:r>
        <w:t xml:space="preserve">Acknowledgements</w:t>
      </w:r>
    </w:p>
    <w:p>
      <w:pPr>
        <w:pStyle w:val="FirstParagraph"/>
      </w:pPr>
      <w:r>
        <w:t xml:space="preserve">The scheme of report findings was created with bioicons by Simon Duerr.</w:t>
      </w:r>
      <w:r>
        <w:t xml:space="preserve"> </w:t>
      </w:r>
      <w:r>
        <w:t xml:space="preserve">The SARS-CoV-2 virus image was created by Hanna Vega and licensed under the terms of a Creative Commons CC-BY SA 4.0.</w:t>
      </w:r>
    </w:p>
    <w:bookmarkEnd w:id="62"/>
    <w:bookmarkStart w:id="118" w:name="references"/>
    <w:p>
      <w:pPr>
        <w:pStyle w:val="Heading1"/>
      </w:pPr>
      <w:r>
        <w:t xml:space="preserve">References</w:t>
      </w:r>
    </w:p>
    <w:bookmarkStart w:id="117" w:name="refs"/>
    <w:bookmarkStart w:id="64" w:name="ref-Paul-Savoie2011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Paul-Savoie É, Potvin S, Daigle K, Normand E, Corbin JF, Gagnon R, Marchand S.</w:t>
      </w:r>
      <w:r>
        <w:t xml:space="preserve"> </w:t>
      </w:r>
      <w:r>
        <w:t xml:space="preserve">A deficit in peripheral serotonin levels in major depressive disorder but not in chronic widespread pain</w:t>
      </w:r>
      <w:r>
        <w:t xml:space="preserve">.</w:t>
      </w:r>
      <w:r>
        <w:t xml:space="preserve"> </w:t>
      </w:r>
      <w:r>
        <w:rPr>
          <w:iCs/>
          <w:i/>
        </w:rPr>
        <w:t xml:space="preserve">The Clinical journal of pain</w:t>
      </w:r>
      <w:r>
        <w:t xml:space="preserve"> (2011) 27:529–534. doi:</w:t>
      </w:r>
      <w:r>
        <w:t xml:space="preserve"> </w:t>
      </w:r>
      <w:hyperlink r:id="rId63">
        <w:r>
          <w:rPr>
            <w:rStyle w:val="InternetLink"/>
          </w:rPr>
          <w:t xml:space="preserve">10.1097/AJP.0B013E31820DFEDE</w:t>
        </w:r>
      </w:hyperlink>
    </w:p>
    <w:bookmarkEnd w:id="64"/>
    <w:bookmarkStart w:id="66" w:name="ref-Sun2020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Sun Y, Drevets W, Turecki G, Li QS.</w:t>
      </w:r>
      <w:r>
        <w:t xml:space="preserve"> </w:t>
      </w:r>
      <w:r>
        <w:t xml:space="preserve">The relationship between plasma serotonin and kynurenine pathway metabolite levels and the treatment response to escitalopram and desvenlafaxine</w:t>
      </w:r>
      <w:r>
        <w:t xml:space="preserve">.</w:t>
      </w:r>
      <w:r>
        <w:t xml:space="preserve"> </w:t>
      </w:r>
      <w:r>
        <w:rPr>
          <w:iCs/>
          <w:i/>
        </w:rPr>
        <w:t xml:space="preserve">Brain, Behavior, and Immunity</w:t>
      </w:r>
      <w:r>
        <w:t xml:space="preserve"> (2020) 87:404–412. doi:</w:t>
      </w:r>
      <w:r>
        <w:t xml:space="preserve"> </w:t>
      </w:r>
      <w:hyperlink r:id="rId65">
        <w:r>
          <w:rPr>
            <w:rStyle w:val="InternetLink"/>
          </w:rPr>
          <w:t xml:space="preserve">10.1016/J.BBI.2020.01.011</w:t>
        </w:r>
      </w:hyperlink>
    </w:p>
    <w:bookmarkEnd w:id="66"/>
    <w:bookmarkStart w:id="68" w:name="ref-Tateishi2021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Tateishi H, Setoyama D, Kang D, Matsushima J, Kojima R, Fujii Y, Mawatari S, Kikuchi J, Sakemura Y, Fukuchi J, et al.</w:t>
      </w:r>
      <w:r>
        <w:t xml:space="preserve"> </w:t>
      </w:r>
      <w:r>
        <w:t xml:space="preserve">The changes in kynurenine metabolites induced by rTMS in treatment-resistant depression: A pilot study</w:t>
      </w:r>
      <w:r>
        <w:t xml:space="preserve">.</w:t>
      </w:r>
      <w:r>
        <w:t xml:space="preserve"> </w:t>
      </w:r>
      <w:r>
        <w:rPr>
          <w:iCs/>
          <w:i/>
        </w:rPr>
        <w:t xml:space="preserve">Journal of psychiatric research</w:t>
      </w:r>
      <w:r>
        <w:t xml:space="preserve"> (2021) 138:194–199. doi:</w:t>
      </w:r>
      <w:r>
        <w:t xml:space="preserve"> </w:t>
      </w:r>
      <w:hyperlink r:id="rId67">
        <w:r>
          <w:rPr>
            <w:rStyle w:val="InternetLink"/>
          </w:rPr>
          <w:t xml:space="preserve">10.1016/J.JPSYCHIRES.2021.04.009</w:t>
        </w:r>
      </w:hyperlink>
    </w:p>
    <w:bookmarkEnd w:id="68"/>
    <w:bookmarkStart w:id="70" w:name="ref-Holck2019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Holck A, Wolkowitz OM, Mellon SH, Reus VI, Nelson JC, Westrin Å, Lindqvist D.</w:t>
      </w:r>
      <w:r>
        <w:t xml:space="preserve"> </w:t>
      </w:r>
      <w:r>
        <w:t xml:space="preserve">Plasma serotonin levels are associated with antidepressant response to SSRIs</w:t>
      </w:r>
      <w:r>
        <w:t xml:space="preserve">.</w:t>
      </w:r>
      <w:r>
        <w:t xml:space="preserve"> </w:t>
      </w:r>
      <w:r>
        <w:rPr>
          <w:iCs/>
          <w:i/>
        </w:rPr>
        <w:t xml:space="preserve">Journal of affective disorders</w:t>
      </w:r>
      <w:r>
        <w:t xml:space="preserve"> (2019) 250:65–70. doi:</w:t>
      </w:r>
      <w:r>
        <w:t xml:space="preserve"> </w:t>
      </w:r>
      <w:hyperlink r:id="rId69">
        <w:r>
          <w:rPr>
            <w:rStyle w:val="InternetLink"/>
          </w:rPr>
          <w:t xml:space="preserve">10.1016/J.JAD.2019.02.063</w:t>
        </w:r>
      </w:hyperlink>
    </w:p>
    <w:bookmarkEnd w:id="70"/>
    <w:bookmarkStart w:id="72" w:name="ref-Meiser2013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Meiser J, Weindl D, Hiller K.</w:t>
      </w:r>
      <w:r>
        <w:t xml:space="preserve"> </w:t>
      </w:r>
      <w:r>
        <w:t xml:space="preserve">Complexity of dopamine metabolism</w:t>
      </w:r>
      <w:r>
        <w:t xml:space="preserve">.</w:t>
      </w:r>
      <w:r>
        <w:t xml:space="preserve"> </w:t>
      </w:r>
      <w:r>
        <w:rPr>
          <w:iCs/>
          <w:i/>
        </w:rPr>
        <w:t xml:space="preserve">Cell Communication and Signaling</w:t>
      </w:r>
      <w:r>
        <w:t xml:space="preserve"> (2013) 11:1–18. doi:</w:t>
      </w:r>
      <w:r>
        <w:t xml:space="preserve"> </w:t>
      </w:r>
      <w:hyperlink r:id="rId71">
        <w:r>
          <w:rPr>
            <w:rStyle w:val="InternetLink"/>
          </w:rPr>
          <w:t xml:space="preserve">10.1186/1478-811X-11-34/FIGURES/5</w:t>
        </w:r>
      </w:hyperlink>
    </w:p>
    <w:bookmarkEnd w:id="72"/>
    <w:bookmarkStart w:id="74" w:name="ref-Goldstein1999"/>
    <w:p>
      <w:pPr>
        <w:pStyle w:val="Bibliography"/>
      </w:pPr>
      <w:r>
        <w:t xml:space="preserve">6.</w:t>
      </w:r>
      <w:r>
        <w:t xml:space="preserve"> </w:t>
      </w:r>
      <w:r>
        <w:t xml:space="preserve">	</w:t>
      </w:r>
      <w:r>
        <w:t xml:space="preserve">Goldstein DS, Swoboda KJ, Miles JM, Coppack SW, Aneman A, Holmes C, Lamensdorf I, Eisenhofer G.</w:t>
      </w:r>
      <w:r>
        <w:t xml:space="preserve"> </w:t>
      </w:r>
      <w:r>
        <w:t xml:space="preserve">Sources and physiological significance of plasma dopamine sulfate</w:t>
      </w:r>
      <w:r>
        <w:t xml:space="preserve">.</w:t>
      </w:r>
      <w:r>
        <w:t xml:space="preserve"> </w:t>
      </w:r>
      <w:r>
        <w:rPr>
          <w:iCs/>
          <w:i/>
        </w:rPr>
        <w:t xml:space="preserve">The Journal of clinical endocrinology and metabolism</w:t>
      </w:r>
      <w:r>
        <w:t xml:space="preserve"> (1999) 84:2523–2531. doi:</w:t>
      </w:r>
      <w:r>
        <w:t xml:space="preserve"> </w:t>
      </w:r>
      <w:hyperlink r:id="rId73">
        <w:r>
          <w:rPr>
            <w:rStyle w:val="InternetLink"/>
          </w:rPr>
          <w:t xml:space="preserve">10.1210/JCEM.84.7.5864</w:t>
        </w:r>
      </w:hyperlink>
    </w:p>
    <w:bookmarkEnd w:id="74"/>
    <w:bookmarkStart w:id="76" w:name="ref-Hashizume1987"/>
    <w:p>
      <w:pPr>
        <w:pStyle w:val="Bibliography"/>
      </w:pPr>
      <w:r>
        <w:t xml:space="preserve">7.</w:t>
      </w:r>
      <w:r>
        <w:t xml:space="preserve"> </w:t>
      </w:r>
      <w:r>
        <w:t xml:space="preserve">	</w:t>
      </w:r>
      <w:r>
        <w:t xml:space="preserve">Hashizume K, Yamatodani A, Yamamoto T, Ogihara T, Kumahara Y, Wada H.</w:t>
      </w:r>
      <w:r>
        <w:t xml:space="preserve"> </w:t>
      </w:r>
      <w:r>
        <w:t xml:space="preserve">Effects of oral and intravenous administrations of dopamine and L-dopa on plasma levels of two isomers of dopamine sulfate in man</w:t>
      </w:r>
      <w:r>
        <w:t xml:space="preserve">.</w:t>
      </w:r>
      <w:r>
        <w:t xml:space="preserve"> </w:t>
      </w:r>
      <w:r>
        <w:rPr>
          <w:iCs/>
          <w:i/>
        </w:rPr>
        <w:t xml:space="preserve">Life sciences</w:t>
      </w:r>
      <w:r>
        <w:t xml:space="preserve"> (1987) 41:2697–2704. doi:</w:t>
      </w:r>
      <w:r>
        <w:t xml:space="preserve"> </w:t>
      </w:r>
      <w:hyperlink r:id="rId75">
        <w:r>
          <w:rPr>
            <w:rStyle w:val="InternetLink"/>
          </w:rPr>
          <w:t xml:space="preserve">10.1016/0024-3205(87)90462-0</w:t>
        </w:r>
      </w:hyperlink>
    </w:p>
    <w:bookmarkEnd w:id="76"/>
    <w:bookmarkStart w:id="78" w:name="ref-Su2022"/>
    <w:p>
      <w:pPr>
        <w:pStyle w:val="Bibliography"/>
      </w:pPr>
      <w:r>
        <w:t xml:space="preserve">8.</w:t>
      </w:r>
      <w:r>
        <w:t xml:space="preserve"> </w:t>
      </w:r>
      <w:r>
        <w:t xml:space="preserve">	</w:t>
      </w:r>
      <w:r>
        <w:t xml:space="preserve">Su Y, Yuan D, Chen DG, Ng RH, Wang K, Choi J, Li S, Hong S, Zhang R, Xie J, et al.</w:t>
      </w:r>
      <w:r>
        <w:t xml:space="preserve"> </w:t>
      </w:r>
      <w:r>
        <w:t xml:space="preserve">Multiple early factors anticipate post-acute COVID-19 sequelae</w:t>
      </w:r>
      <w:r>
        <w:t xml:space="preserve">.</w:t>
      </w:r>
      <w:r>
        <w:t xml:space="preserve"> </w:t>
      </w:r>
      <w:r>
        <w:rPr>
          <w:iCs/>
          <w:i/>
        </w:rPr>
        <w:t xml:space="preserve">Cell</w:t>
      </w:r>
      <w:r>
        <w:t xml:space="preserve"> (2022) 185:881–895.e20. doi:</w:t>
      </w:r>
      <w:r>
        <w:t xml:space="preserve"> </w:t>
      </w:r>
      <w:hyperlink r:id="rId77">
        <w:r>
          <w:rPr>
            <w:rStyle w:val="InternetLink"/>
          </w:rPr>
          <w:t xml:space="preserve">10.1016/J.CELL.2022.01.014</w:t>
        </w:r>
      </w:hyperlink>
    </w:p>
    <w:bookmarkEnd w:id="78"/>
    <w:bookmarkStart w:id="80" w:name="ref-Capuron2011"/>
    <w:p>
      <w:pPr>
        <w:pStyle w:val="Bibliography"/>
      </w:pPr>
      <w:r>
        <w:t xml:space="preserve">9.</w:t>
      </w:r>
      <w:r>
        <w:t xml:space="preserve"> </w:t>
      </w:r>
      <w:r>
        <w:t xml:space="preserve">	</w:t>
      </w:r>
      <w:r>
        <w:t xml:space="preserve">Capuron L, Schroecksnadel S, Féart C, Aubert A, Higueret D, Barberger-Gateau P, Layé S, Fuchs D.</w:t>
      </w:r>
      <w:r>
        <w:t xml:space="preserve"> </w:t>
      </w:r>
      <w:r>
        <w:t xml:space="preserve">Chronic low-grade inflammation in elderly persons is associated with altered tryptophan and tyrosine metabolism: role in neuropsychiatric symptoms</w:t>
      </w:r>
      <w:r>
        <w:t xml:space="preserve">.</w:t>
      </w:r>
      <w:r>
        <w:t xml:space="preserve"> </w:t>
      </w:r>
      <w:r>
        <w:rPr>
          <w:iCs/>
          <w:i/>
        </w:rPr>
        <w:t xml:space="preserve">Biological psychiatry</w:t>
      </w:r>
      <w:r>
        <w:t xml:space="preserve"> (2011) 70:175–182. doi:</w:t>
      </w:r>
      <w:r>
        <w:t xml:space="preserve"> </w:t>
      </w:r>
      <w:hyperlink r:id="rId79">
        <w:r>
          <w:rPr>
            <w:rStyle w:val="InternetLink"/>
          </w:rPr>
          <w:t xml:space="preserve">10.1016/J.BIOPSYCH.2010.12.006</w:t>
        </w:r>
      </w:hyperlink>
    </w:p>
    <w:bookmarkEnd w:id="80"/>
    <w:bookmarkStart w:id="82" w:name="ref-Widner1997"/>
    <w:p>
      <w:pPr>
        <w:pStyle w:val="Bibliography"/>
      </w:pPr>
      <w:r>
        <w:t xml:space="preserve">10.</w:t>
      </w:r>
      <w:r>
        <w:t xml:space="preserve"> </w:t>
      </w:r>
      <w:r>
        <w:t xml:space="preserve">	</w:t>
      </w:r>
      <w:r>
        <w:t xml:space="preserve">Widner B, Werner ER, Schennach H, Wachter H, Fuchs D.</w:t>
      </w:r>
      <w:r>
        <w:t xml:space="preserve"> </w:t>
      </w:r>
      <w:r>
        <w:t xml:space="preserve">Simultaneous measurement of serum tryptophan and kynurenine by HPLC</w:t>
      </w:r>
      <w:r>
        <w:t xml:space="preserve">.</w:t>
      </w:r>
      <w:r>
        <w:t xml:space="preserve"> </w:t>
      </w:r>
      <w:r>
        <w:rPr>
          <w:iCs/>
          <w:i/>
        </w:rPr>
        <w:t xml:space="preserve">Clinical Chemistry</w:t>
      </w:r>
      <w:r>
        <w:t xml:space="preserve"> (1997) 43:2424–2426. doi:</w:t>
      </w:r>
      <w:r>
        <w:t xml:space="preserve"> </w:t>
      </w:r>
      <w:hyperlink r:id="rId81">
        <w:r>
          <w:rPr>
            <w:rStyle w:val="InternetLink"/>
          </w:rPr>
          <w:t xml:space="preserve">10.1093/CLINCHEM/43.12.2424</w:t>
        </w:r>
      </w:hyperlink>
    </w:p>
    <w:bookmarkEnd w:id="82"/>
    <w:bookmarkStart w:id="84" w:name="ref-Neurauter2008"/>
    <w:p>
      <w:pPr>
        <w:pStyle w:val="Bibliography"/>
      </w:pPr>
      <w:r>
        <w:t xml:space="preserve">11.</w:t>
      </w:r>
      <w:r>
        <w:t xml:space="preserve"> </w:t>
      </w:r>
      <w:r>
        <w:t xml:space="preserve">	</w:t>
      </w:r>
      <w:r>
        <w:t xml:space="preserve">Neurauter G, Schrocksnadel K, Scholl-Burgi S, Sperner-Unterweger B, Schubert C, Ledochowski M, Fuchs D.</w:t>
      </w:r>
      <w:r>
        <w:t xml:space="preserve"> </w:t>
      </w:r>
      <w:r>
        <w:t xml:space="preserve">Chronic immune stimulation correlates with reduced phenylalanine turnover</w:t>
      </w:r>
      <w:r>
        <w:t xml:space="preserve">.</w:t>
      </w:r>
      <w:r>
        <w:t xml:space="preserve"> </w:t>
      </w:r>
      <w:r>
        <w:rPr>
          <w:iCs/>
          <w:i/>
        </w:rPr>
        <w:t xml:space="preserve">Current drug metabolism</w:t>
      </w:r>
      <w:r>
        <w:t xml:space="preserve"> (2008) 9:622–627. doi:</w:t>
      </w:r>
      <w:r>
        <w:t xml:space="preserve"> </w:t>
      </w:r>
      <w:hyperlink r:id="rId83">
        <w:r>
          <w:rPr>
            <w:rStyle w:val="InternetLink"/>
          </w:rPr>
          <w:t xml:space="preserve">10.2174/138920008785821738</w:t>
        </w:r>
      </w:hyperlink>
    </w:p>
    <w:bookmarkEnd w:id="84"/>
    <w:bookmarkStart w:id="86" w:name="ref-Deisenhammer2021"/>
    <w:p>
      <w:pPr>
        <w:pStyle w:val="Bibliography"/>
      </w:pPr>
      <w:r>
        <w:t xml:space="preserve">12.</w:t>
      </w:r>
      <w:r>
        <w:t xml:space="preserve"> </w:t>
      </w:r>
      <w:r>
        <w:t xml:space="preserve">	</w:t>
      </w:r>
      <w:r>
        <w:t xml:space="preserve">Deisenhammer F, Bauer A, Kavelar C, Rudzki D, Rössler A, Kimpel J, Borena W, Reindl M.</w:t>
      </w:r>
      <w:r>
        <w:t xml:space="preserve"> </w:t>
      </w:r>
      <w:r>
        <w:t xml:space="preserve">12-month SARS-CoV-2 antibody persistency in a Tyrolean COVID-19 cohort</w:t>
      </w:r>
      <w:r>
        <w:t xml:space="preserve">.</w:t>
      </w:r>
      <w:r>
        <w:t xml:space="preserve"> </w:t>
      </w:r>
      <w:r>
        <w:rPr>
          <w:iCs/>
          <w:i/>
        </w:rPr>
        <w:t xml:space="preserve">Wiener klinische Wochenschrift</w:t>
      </w:r>
      <w:r>
        <w:t xml:space="preserve"> (2021) 133:1265–1271. doi:</w:t>
      </w:r>
      <w:r>
        <w:t xml:space="preserve"> </w:t>
      </w:r>
      <w:hyperlink r:id="rId85">
        <w:r>
          <w:rPr>
            <w:rStyle w:val="InternetLink"/>
          </w:rPr>
          <w:t xml:space="preserve">10.1007/S00508-021-01985-X</w:t>
        </w:r>
      </w:hyperlink>
    </w:p>
    <w:bookmarkEnd w:id="86"/>
    <w:bookmarkStart w:id="88" w:name="ref-Cohen1983"/>
    <w:p>
      <w:pPr>
        <w:pStyle w:val="Bibliography"/>
      </w:pPr>
      <w:r>
        <w:t xml:space="preserve">13.</w:t>
      </w:r>
      <w:r>
        <w:t xml:space="preserve"> </w:t>
      </w:r>
      <w:r>
        <w:t xml:space="preserve">	</w:t>
      </w:r>
      <w:r>
        <w:t xml:space="preserve">Cohen S, Kamarck T, Mermelstein R.</w:t>
      </w:r>
      <w:r>
        <w:t xml:space="preserve"> </w:t>
      </w:r>
      <w:r>
        <w:t xml:space="preserve">A global measure of perceived stress.</w:t>
      </w:r>
      <w:r>
        <w:t xml:space="preserve"> </w:t>
      </w:r>
      <w:r>
        <w:rPr>
          <w:iCs/>
          <w:i/>
        </w:rPr>
        <w:t xml:space="preserve">Journal of health and social behavior</w:t>
      </w:r>
      <w:r>
        <w:t xml:space="preserve"> (1983) 24:385–396. doi:</w:t>
      </w:r>
      <w:r>
        <w:t xml:space="preserve"> </w:t>
      </w:r>
      <w:hyperlink r:id="rId87">
        <w:r>
          <w:rPr>
            <w:rStyle w:val="InternetLink"/>
          </w:rPr>
          <w:t xml:space="preserve">10.2307/2136404</w:t>
        </w:r>
      </w:hyperlink>
    </w:p>
    <w:bookmarkEnd w:id="88"/>
    <w:bookmarkStart w:id="90" w:name="ref-Zigmond1983"/>
    <w:p>
      <w:pPr>
        <w:pStyle w:val="Bibliography"/>
      </w:pPr>
      <w:r>
        <w:t xml:space="preserve">14.</w:t>
      </w:r>
      <w:r>
        <w:t xml:space="preserve"> </w:t>
      </w:r>
      <w:r>
        <w:t xml:space="preserve">	</w:t>
      </w:r>
      <w:r>
        <w:t xml:space="preserve">Zigmond AS, Snaith RP.</w:t>
      </w:r>
      <w:r>
        <w:t xml:space="preserve"> </w:t>
      </w:r>
      <w:r>
        <w:t xml:space="preserve">The hospital anxiety and depression scale</w:t>
      </w:r>
      <w:r>
        <w:t xml:space="preserve">.</w:t>
      </w:r>
      <w:r>
        <w:t xml:space="preserve"> </w:t>
      </w:r>
      <w:r>
        <w:rPr>
          <w:iCs/>
          <w:i/>
        </w:rPr>
        <w:t xml:space="preserve">Acta psychiatrica Scandinavica</w:t>
      </w:r>
      <w:r>
        <w:t xml:space="preserve"> (1983) 67:361–370. doi:</w:t>
      </w:r>
      <w:r>
        <w:t xml:space="preserve"> </w:t>
      </w:r>
      <w:hyperlink r:id="rId89">
        <w:r>
          <w:rPr>
            <w:rStyle w:val="InternetLink"/>
          </w:rPr>
          <w:t xml:space="preserve">10.1111/J.1600-0447.1983.TB09716.X</w:t>
        </w:r>
      </w:hyperlink>
    </w:p>
    <w:bookmarkEnd w:id="90"/>
    <w:bookmarkStart w:id="92" w:name="ref-Bjelland2002"/>
    <w:p>
      <w:pPr>
        <w:pStyle w:val="Bibliography"/>
      </w:pPr>
      <w:r>
        <w:t xml:space="preserve">15.</w:t>
      </w:r>
      <w:r>
        <w:t xml:space="preserve"> </w:t>
      </w:r>
      <w:r>
        <w:t xml:space="preserve">	</w:t>
      </w:r>
      <w:r>
        <w:t xml:space="preserve">Bjelland I, Dahl AA, Haug TT, Neckelmann D.</w:t>
      </w:r>
      <w:r>
        <w:t xml:space="preserve"> </w:t>
      </w:r>
      <w:r>
        <w:t xml:space="preserve">The validity of the Hospital Anxiety and Depression Scale: An updated literature review</w:t>
      </w:r>
      <w:r>
        <w:t xml:space="preserve">.</w:t>
      </w:r>
      <w:r>
        <w:t xml:space="preserve"> </w:t>
      </w:r>
      <w:r>
        <w:rPr>
          <w:iCs/>
          <w:i/>
        </w:rPr>
        <w:t xml:space="preserve">Journal of Psychosomatic Research</w:t>
      </w:r>
      <w:r>
        <w:t xml:space="preserve"> (2002) 52:69–77. doi:</w:t>
      </w:r>
      <w:r>
        <w:t xml:space="preserve"> </w:t>
      </w:r>
      <w:hyperlink r:id="rId91">
        <w:r>
          <w:rPr>
            <w:rStyle w:val="InternetLink"/>
          </w:rPr>
          <w:t xml:space="preserve">10.1016/S0022-3999(01)00296-3</w:t>
        </w:r>
      </w:hyperlink>
    </w:p>
    <w:bookmarkEnd w:id="92"/>
    <w:bookmarkStart w:id="94" w:name="ref-Su2020"/>
    <w:p>
      <w:pPr>
        <w:pStyle w:val="Bibliography"/>
      </w:pPr>
      <w:r>
        <w:t xml:space="preserve">16.</w:t>
      </w:r>
      <w:r>
        <w:t xml:space="preserve"> </w:t>
      </w:r>
      <w:r>
        <w:t xml:space="preserve">	</w:t>
      </w:r>
      <w:r>
        <w:t xml:space="preserve">Su Y, Chen D, Yuan D, Lausted C, Choi J, Dai CL, Voillet V, Duvvuri VR, Scherler K, Troisch P, et al.</w:t>
      </w:r>
      <w:r>
        <w:t xml:space="preserve"> </w:t>
      </w:r>
      <w:r>
        <w:t xml:space="preserve">Multi-Omics Resolves a Sharp Disease-State Shift between Mild and Moderate COVID-19</w:t>
      </w:r>
      <w:r>
        <w:t xml:space="preserve">.</w:t>
      </w:r>
      <w:r>
        <w:t xml:space="preserve"> </w:t>
      </w:r>
      <w:r>
        <w:rPr>
          <w:iCs/>
          <w:i/>
        </w:rPr>
        <w:t xml:space="preserve">Cell</w:t>
      </w:r>
      <w:r>
        <w:t xml:space="preserve"> (2020) 183:1479. doi:</w:t>
      </w:r>
      <w:r>
        <w:t xml:space="preserve"> </w:t>
      </w:r>
      <w:hyperlink r:id="rId93">
        <w:r>
          <w:rPr>
            <w:rStyle w:val="InternetLink"/>
          </w:rPr>
          <w:t xml:space="preserve">10.1016/J.CELL.2020.10.037</w:t>
        </w:r>
      </w:hyperlink>
    </w:p>
    <w:bookmarkEnd w:id="94"/>
    <w:bookmarkStart w:id="96" w:name="ref-McDonald1999"/>
    <w:p>
      <w:pPr>
        <w:pStyle w:val="Bibliography"/>
      </w:pPr>
      <w:r>
        <w:t xml:space="preserve">17.</w:t>
      </w:r>
      <w:r>
        <w:t xml:space="preserve"> </w:t>
      </w:r>
      <w:r>
        <w:t xml:space="preserve">	</w:t>
      </w:r>
      <w:r>
        <w:t xml:space="preserve">McDonald RP.</w:t>
      </w:r>
      <w:r>
        <w:t xml:space="preserve"> </w:t>
      </w:r>
      <w:r>
        <w:rPr>
          <w:iCs/>
          <w:i/>
        </w:rPr>
        <w:t xml:space="preserve">Test theory: A unified treatment</w:t>
      </w:r>
      <w:r>
        <w:t xml:space="preserve">. 1st Editio. New Yor: Psychology Press (1999). doi:</w:t>
      </w:r>
      <w:r>
        <w:t xml:space="preserve"> </w:t>
      </w:r>
      <w:hyperlink r:id="rId95">
        <w:r>
          <w:rPr>
            <w:rStyle w:val="InternetLink"/>
          </w:rPr>
          <w:t xml:space="preserve">10.4324/9781410601087</w:t>
        </w:r>
      </w:hyperlink>
    </w:p>
    <w:bookmarkEnd w:id="96"/>
    <w:bookmarkStart w:id="98" w:name="ref-Bartlett1937"/>
    <w:p>
      <w:pPr>
        <w:pStyle w:val="Bibliography"/>
      </w:pPr>
      <w:r>
        <w:t xml:space="preserve">18.</w:t>
      </w:r>
      <w:r>
        <w:t xml:space="preserve"> </w:t>
      </w:r>
      <w:r>
        <w:t xml:space="preserve">	</w:t>
      </w:r>
      <w:r>
        <w:t xml:space="preserve">BARTLETT MS.</w:t>
      </w:r>
      <w:r>
        <w:t xml:space="preserve"> </w:t>
      </w:r>
      <w:r>
        <w:t xml:space="preserve">THE STATISTICAL CONCEPTION OF MENTAL FACTORS</w:t>
      </w:r>
      <w:r>
        <w:t xml:space="preserve">.</w:t>
      </w:r>
      <w:r>
        <w:t xml:space="preserve"> </w:t>
      </w:r>
      <w:r>
        <w:rPr>
          <w:iCs/>
          <w:i/>
        </w:rPr>
        <w:t xml:space="preserve">British Journal of Psychology General Section</w:t>
      </w:r>
      <w:r>
        <w:t xml:space="preserve"> (1937) 28:97–104. doi:</w:t>
      </w:r>
      <w:r>
        <w:t xml:space="preserve"> </w:t>
      </w:r>
      <w:hyperlink r:id="rId97">
        <w:r>
          <w:rPr>
            <w:rStyle w:val="InternetLink"/>
          </w:rPr>
          <w:t xml:space="preserve">10.1111/j.2044-8295.1937.tb00863.x</w:t>
        </w:r>
      </w:hyperlink>
    </w:p>
    <w:bookmarkEnd w:id="98"/>
    <w:bookmarkStart w:id="100" w:name="ref-Revelle2022"/>
    <w:p>
      <w:pPr>
        <w:pStyle w:val="Bibliography"/>
      </w:pPr>
      <w:r>
        <w:t xml:space="preserve">19.</w:t>
      </w:r>
      <w:r>
        <w:t xml:space="preserve"> </w:t>
      </w:r>
      <w:r>
        <w:t xml:space="preserve">	</w:t>
      </w:r>
      <w:r>
        <w:t xml:space="preserve">Revelle W.</w:t>
      </w:r>
      <w:r>
        <w:t xml:space="preserve"> </w:t>
      </w:r>
      <w:r>
        <w:t xml:space="preserve">Package ’psych’ - Procedures for Psychological, Psychometric and Personality Research</w:t>
      </w:r>
      <w:r>
        <w:t xml:space="preserve">.</w:t>
      </w:r>
      <w:r>
        <w:t xml:space="preserve"> </w:t>
      </w:r>
      <w:r>
        <w:rPr>
          <w:iCs/>
          <w:i/>
        </w:rPr>
        <w:t xml:space="preserve">R Package</w:t>
      </w:r>
      <w:r>
        <w:t xml:space="preserve"> (2015)1–358.</w:t>
      </w:r>
      <w:r>
        <w:t xml:space="preserve"> </w:t>
      </w:r>
      <w:hyperlink r:id="rId99">
        <w:r>
          <w:rPr>
            <w:rStyle w:val="InternetLink"/>
          </w:rPr>
          <w:t xml:space="preserve">https://cran.r-project.org/web/packages/psych/index.html http://personality-project.org/r/psych-manual.pdf</w:t>
        </w:r>
      </w:hyperlink>
    </w:p>
    <w:bookmarkEnd w:id="100"/>
    <w:bookmarkStart w:id="102" w:name="ref-Benjamini1995"/>
    <w:p>
      <w:pPr>
        <w:pStyle w:val="Bibliography"/>
      </w:pPr>
      <w:r>
        <w:t xml:space="preserve">20.</w:t>
      </w:r>
      <w:r>
        <w:t xml:space="preserve"> </w:t>
      </w:r>
      <w:r>
        <w:t xml:space="preserve">	</w:t>
      </w:r>
      <w:r>
        <w:t xml:space="preserve">Benjamini Y, Hochberg Y.</w:t>
      </w:r>
      <w:r>
        <w:t xml:space="preserve"> </w:t>
      </w:r>
      <w:r>
        <w:t xml:space="preserve">Controlling the False Discovery Rate: A Practical and Powerful Approach to Multiple Testing</w:t>
      </w:r>
      <w:r>
        <w:t xml:space="preserve">.</w:t>
      </w:r>
      <w:r>
        <w:t xml:space="preserve"> </w:t>
      </w:r>
      <w:r>
        <w:rPr>
          <w:iCs/>
          <w:i/>
        </w:rPr>
        <w:t xml:space="preserve">Journal of the Royal Statistical Society: Series B (Methodological)</w:t>
      </w:r>
      <w:r>
        <w:t xml:space="preserve"> (1995) 57:289–300. doi:</w:t>
      </w:r>
      <w:r>
        <w:t xml:space="preserve"> </w:t>
      </w:r>
      <w:hyperlink r:id="rId101">
        <w:r>
          <w:rPr>
            <w:rStyle w:val="InternetLink"/>
          </w:rPr>
          <w:t xml:space="preserve">10.1111/j.2517-6161.1995.tb02031.x</w:t>
        </w:r>
      </w:hyperlink>
    </w:p>
    <w:bookmarkEnd w:id="102"/>
    <w:bookmarkStart w:id="104" w:name="ref-Cohen2013"/>
    <w:p>
      <w:pPr>
        <w:pStyle w:val="Bibliography"/>
      </w:pPr>
      <w:r>
        <w:t xml:space="preserve">21.</w:t>
      </w:r>
      <w:r>
        <w:t xml:space="preserve"> </w:t>
      </w:r>
      <w:r>
        <w:t xml:space="preserve">	</w:t>
      </w:r>
      <w:r>
        <w:t xml:space="preserve">Cohen J.</w:t>
      </w:r>
      <w:r>
        <w:t xml:space="preserve"> </w:t>
      </w:r>
      <w:r>
        <w:t xml:space="preserve">Statistical Power Analysis for the Behavioral Sciences</w:t>
      </w:r>
      <w:r>
        <w:t xml:space="preserve">.</w:t>
      </w:r>
      <w:r>
        <w:t xml:space="preserve"> </w:t>
      </w:r>
      <w:r>
        <w:rPr>
          <w:iCs/>
          <w:i/>
        </w:rPr>
        <w:t xml:space="preserve">Statistical Power Analysis for the Behavioral Sciences</w:t>
      </w:r>
      <w:r>
        <w:t xml:space="preserve"> (2013) doi:</w:t>
      </w:r>
      <w:r>
        <w:t xml:space="preserve"> </w:t>
      </w:r>
      <w:hyperlink r:id="rId103">
        <w:r>
          <w:rPr>
            <w:rStyle w:val="InternetLink"/>
          </w:rPr>
          <w:t xml:space="preserve">10.4324/9780203771587</w:t>
        </w:r>
      </w:hyperlink>
    </w:p>
    <w:bookmarkEnd w:id="104"/>
    <w:bookmarkStart w:id="106" w:name="ref-Kassambara2021"/>
    <w:p>
      <w:pPr>
        <w:pStyle w:val="Bibliography"/>
      </w:pPr>
      <w:r>
        <w:t xml:space="preserve">22.</w:t>
      </w:r>
      <w:r>
        <w:t xml:space="preserve"> </w:t>
      </w:r>
      <w:r>
        <w:t xml:space="preserve">	</w:t>
      </w:r>
      <w:r>
        <w:t xml:space="preserve">Kassambara A.</w:t>
      </w:r>
      <w:r>
        <w:t xml:space="preserve"> </w:t>
      </w:r>
      <w:r>
        <w:t xml:space="preserve">rstatix: Pipe-Friendly Framework for Basic Statistical Tests</w:t>
      </w:r>
      <w:r>
        <w:t xml:space="preserve">. (2021)</w:t>
      </w:r>
      <w:r>
        <w:t xml:space="preserve"> </w:t>
      </w:r>
      <w:hyperlink r:id="rId105">
        <w:r>
          <w:rPr>
            <w:rStyle w:val="InternetLink"/>
          </w:rPr>
          <w:t xml:space="preserve">https://cran.r-project.org/package=rstatix</w:t>
        </w:r>
      </w:hyperlink>
    </w:p>
    <w:bookmarkEnd w:id="106"/>
    <w:bookmarkStart w:id="108" w:name="ref-Huber2011"/>
    <w:p>
      <w:pPr>
        <w:pStyle w:val="Bibliography"/>
      </w:pPr>
      <w:r>
        <w:t xml:space="preserve">23.</w:t>
      </w:r>
      <w:r>
        <w:t xml:space="preserve"> </w:t>
      </w:r>
      <w:r>
        <w:t xml:space="preserve">	</w:t>
      </w:r>
      <w:r>
        <w:t xml:space="preserve">Huber PJ.</w:t>
      </w:r>
      <w:r>
        <w:t xml:space="preserve"> </w:t>
      </w:r>
      <w:r>
        <w:t xml:space="preserve">Robust Statistics</w:t>
      </w:r>
      <w:r>
        <w:t xml:space="preserve">.</w:t>
      </w:r>
      <w:r>
        <w:t xml:space="preserve"> </w:t>
      </w:r>
      <w:r>
        <w:rPr>
          <w:iCs/>
          <w:i/>
        </w:rPr>
        <w:t xml:space="preserve">International Encyclopedia of Statistical Science</w:t>
      </w:r>
      <w:r>
        <w:t xml:space="preserve"> (2011)1248–1251. doi:</w:t>
      </w:r>
      <w:r>
        <w:t xml:space="preserve"> </w:t>
      </w:r>
      <w:hyperlink r:id="rId107">
        <w:r>
          <w:rPr>
            <w:rStyle w:val="InternetLink"/>
          </w:rPr>
          <w:t xml:space="preserve">10.1007/978-3-642-04898-2_594</w:t>
        </w:r>
      </w:hyperlink>
    </w:p>
    <w:bookmarkEnd w:id="108"/>
    <w:bookmarkStart w:id="110" w:name="ref-Ripley2022"/>
    <w:p>
      <w:pPr>
        <w:pStyle w:val="Bibliography"/>
      </w:pPr>
      <w:r>
        <w:t xml:space="preserve">24.</w:t>
      </w:r>
      <w:r>
        <w:t xml:space="preserve"> </w:t>
      </w:r>
      <w:r>
        <w:t xml:space="preserve">	</w:t>
      </w:r>
      <w:r>
        <w:t xml:space="preserve">Ripley B.</w:t>
      </w:r>
      <w:r>
        <w:t xml:space="preserve"> </w:t>
      </w:r>
      <w:r>
        <w:t xml:space="preserve">MASS: Support Functions and Datasets for Venables and Ripley’s MASS</w:t>
      </w:r>
      <w:r>
        <w:t xml:space="preserve">. (2022)</w:t>
      </w:r>
      <w:r>
        <w:t xml:space="preserve"> </w:t>
      </w:r>
      <w:hyperlink r:id="rId109">
        <w:r>
          <w:rPr>
            <w:rStyle w:val="InternetLink"/>
          </w:rPr>
          <w:t xml:space="preserve">https://cran.r-project.org/package=MASS</w:t>
        </w:r>
      </w:hyperlink>
    </w:p>
    <w:bookmarkEnd w:id="110"/>
    <w:bookmarkStart w:id="112" w:name="ref-Kuhn2008"/>
    <w:p>
      <w:pPr>
        <w:pStyle w:val="Bibliography"/>
      </w:pPr>
      <w:r>
        <w:t xml:space="preserve">25.</w:t>
      </w:r>
      <w:r>
        <w:t xml:space="preserve"> </w:t>
      </w:r>
      <w:r>
        <w:t xml:space="preserve">	</w:t>
      </w:r>
      <w:r>
        <w:t xml:space="preserve">Kuhn M.</w:t>
      </w:r>
      <w:r>
        <w:t xml:space="preserve"> </w:t>
      </w:r>
      <w:r>
        <w:t xml:space="preserve">Building predictive models in R using the caret package</w:t>
      </w:r>
      <w:r>
        <w:t xml:space="preserve">.</w:t>
      </w:r>
      <w:r>
        <w:t xml:space="preserve"> </w:t>
      </w:r>
      <w:r>
        <w:rPr>
          <w:iCs/>
          <w:i/>
        </w:rPr>
        <w:t xml:space="preserve">Journal of Statistical Software</w:t>
      </w:r>
      <w:r>
        <w:t xml:space="preserve"> (2008) 28:1–26. doi:</w:t>
      </w:r>
      <w:r>
        <w:t xml:space="preserve"> </w:t>
      </w:r>
      <w:hyperlink r:id="rId111">
        <w:r>
          <w:rPr>
            <w:rStyle w:val="InternetLink"/>
          </w:rPr>
          <w:t xml:space="preserve">10.18637/jss.v028.i05</w:t>
        </w:r>
      </w:hyperlink>
    </w:p>
    <w:bookmarkEnd w:id="112"/>
    <w:bookmarkStart w:id="114" w:name="ref-Csardi2006"/>
    <w:p>
      <w:pPr>
        <w:pStyle w:val="Bibliography"/>
      </w:pPr>
      <w:r>
        <w:t xml:space="preserve">26.</w:t>
      </w:r>
      <w:r>
        <w:t xml:space="preserve"> </w:t>
      </w:r>
      <w:r>
        <w:t xml:space="preserve">	</w:t>
      </w:r>
      <w:r>
        <w:t xml:space="preserve">Csardi G, Nepusz T.</w:t>
      </w:r>
      <w:r>
        <w:t xml:space="preserve"> </w:t>
      </w:r>
      <w:r>
        <w:t xml:space="preserve">The igraph software package for complex network research</w:t>
      </w:r>
      <w:r>
        <w:t xml:space="preserve">.</w:t>
      </w:r>
      <w:r>
        <w:t xml:space="preserve"> </w:t>
      </w:r>
      <w:r>
        <w:rPr>
          <w:iCs/>
          <w:i/>
        </w:rPr>
        <w:t xml:space="preserve">InterJournal</w:t>
      </w:r>
      <w:r>
        <w:t xml:space="preserve"> (2006) Complex Sy:1695.</w:t>
      </w:r>
      <w:r>
        <w:t xml:space="preserve"> </w:t>
      </w:r>
      <w:hyperlink r:id="rId113">
        <w:r>
          <w:rPr>
            <w:rStyle w:val="InternetLink"/>
          </w:rPr>
          <w:t xml:space="preserve">https://igraph.org</w:t>
        </w:r>
      </w:hyperlink>
    </w:p>
    <w:bookmarkEnd w:id="114"/>
    <w:bookmarkStart w:id="116" w:name="ref-Briatte2021"/>
    <w:p>
      <w:pPr>
        <w:pStyle w:val="Bibliography"/>
      </w:pPr>
      <w:r>
        <w:t xml:space="preserve">27.</w:t>
      </w:r>
      <w:r>
        <w:t xml:space="preserve"> </w:t>
      </w:r>
      <w:r>
        <w:t xml:space="preserve">	</w:t>
      </w:r>
      <w:r>
        <w:t xml:space="preserve">Briatte F, Bojanowski M, Canouil M, Charlop-Powers Z, Fisher JC, Johnson K, Rinker T.</w:t>
      </w:r>
      <w:r>
        <w:t xml:space="preserve"> </w:t>
      </w:r>
      <w:r>
        <w:t xml:space="preserve">ggnetwork: Geometries to Plot Networks with ’ggplot2’</w:t>
      </w:r>
      <w:r>
        <w:t xml:space="preserve">. (2021)</w:t>
      </w:r>
      <w:r>
        <w:t xml:space="preserve"> </w:t>
      </w:r>
      <w:hyperlink r:id="rId115">
        <w:r>
          <w:rPr>
            <w:rStyle w:val="InternetLink"/>
          </w:rPr>
          <w:t xml:space="preserve">https://cran.r-project.org/package=ggnetwork</w:t>
        </w:r>
      </w:hyperlink>
    </w:p>
    <w:bookmarkEnd w:id="116"/>
    <w:bookmarkEnd w:id="117"/>
    <w:bookmarkEnd w:id="118"/>
    <w:sectPr>
      <w:footerReference r:id="rId9" w:type="default"/>
      <w:footnotePr>
        <w:numFmt w:val="decimal"/>
      </w:footnotePr>
      <w:type w:val="nextPage"/>
      <w:pgSz w:h="15840" w:w="12240"/>
      <w:pgMar w:bottom="2204" w:footer="1440" w:gutter="0" w:header="0" w:left="1440" w:right="1440" w:top="1440"/>
      <w:pgNumType w:fmt="decimal"/>
      <w:formProt w:val="false"/>
      <w:textDirection w:val="lrTb"/>
      <w:docGrid w:charSpace="0" w:linePitch="100" w:type="default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mbria">
    <w:charset w:val="00"/>
    <w:family w:val="roman"/>
    <w:pitch w:val="variable"/>
  </w:font>
  <w:font w:name="Calibri">
    <w:charset w:val="00"/>
    <w:family w:val="roman"/>
    <w:pitch w:val="variable"/>
  </w:font>
  <w:font w:name="Consolas"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uppressLineNumbers/>
      <w:spacing w:before="0" w:after="200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</w:t>
    </w:r>
    <w:r>
      <w:rPr/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zoom w:percent="90"/>
  <w:embedSystemFonts/>
  <w:defaultTabStop w:val="720"/>
  <w:autoHyphenation w:val="true"/>
  <w:compat>
    <w:compatSetting w:name="compatibilityMode" w:uri="http://schemas.microsoft.com/office/word" w:val="12"/>
  </w:compat>
  <w:themeFontLang w:bidi="" w:eastAsia="" w:val="en-US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mbria" w:asciiTheme="minorHAnsi" w:cs="" w:cstheme="minorBidi" w:eastAsia="Cambria" w:eastAsiaTheme="minorHAnsi" w:hAnsi="Cambria" w:hAnsiTheme="minorHAnsi"/>
        <w:sz w:val="24"/>
        <w:szCs w:val="24"/>
        <w:lang w:bidi="ar-SA" w:eastAsia="en-US" w:val="en-US"/>
      </w:rPr>
    </w:rPrDefault>
    <w:pPrDefault>
      <w:pPr>
        <w:suppressAutoHyphens w:val="true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  <w:pPr>
      <w:widowControl/>
      <w:suppressAutoHyphens w:val="true"/>
      <w:bidi w:val="0"/>
      <w:spacing w:after="200" w:before="0"/>
      <w:jc w:val="left"/>
    </w:pPr>
    <w:rPr>
      <w:rFonts w:ascii="Cambria" w:asciiTheme="minorHAnsi" w:cs="" w:cstheme="minorBidi" w:eastAsia="Cambria" w:eastAsiaTheme="minorHAnsi" w:hAnsi="Cambria" w:hAnsiTheme="minorHAnsi"/>
      <w:color w:val="auto"/>
      <w:kern w:val="0"/>
      <w:sz w:val="24"/>
      <w:szCs w:val="24"/>
      <w:lang w:bidi="ar-SA" w:eastAsia="en-US" w:val="en-US"/>
    </w:rPr>
  </w:style>
  <w:style w:styleId="Heading1" w:type="paragraph">
    <w:name w:val="Heading 1"/>
    <w:basedOn w:val="Normal"/>
    <w:next w:val="TextBody"/>
    <w:uiPriority w:val="9"/>
    <w:qFormat/>
    <w:pPr>
      <w:keepNext w:val="true"/>
      <w:keepLines/>
      <w:spacing w:after="202" w:before="475" w:line="360" w:lineRule="auto"/>
      <w:outlineLvl w:val="0"/>
    </w:pPr>
    <w:rPr>
      <w:rFonts w:ascii="Calibri" w:asciiTheme="majorHAnsi" w:cs="" w:cstheme="majorBidi" w:eastAsia="" w:eastAsiaTheme="majorEastAsia" w:hAnsi="Calibri" w:hAnsiTheme="majorHAnsi"/>
      <w:b/>
      <w:bCs/>
      <w:color w:themeColor="accent1" w:themeShade="b5" w:val="345A8A"/>
      <w:sz w:val="32"/>
      <w:szCs w:val="32"/>
    </w:rPr>
  </w:style>
  <w:style w:styleId="Heading2" w:type="paragraph">
    <w:name w:val="Heading 2"/>
    <w:basedOn w:val="Normal"/>
    <w:next w:val="TextBody"/>
    <w:uiPriority w:val="9"/>
    <w:unhideWhenUsed/>
    <w:qFormat/>
    <w:pPr>
      <w:keepNext w:val="true"/>
      <w:keepLines/>
      <w:spacing w:after="202" w:before="202" w:line="360" w:lineRule="auto"/>
      <w:outlineLvl w:val="1"/>
    </w:pPr>
    <w:rPr>
      <w:rFonts w:ascii="Calibri" w:asciiTheme="majorHAnsi" w:cs="" w:cstheme="majorBidi" w:eastAsia="" w:eastAsiaTheme="majorEastAsia" w:hAnsi="Calibri" w:hAnsiTheme="majorHAnsi"/>
      <w:b/>
      <w:bCs/>
      <w:color w:themeColor="accent1" w:val="4F81BD"/>
      <w:sz w:val="32"/>
      <w:szCs w:val="32"/>
    </w:rPr>
  </w:style>
  <w:style w:styleId="Heading3" w:type="paragraph">
    <w:name w:val="Heading 3"/>
    <w:basedOn w:val="Normal"/>
    <w:next w:val="TextBody"/>
    <w:uiPriority w:val="9"/>
    <w:unhideWhenUsed/>
    <w:qFormat/>
    <w:pPr>
      <w:keepNext w:val="true"/>
      <w:keepLines/>
      <w:spacing w:after="202" w:before="202" w:line="360" w:lineRule="auto"/>
      <w:outlineLvl w:val="2"/>
    </w:pPr>
    <w:rPr>
      <w:rFonts w:ascii="Calibri" w:asciiTheme="majorHAnsi" w:cs="" w:cstheme="majorBidi" w:eastAsia="" w:eastAsiaTheme="majorEastAsia" w:hAnsi="Calibri" w:hAnsiTheme="majorHAnsi"/>
      <w:b/>
      <w:bCs/>
      <w:color w:themeColor="accent1" w:val="4F81BD"/>
      <w:sz w:val="28"/>
      <w:szCs w:val="28"/>
    </w:rPr>
  </w:style>
  <w:style w:styleId="Heading4" w:type="paragraph">
    <w:name w:val="Heading 4"/>
    <w:basedOn w:val="Normal"/>
    <w:next w:val="TextBody"/>
    <w:uiPriority w:val="9"/>
    <w:unhideWhenUsed/>
    <w:qFormat/>
    <w:pPr>
      <w:keepNext w:val="true"/>
      <w:keepLines/>
      <w:spacing w:after="0" w:before="200"/>
      <w:outlineLvl w:val="3"/>
    </w:pPr>
    <w:rPr>
      <w:rFonts w:ascii="Calibri" w:asciiTheme="majorHAnsi" w:cs="" w:cstheme="majorBidi" w:eastAsia="" w:eastAsiaTheme="majorEastAsia" w:hAnsi="Calibri" w:hAnsiTheme="majorHAnsi"/>
      <w:b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TextBody"/>
    <w:uiPriority w:val="9"/>
    <w:unhideWhenUsed/>
    <w:qFormat/>
    <w:pPr>
      <w:keepNext w:val="true"/>
      <w:keepLines/>
      <w:spacing w:after="0" w:before="200"/>
      <w:outlineLvl w:val="4"/>
    </w:pPr>
    <w:rPr>
      <w:rFonts w:ascii="Calibri" w:asciiTheme="majorHAnsi" w:cs="" w:cstheme="majorBidi" w:eastAsia="" w:eastAsiaTheme="majorEastAsia" w:hAnsi="Calibri" w:hAnsiTheme="majorHAnsi"/>
      <w:i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TextBody"/>
    <w:uiPriority w:val="9"/>
    <w:unhideWhenUsed/>
    <w:qFormat/>
    <w:pPr>
      <w:keepNext w:val="true"/>
      <w:keepLines/>
      <w:spacing w:after="0" w:before="200"/>
      <w:outlineLvl w:val="5"/>
    </w:pPr>
    <w:rPr>
      <w:rFonts w:ascii="Calibri" w:asciiTheme="majorHAnsi" w:cs="" w:cstheme="majorBidi" w:eastAsia="" w:eastAsiaTheme="majorEastAsia" w:hAnsi="Calibri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TextBody"/>
    <w:uiPriority w:val="9"/>
    <w:unhideWhenUsed/>
    <w:qFormat/>
    <w:pPr>
      <w:keepNext w:val="true"/>
      <w:keepLines/>
      <w:spacing w:after="0" w:before="200"/>
      <w:outlineLvl w:val="6"/>
    </w:pPr>
    <w:rPr>
      <w:rFonts w:ascii="Calibri" w:asciiTheme="majorHAnsi" w:cs="" w:cstheme="majorBidi" w:eastAsia="" w:eastAsiaTheme="majorEastAsia" w:hAnsi="Calibri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TextBody"/>
    <w:uiPriority w:val="9"/>
    <w:unhideWhenUsed/>
    <w:qFormat/>
    <w:pPr>
      <w:keepNext w:val="true"/>
      <w:keepLines/>
      <w:spacing w:after="0" w:before="200"/>
      <w:outlineLvl w:val="7"/>
    </w:pPr>
    <w:rPr>
      <w:rFonts w:ascii="Calibri" w:asciiTheme="majorHAnsi" w:cs="" w:cstheme="majorBidi" w:eastAsia="" w:eastAsiaTheme="majorEastAsia" w:hAnsi="Calibri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TextBody"/>
    <w:uiPriority w:val="9"/>
    <w:unhideWhenUsed/>
    <w:qFormat/>
    <w:pPr>
      <w:keepNext w:val="true"/>
      <w:keepLines/>
      <w:spacing w:after="0" w:before="200"/>
      <w:outlineLvl w:val="8"/>
    </w:pPr>
    <w:rPr>
      <w:rFonts w:ascii="Calibri" w:asciiTheme="majorHAnsi" w:cs="" w:cstheme="majorBidi" w:eastAsia="" w:eastAsiaTheme="majorEastAsia" w:hAnsi="Calibri" w:hAnsiTheme="majorHAnsi"/>
      <w:color w:themeColor="accent1" w:val="4F81BD"/>
      <w:sz w:val="24"/>
      <w:szCs w:val="24"/>
    </w:rPr>
  </w:style>
  <w:style w:default="1" w:styleId="DefaultParagraphFont" w:type="character">
    <w:name w:val="Default Paragraph Font"/>
    <w:semiHidden/>
    <w:unhideWhenUsed/>
    <w:qFormat/>
    <w:rPr/>
  </w:style>
  <w:style w:customStyle="1" w:styleId="BodyTextChar" w:type="character">
    <w:name w:val="Body Text Char"/>
    <w:basedOn w:val="DefaultParagraphFont"/>
    <w:link w:val="BodyText"/>
    <w:qFormat/>
    <w:rPr/>
  </w:style>
  <w:style w:customStyle="1" w:styleId="VerbatimChar" w:type="character">
    <w:name w:val="Verbatim Char"/>
    <w:basedOn w:val="BodyTextChar"/>
    <w:qFormat/>
    <w:rPr>
      <w:rFonts w:ascii="Consolas" w:hAnsi="Consolas"/>
      <w:color w:val="127622"/>
      <w:sz w:val="22"/>
    </w:rPr>
  </w:style>
  <w:style w:styleId="FootnoteCharacters" w:type="character">
    <w:name w:val="Footnote Characters"/>
    <w:basedOn w:val="BodyTextChar"/>
    <w:qFormat/>
    <w:rPr>
      <w:vertAlign w:val="superscript"/>
    </w:rPr>
  </w:style>
  <w:style w:styleId="FootnoteAnchor" w:type="character">
    <w:name w:val="Footnote Anchor"/>
    <w:rPr>
      <w:vertAlign w:val="superscript"/>
    </w:rPr>
  </w:style>
  <w:style w:styleId="InternetLink" w:type="character">
    <w:name w:val="Hyperlink"/>
    <w:basedOn w:val="BodyTextChar"/>
    <w:rPr>
      <w:color w:themeColor="accent1" w:val="4F81BD"/>
    </w:rPr>
  </w:style>
  <w:style w:customStyle="1" w:styleId="KeywordTok" w:type="character">
    <w:name w:val="KeywordTok"/>
    <w:basedOn w:val="VerbatimChar"/>
    <w:qFormat/>
    <w:rPr>
      <w:b/>
      <w:color w:val="204A87"/>
      <w:shd w:fill="F8F8F8" w:val="clear"/>
    </w:rPr>
  </w:style>
  <w:style w:customStyle="1" w:styleId="DataTypeTok" w:type="character">
    <w:name w:val="DataTypeTok"/>
    <w:basedOn w:val="VerbatimChar"/>
    <w:qFormat/>
    <w:rPr>
      <w:color w:val="204A87"/>
      <w:shd w:fill="F8F8F8" w:val="clear"/>
    </w:rPr>
  </w:style>
  <w:style w:customStyle="1" w:styleId="DecValTok" w:type="character">
    <w:name w:val="DecValTok"/>
    <w:basedOn w:val="VerbatimChar"/>
    <w:qFormat/>
    <w:rPr>
      <w:color w:val="0000CF"/>
      <w:shd w:fill="F8F8F8" w:val="clear"/>
    </w:rPr>
  </w:style>
  <w:style w:customStyle="1" w:styleId="BaseNTok" w:type="character">
    <w:name w:val="BaseNTok"/>
    <w:basedOn w:val="VerbatimChar"/>
    <w:qFormat/>
    <w:rPr>
      <w:color w:val="0000CF"/>
      <w:shd w:fill="F8F8F8" w:val="clear"/>
    </w:rPr>
  </w:style>
  <w:style w:customStyle="1" w:styleId="FloatTok" w:type="character">
    <w:name w:val="FloatTok"/>
    <w:basedOn w:val="VerbatimChar"/>
    <w:qFormat/>
    <w:rPr>
      <w:color w:val="0000CF"/>
      <w:shd w:fill="F8F8F8" w:val="clear"/>
    </w:rPr>
  </w:style>
  <w:style w:customStyle="1" w:styleId="ConstantTok" w:type="character">
    <w:name w:val="ConstantTok"/>
    <w:basedOn w:val="VerbatimChar"/>
    <w:qFormat/>
    <w:rPr>
      <w:color w:val="000000"/>
      <w:shd w:fill="F8F8F8" w:val="clear"/>
    </w:rPr>
  </w:style>
  <w:style w:customStyle="1" w:styleId="CharTok" w:type="character">
    <w:name w:val="CharTok"/>
    <w:basedOn w:val="VerbatimChar"/>
    <w:qFormat/>
    <w:rPr>
      <w:color w:val="4E9A06"/>
      <w:shd w:fill="F8F8F8" w:val="clear"/>
    </w:rPr>
  </w:style>
  <w:style w:customStyle="1" w:styleId="SpecialCharTok" w:type="character">
    <w:name w:val="SpecialCharTok"/>
    <w:basedOn w:val="VerbatimChar"/>
    <w:qFormat/>
    <w:rPr>
      <w:color w:val="000000"/>
      <w:shd w:fill="F8F8F8" w:val="clear"/>
    </w:rPr>
  </w:style>
  <w:style w:customStyle="1" w:styleId="StringTok" w:type="character">
    <w:name w:val="StringTok"/>
    <w:basedOn w:val="VerbatimChar"/>
    <w:qFormat/>
    <w:rPr>
      <w:color w:val="4E9A06"/>
      <w:shd w:fill="F8F8F8" w:val="clear"/>
    </w:rPr>
  </w:style>
  <w:style w:customStyle="1" w:styleId="VerbatimStringTok" w:type="character">
    <w:name w:val="VerbatimStringTok"/>
    <w:basedOn w:val="VerbatimChar"/>
    <w:qFormat/>
    <w:rPr>
      <w:color w:val="4E9A06"/>
      <w:shd w:fill="F8F8F8" w:val="clear"/>
    </w:rPr>
  </w:style>
  <w:style w:customStyle="1" w:styleId="SpecialStringTok" w:type="character">
    <w:name w:val="SpecialStringTok"/>
    <w:basedOn w:val="VerbatimChar"/>
    <w:qFormat/>
    <w:rPr>
      <w:color w:val="4E9A06"/>
      <w:shd w:fill="F8F8F8" w:val="clear"/>
    </w:rPr>
  </w:style>
  <w:style w:customStyle="1" w:styleId="ImportTok" w:type="character">
    <w:name w:val="ImportTok"/>
    <w:basedOn w:val="VerbatimChar"/>
    <w:qFormat/>
    <w:rPr>
      <w:shd w:fill="F8F8F8" w:val="clear"/>
    </w:rPr>
  </w:style>
  <w:style w:customStyle="1" w:styleId="CommentTok" w:type="character">
    <w:name w:val="CommentTok"/>
    <w:basedOn w:val="VerbatimChar"/>
    <w:qFormat/>
    <w:rPr>
      <w:i/>
      <w:color w:val="8F5902"/>
      <w:shd w:fill="F8F8F8" w:val="clear"/>
    </w:rPr>
  </w:style>
  <w:style w:customStyle="1" w:styleId="DocumentationTok" w:type="character">
    <w:name w:val="DocumentationTok"/>
    <w:basedOn w:val="VerbatimChar"/>
    <w:qFormat/>
    <w:rPr>
      <w:b/>
      <w:i/>
      <w:color w:val="8F5902"/>
      <w:shd w:fill="F8F8F8" w:val="clear"/>
    </w:rPr>
  </w:style>
  <w:style w:customStyle="1" w:styleId="AnnotationTok" w:type="character">
    <w:name w:val="AnnotationTok"/>
    <w:basedOn w:val="VerbatimChar"/>
    <w:qFormat/>
    <w:rPr>
      <w:b/>
      <w:i/>
      <w:color w:val="8F5902"/>
      <w:shd w:fill="F8F8F8" w:val="clear"/>
    </w:rPr>
  </w:style>
  <w:style w:customStyle="1" w:styleId="CommentVarTok" w:type="character">
    <w:name w:val="CommentVarTok"/>
    <w:basedOn w:val="VerbatimChar"/>
    <w:qFormat/>
    <w:rPr>
      <w:b/>
      <w:i/>
      <w:color w:val="8F5902"/>
      <w:shd w:fill="F8F8F8" w:val="clear"/>
    </w:rPr>
  </w:style>
  <w:style w:customStyle="1" w:styleId="OtherTok" w:type="character">
    <w:name w:val="OtherTok"/>
    <w:basedOn w:val="VerbatimChar"/>
    <w:qFormat/>
    <w:rPr>
      <w:color w:val="8F5902"/>
      <w:shd w:fill="F8F8F8" w:val="clear"/>
    </w:rPr>
  </w:style>
  <w:style w:customStyle="1" w:styleId="FunctionTok" w:type="character">
    <w:name w:val="FunctionTok"/>
    <w:basedOn w:val="VerbatimChar"/>
    <w:qFormat/>
    <w:rPr>
      <w:color w:val="000000"/>
      <w:shd w:fill="F8F8F8" w:val="clear"/>
    </w:rPr>
  </w:style>
  <w:style w:customStyle="1" w:styleId="VariableTok" w:type="character">
    <w:name w:val="VariableTok"/>
    <w:basedOn w:val="VerbatimChar"/>
    <w:qFormat/>
    <w:rPr>
      <w:color w:val="000000"/>
      <w:shd w:fill="F8F8F8" w:val="clear"/>
    </w:rPr>
  </w:style>
  <w:style w:customStyle="1" w:styleId="ControlFlowTok" w:type="character">
    <w:name w:val="ControlFlowTok"/>
    <w:basedOn w:val="VerbatimChar"/>
    <w:qFormat/>
    <w:rPr>
      <w:b/>
      <w:color w:val="204A87"/>
      <w:shd w:fill="F8F8F8" w:val="clear"/>
    </w:rPr>
  </w:style>
  <w:style w:customStyle="1" w:styleId="OperatorTok" w:type="character">
    <w:name w:val="OperatorTok"/>
    <w:basedOn w:val="VerbatimChar"/>
    <w:qFormat/>
    <w:rPr>
      <w:b/>
      <w:color w:val="CE5C00"/>
      <w:shd w:fill="F8F8F8" w:val="clear"/>
    </w:rPr>
  </w:style>
  <w:style w:customStyle="1" w:styleId="BuiltInTok" w:type="character">
    <w:name w:val="BuiltInTok"/>
    <w:basedOn w:val="VerbatimChar"/>
    <w:qFormat/>
    <w:rPr>
      <w:shd w:fill="F8F8F8" w:val="clear"/>
    </w:rPr>
  </w:style>
  <w:style w:customStyle="1" w:styleId="ExtensionTok" w:type="character">
    <w:name w:val="ExtensionTok"/>
    <w:basedOn w:val="VerbatimChar"/>
    <w:qFormat/>
    <w:rPr>
      <w:shd w:fill="F8F8F8" w:val="clear"/>
    </w:rPr>
  </w:style>
  <w:style w:customStyle="1" w:styleId="PreprocessorTok" w:type="character">
    <w:name w:val="PreprocessorTok"/>
    <w:basedOn w:val="VerbatimChar"/>
    <w:qFormat/>
    <w:rPr>
      <w:i/>
      <w:color w:val="8F5902"/>
      <w:shd w:fill="F8F8F8" w:val="clear"/>
    </w:rPr>
  </w:style>
  <w:style w:customStyle="1" w:styleId="AttributeTok" w:type="character">
    <w:name w:val="AttributeTok"/>
    <w:basedOn w:val="VerbatimChar"/>
    <w:qFormat/>
    <w:rPr>
      <w:color w:val="C4A000"/>
      <w:shd w:fill="F8F8F8" w:val="clear"/>
    </w:rPr>
  </w:style>
  <w:style w:customStyle="1" w:styleId="RegionMarkerTok" w:type="character">
    <w:name w:val="RegionMarkerTok"/>
    <w:basedOn w:val="VerbatimChar"/>
    <w:qFormat/>
    <w:rPr>
      <w:shd w:fill="F8F8F8" w:val="clear"/>
    </w:rPr>
  </w:style>
  <w:style w:customStyle="1" w:styleId="InformationTok" w:type="character">
    <w:name w:val="InformationTok"/>
    <w:basedOn w:val="VerbatimChar"/>
    <w:qFormat/>
    <w:rPr>
      <w:b/>
      <w:i/>
      <w:color w:val="8F5902"/>
      <w:shd w:fill="F8F8F8" w:val="clear"/>
    </w:rPr>
  </w:style>
  <w:style w:customStyle="1" w:styleId="WarningTok" w:type="character">
    <w:name w:val="WarningTok"/>
    <w:basedOn w:val="VerbatimChar"/>
    <w:qFormat/>
    <w:rPr>
      <w:b/>
      <w:i/>
      <w:color w:val="8F5902"/>
      <w:shd w:fill="F8F8F8" w:val="clear"/>
    </w:rPr>
  </w:style>
  <w:style w:customStyle="1" w:styleId="AlertTok" w:type="character">
    <w:name w:val="AlertTok"/>
    <w:basedOn w:val="VerbatimChar"/>
    <w:qFormat/>
    <w:rPr>
      <w:color w:val="EF2929"/>
      <w:shd w:fill="F8F8F8" w:val="clear"/>
    </w:rPr>
  </w:style>
  <w:style w:customStyle="1" w:styleId="ErrorTok" w:type="character">
    <w:name w:val="ErrorTok"/>
    <w:basedOn w:val="VerbatimChar"/>
    <w:qFormat/>
    <w:rPr>
      <w:b/>
      <w:color w:val="A40000"/>
      <w:shd w:fill="F8F8F8" w:val="clear"/>
    </w:rPr>
  </w:style>
  <w:style w:customStyle="1" w:styleId="NormalTok" w:type="character">
    <w:name w:val="NormalTok"/>
    <w:basedOn w:val="VerbatimChar"/>
    <w:qFormat/>
    <w:rPr>
      <w:shd w:fill="F8F8F8" w:val="clear"/>
    </w:rPr>
  </w:style>
  <w:style w:styleId="EndnoteAnchor" w:type="character">
    <w:name w:val="Endnote Anchor"/>
    <w:rPr>
      <w:vertAlign w:val="superscript"/>
    </w:rPr>
  </w:style>
  <w:style w:styleId="EndnoteCharacters" w:type="character">
    <w:name w:val="Endnote Characters"/>
    <w:qFormat/>
    <w:rPr/>
  </w:style>
  <w:style w:styleId="Revision" w:type="character">
    <w:name w:val="revision"/>
    <w:qFormat/>
    <w:rPr>
      <w:color w:val="C9211E"/>
    </w:rPr>
  </w:style>
  <w:style w:styleId="Revision2" w:type="character">
    <w:name w:val="revision2"/>
    <w:basedOn w:val="Revision"/>
    <w:qFormat/>
    <w:rPr>
      <w:color w:val="2A6099"/>
    </w:rPr>
  </w:style>
  <w:style w:styleId="Heading" w:type="paragraph">
    <w:name w:val="Heading"/>
    <w:basedOn w:val="Normal"/>
    <w:next w:val="TextBody"/>
    <w:qFormat/>
    <w:pPr>
      <w:keepNext w:val="true"/>
      <w:spacing w:after="120" w:before="240"/>
    </w:pPr>
    <w:rPr>
      <w:rFonts w:ascii="Liberation Sans" w:cs="Arial" w:eastAsia="Microsoft YaHei" w:hAnsi="Liberation Sans"/>
      <w:sz w:val="28"/>
      <w:szCs w:val="28"/>
    </w:rPr>
  </w:style>
  <w:style w:styleId="TextBody" w:type="paragraph">
    <w:name w:val="Body Text"/>
    <w:basedOn w:val="Normal"/>
    <w:link w:val="BodyTextChar"/>
    <w:qFormat/>
    <w:pPr>
      <w:spacing w:after="180" w:before="180"/>
    </w:pPr>
    <w:rPr/>
  </w:style>
  <w:style w:styleId="List" w:type="paragraph">
    <w:name w:val="List"/>
    <w:basedOn w:val="TextBody"/>
    <w:pPr/>
    <w:rPr>
      <w:rFonts w:cs="Arial"/>
    </w:rPr>
  </w:style>
  <w:style w:styleId="Caption" w:type="paragraph">
    <w:name w:val="Caption"/>
    <w:basedOn w:val="Normal"/>
    <w:link w:val="BodyTextChar"/>
    <w:qFormat/>
    <w:pPr>
      <w:spacing w:after="120" w:before="0"/>
    </w:pPr>
    <w:rPr>
      <w:i/>
    </w:rPr>
  </w:style>
  <w:style w:styleId="Index" w:type="paragraph">
    <w:name w:val="Index"/>
    <w:basedOn w:val="Normal"/>
    <w:qFormat/>
    <w:pPr>
      <w:suppressLineNumbers/>
    </w:pPr>
    <w:rPr>
      <w:rFonts w:cs="Arial"/>
    </w:rPr>
  </w:style>
  <w:style w:customStyle="1" w:styleId="FirstParagraph" w:type="paragraph">
    <w:name w:val="First Paragraph"/>
    <w:basedOn w:val="TextBody"/>
    <w:next w:val="TextBody"/>
    <w:qFormat/>
    <w:pPr/>
    <w:rPr/>
  </w:style>
  <w:style w:customStyle="1" w:styleId="Compact" w:type="paragraph">
    <w:name w:val="Compact"/>
    <w:basedOn w:val="TextBody"/>
    <w:qFormat/>
    <w:pPr>
      <w:spacing w:after="36" w:before="36"/>
    </w:pPr>
    <w:rPr/>
  </w:style>
  <w:style w:styleId="Title" w:type="paragraph">
    <w:name w:val="Title"/>
    <w:basedOn w:val="Normal"/>
    <w:next w:val="TextBody"/>
    <w:qFormat/>
    <w:pPr>
      <w:keepNext w:val="true"/>
      <w:keepLines/>
      <w:spacing w:after="240" w:before="480"/>
      <w:jc w:val="center"/>
    </w:pPr>
    <w:rPr>
      <w:rFonts w:ascii="Calibri" w:asciiTheme="majorHAnsi" w:cs="" w:cstheme="majorBidi" w:eastAsia="" w:eastAsiaTheme="majorEastAsia" w:hAnsi="Calibri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TextBody"/>
    <w:qFormat/>
    <w:pPr>
      <w:keepNext w:val="true"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TextBody"/>
    <w:qFormat/>
    <w:pPr>
      <w:keepNext w:val="true"/>
      <w:keepLines/>
      <w:widowControl/>
      <w:suppressAutoHyphens w:val="true"/>
      <w:bidi w:val="0"/>
      <w:spacing w:after="200" w:before="0"/>
      <w:jc w:val="center"/>
    </w:pPr>
    <w:rPr>
      <w:rFonts w:ascii="Cambria" w:asciiTheme="minorHAnsi" w:cs="" w:cstheme="minorBidi" w:eastAsia="Cambria" w:eastAsiaTheme="minorHAnsi" w:hAnsi="Cambria" w:hAnsiTheme="minorHAnsi"/>
      <w:color w:val="auto"/>
      <w:kern w:val="0"/>
      <w:sz w:val="24"/>
      <w:szCs w:val="24"/>
      <w:lang w:bidi="ar-SA" w:eastAsia="en-US" w:val="en-US"/>
    </w:rPr>
  </w:style>
  <w:style w:styleId="Date" w:type="paragraph">
    <w:name w:val="Date"/>
    <w:next w:val="TextBody"/>
    <w:qFormat/>
    <w:pPr>
      <w:keepNext w:val="true"/>
      <w:keepLines/>
      <w:widowControl/>
      <w:suppressAutoHyphens w:val="true"/>
      <w:bidi w:val="0"/>
      <w:spacing w:after="200" w:before="0"/>
      <w:jc w:val="center"/>
    </w:pPr>
    <w:rPr>
      <w:rFonts w:ascii="Cambria" w:asciiTheme="minorHAnsi" w:cs="" w:cstheme="minorBidi" w:eastAsia="Cambria" w:eastAsiaTheme="minorHAnsi" w:hAnsi="Cambria" w:hAnsiTheme="minorHAnsi"/>
      <w:color w:val="auto"/>
      <w:kern w:val="0"/>
      <w:sz w:val="24"/>
      <w:szCs w:val="24"/>
      <w:lang w:bidi="ar-SA" w:eastAsia="en-US" w:val="en-US"/>
    </w:rPr>
  </w:style>
  <w:style w:customStyle="1" w:styleId="Abstract" w:type="paragraph">
    <w:name w:val="Abstract"/>
    <w:basedOn w:val="Normal"/>
    <w:next w:val="TextBody"/>
    <w:qFormat/>
    <w:pPr>
      <w:keepNext w:val="true"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  <w:pPr/>
    <w:rPr/>
  </w:style>
  <w:style w:styleId="BlockText" w:type="paragraph">
    <w:name w:val="Block Text"/>
    <w:basedOn w:val="TextBody"/>
    <w:next w:val="TextBody"/>
    <w:uiPriority w:val="9"/>
    <w:unhideWhenUsed/>
    <w:qFormat/>
    <w:pPr>
      <w:spacing w:after="100" w:before="100"/>
      <w:ind w:hanging="0"/>
    </w:pPr>
    <w:rPr>
      <w:rFonts w:ascii="Calibri" w:asciiTheme="majorHAnsi" w:cs="" w:cstheme="majorBidi" w:eastAsia="" w:eastAsiaTheme="majorEastAsia" w:hAnsi="Calibri" w:hAnsiTheme="majorHAnsi"/>
      <w:bCs/>
      <w:sz w:val="20"/>
      <w:szCs w:val="20"/>
    </w:rPr>
  </w:style>
  <w:style w:styleId="Footnote" w:type="paragraph">
    <w:name w:val="Footnote Text"/>
    <w:basedOn w:val="Normal"/>
    <w:uiPriority w:val="9"/>
    <w:unhideWhenUsed/>
    <w:qFormat/>
    <w:pPr/>
    <w:rPr/>
  </w:style>
  <w:style w:customStyle="1" w:styleId="DefinitionTerm" w:type="paragraph">
    <w:name w:val="Definition Term"/>
    <w:basedOn w:val="Normal"/>
    <w:next w:val="Definition"/>
    <w:qFormat/>
    <w:pPr>
      <w:keepNext w:val="true"/>
      <w:keepLines/>
      <w:spacing w:after="0" w:before="0"/>
    </w:pPr>
    <w:rPr>
      <w:b/>
    </w:rPr>
  </w:style>
  <w:style w:customStyle="1" w:styleId="Definition" w:type="paragraph">
    <w:name w:val="Definition"/>
    <w:basedOn w:val="Normal"/>
    <w:qFormat/>
    <w:pPr/>
    <w:rPr/>
  </w:style>
  <w:style w:customStyle="1" w:styleId="TableCaption" w:type="paragraph">
    <w:name w:val="Table Caption"/>
    <w:basedOn w:val="Caption"/>
    <w:qFormat/>
    <w:pPr>
      <w:keepNext w:val="true"/>
    </w:pPr>
    <w:rPr/>
  </w:style>
  <w:style w:customStyle="1" w:styleId="ImageCaption" w:type="paragraph">
    <w:name w:val="Image Caption"/>
    <w:basedOn w:val="Caption"/>
    <w:qFormat/>
    <w:pPr/>
    <w:rPr/>
  </w:style>
  <w:style w:customStyle="1" w:styleId="Figure" w:type="paragraph">
    <w:name w:val="Figure"/>
    <w:basedOn w:val="Normal"/>
    <w:qFormat/>
    <w:pPr/>
    <w:rPr/>
  </w:style>
  <w:style w:customStyle="1" w:styleId="CaptionedFigure" w:type="paragraph">
    <w:name w:val="Captioned Figure"/>
    <w:basedOn w:val="Figure"/>
    <w:qFormat/>
    <w:pPr>
      <w:keepNext w:val="true"/>
    </w:pPr>
    <w:rPr/>
  </w:style>
  <w:style w:styleId="TOCHeading" w:type="paragraph">
    <w:name w:val="TOC Heading"/>
    <w:basedOn w:val="Heading1"/>
    <w:next w:val="TextBody"/>
    <w:uiPriority w:val="39"/>
    <w:unhideWhenUsed/>
    <w:qFormat/>
    <w:pPr>
      <w:spacing w:after="0" w:before="240" w:line="259" w:lineRule="auto"/>
    </w:pPr>
    <w:rPr>
      <w:rFonts w:ascii="Calibri" w:asciiTheme="majorHAnsi" w:cs="" w:cstheme="majorBidi" w:eastAsia="" w:eastAsiaTheme="majorEastAsia" w:hAnsi="Calibri" w:hAnsiTheme="majorHAnsi"/>
      <w:b w:val="false"/>
      <w:bCs w:val="false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qFormat/>
    <w:pPr>
      <w:shd w:fill="F8F8F8" w:val="clear"/>
    </w:pPr>
    <w:rPr/>
  </w:style>
  <w:style w:styleId="HeaderandFooter" w:type="paragraph">
    <w:name w:val="Header and Footer"/>
    <w:basedOn w:val="Normal"/>
    <w:qFormat/>
    <w:pPr>
      <w:suppressLineNumbers/>
      <w:tabs>
        <w:tab w:pos="720" w:val="clear"/>
        <w:tab w:leader="none" w:pos="4680" w:val="center"/>
        <w:tab w:leader="none" w:pos="9360" w:val="right"/>
      </w:tabs>
    </w:pPr>
    <w:rPr/>
  </w:style>
  <w:style w:styleId="Footer" w:type="paragraph">
    <w:name w:val="Footer"/>
    <w:basedOn w:val="HeaderandFooter"/>
    <w:pPr>
      <w:suppressLineNumbers/>
    </w:pPr>
    <w:rPr/>
  </w:style>
  <w:style w:styleId="TableContents" w:type="paragraph">
    <w:name w:val="Table Contents"/>
    <w:basedOn w:val="Normal"/>
    <w:qFormat/>
    <w:pPr>
      <w:widowControl w:val="false"/>
      <w:suppressLineNumbers/>
    </w:pPr>
    <w:rPr/>
  </w:style>
  <w:style w:styleId="TableHeading" w:type="paragraph">
    <w:name w:val="Table Heading"/>
    <w:basedOn w:val="TableContents"/>
    <w:qFormat/>
    <w:pPr>
      <w:suppressLineNumbers/>
      <w:jc w:val="left"/>
    </w:pPr>
    <w:rPr>
      <w:b/>
      <w:bCs/>
      <w:i/>
      <w:iCs/>
    </w:rPr>
  </w:style>
  <w:style w:default="1" w:styleId="Table" w:type="table">
    <w:name w:val="Table"/>
    <w:basedOn w:val="TableNormal"/>
    <w:semiHidden/>
    <w:unhideWhenUsed/>
    <w:qFormat/>
    <w:tblPr>
      <w:tblCellMar>
        <w:top w:type="dxa" w:w="0"/>
        <w:left w:type="dxa" w:w="108"/>
        <w:bottom w:type="dxa" w:w="0"/>
        <w:right w:type="dxa" w:w="108"/>
      </w:tblCellMar>
    </w:tbl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1.xml" Type="http://schemas.openxmlformats.org/officeDocument/2006/relationships/footer" /><Relationship Type="http://schemas.openxmlformats.org/officeDocument/2006/relationships/image" Id="rId46" Target="media/rId46.png" /><Relationship Type="http://schemas.openxmlformats.org/officeDocument/2006/relationships/image" Id="rId58" Target="media/rId58.png" /><Relationship Type="http://schemas.openxmlformats.org/officeDocument/2006/relationships/image" Id="rId52" Target="media/rId52.png" /><Relationship Type="http://schemas.openxmlformats.org/officeDocument/2006/relationships/image" Id="rId49" Target="media/rId49.png" /><Relationship Type="http://schemas.openxmlformats.org/officeDocument/2006/relationships/image" Id="rId55" Target="media/rId55.png" /><Relationship Type="http://schemas.openxmlformats.org/officeDocument/2006/relationships/hyperlink" Id="rId109" Target="https://cran.r-project.org/package=MASS" TargetMode="External" /><Relationship Type="http://schemas.openxmlformats.org/officeDocument/2006/relationships/hyperlink" Id="rId115" Target="https://cran.r-project.org/package=ggnetwork" TargetMode="External" /><Relationship Type="http://schemas.openxmlformats.org/officeDocument/2006/relationships/hyperlink" Id="rId105" Target="https://cran.r-project.org/package=rstatix" TargetMode="External" /><Relationship Type="http://schemas.openxmlformats.org/officeDocument/2006/relationships/hyperlink" Id="rId99" Target="https://cran.r-project.org/web/packages/psych/index.html http://personality-project.org/r/psych-manual.pdf" TargetMode="External" /><Relationship Type="http://schemas.openxmlformats.org/officeDocument/2006/relationships/hyperlink" Id="rId28" Target="https://data.mendeley.com/datasets/96v329bg7g/1" TargetMode="External" /><Relationship Type="http://schemas.openxmlformats.org/officeDocument/2006/relationships/hyperlink" Id="rId107" Target="https://doi.org/10.1007/978-3-642-04898-2_594" TargetMode="External" /><Relationship Type="http://schemas.openxmlformats.org/officeDocument/2006/relationships/hyperlink" Id="rId85" Target="https://doi.org/10.1007/S00508-021-01985-X" TargetMode="External" /><Relationship Type="http://schemas.openxmlformats.org/officeDocument/2006/relationships/hyperlink" Id="rId75" Target="https://doi.org/10.1016/0024-3205(87)90462-0" TargetMode="External" /><Relationship Type="http://schemas.openxmlformats.org/officeDocument/2006/relationships/hyperlink" Id="rId65" Target="https://doi.org/10.1016/J.BBI.2020.01.011" TargetMode="External" /><Relationship Type="http://schemas.openxmlformats.org/officeDocument/2006/relationships/hyperlink" Id="rId79" Target="https://doi.org/10.1016/J.BIOPSYCH.2010.12.006" TargetMode="External" /><Relationship Type="http://schemas.openxmlformats.org/officeDocument/2006/relationships/hyperlink" Id="rId93" Target="https://doi.org/10.1016/J.CELL.2020.10.037" TargetMode="External" /><Relationship Type="http://schemas.openxmlformats.org/officeDocument/2006/relationships/hyperlink" Id="rId77" Target="https://doi.org/10.1016/J.CELL.2022.01.014" TargetMode="External" /><Relationship Type="http://schemas.openxmlformats.org/officeDocument/2006/relationships/hyperlink" Id="rId69" Target="https://doi.org/10.1016/J.JAD.2019.02.063" TargetMode="External" /><Relationship Type="http://schemas.openxmlformats.org/officeDocument/2006/relationships/hyperlink" Id="rId67" Target="https://doi.org/10.1016/J.JPSYCHIRES.2021.04.009" TargetMode="External" /><Relationship Type="http://schemas.openxmlformats.org/officeDocument/2006/relationships/hyperlink" Id="rId91" Target="https://doi.org/10.1016/S0022-3999(01)00296-3" TargetMode="External" /><Relationship Type="http://schemas.openxmlformats.org/officeDocument/2006/relationships/hyperlink" Id="rId81" Target="https://doi.org/10.1093/CLINCHEM/43.12.2424" TargetMode="External" /><Relationship Type="http://schemas.openxmlformats.org/officeDocument/2006/relationships/hyperlink" Id="rId63" Target="https://doi.org/10.1097/AJP.0B013E31820DFEDE" TargetMode="External" /><Relationship Type="http://schemas.openxmlformats.org/officeDocument/2006/relationships/hyperlink" Id="rId89" Target="https://doi.org/10.1111/J.1600-0447.1983.TB09716.X" TargetMode="External" /><Relationship Type="http://schemas.openxmlformats.org/officeDocument/2006/relationships/hyperlink" Id="rId97" Target="https://doi.org/10.1111/j.2044-8295.1937.tb00863.x" TargetMode="External" /><Relationship Type="http://schemas.openxmlformats.org/officeDocument/2006/relationships/hyperlink" Id="rId101" Target="https://doi.org/10.1111/j.2517-6161.1995.tb02031.x" TargetMode="External" /><Relationship Type="http://schemas.openxmlformats.org/officeDocument/2006/relationships/hyperlink" Id="rId71" Target="https://doi.org/10.1186/1478-811X-11-34/FIGURES/5" TargetMode="External" /><Relationship Type="http://schemas.openxmlformats.org/officeDocument/2006/relationships/hyperlink" Id="rId73" Target="https://doi.org/10.1210/JCEM.84.7.5864" TargetMode="External" /><Relationship Type="http://schemas.openxmlformats.org/officeDocument/2006/relationships/hyperlink" Id="rId111" Target="https://doi.org/10.18637/jss.v028.i05" TargetMode="External" /><Relationship Type="http://schemas.openxmlformats.org/officeDocument/2006/relationships/hyperlink" Id="rId83" Target="https://doi.org/10.2174/138920008785821738" TargetMode="External" /><Relationship Type="http://schemas.openxmlformats.org/officeDocument/2006/relationships/hyperlink" Id="rId87" Target="https://doi.org/10.2307/2136404" TargetMode="External" /><Relationship Type="http://schemas.openxmlformats.org/officeDocument/2006/relationships/hyperlink" Id="rId103" Target="https://doi.org/10.4324/9780203771587" TargetMode="External" /><Relationship Type="http://schemas.openxmlformats.org/officeDocument/2006/relationships/hyperlink" Id="rId95" Target="https://doi.org/10.4324/9781410601087" TargetMode="External" /><Relationship Type="http://schemas.openxmlformats.org/officeDocument/2006/relationships/hyperlink" Id="rId43" Target="https://github.com/PiotrTymoszuk/simmun" TargetMode="External" /><Relationship Type="http://schemas.openxmlformats.org/officeDocument/2006/relationships/hyperlink" Id="rId113" Target="https://igraph.org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9" Target="https://cran.r-project.org/package=MASS" TargetMode="External" /><Relationship Type="http://schemas.openxmlformats.org/officeDocument/2006/relationships/hyperlink" Id="rId115" Target="https://cran.r-project.org/package=ggnetwork" TargetMode="External" /><Relationship Type="http://schemas.openxmlformats.org/officeDocument/2006/relationships/hyperlink" Id="rId105" Target="https://cran.r-project.org/package=rstatix" TargetMode="External" /><Relationship Type="http://schemas.openxmlformats.org/officeDocument/2006/relationships/hyperlink" Id="rId99" Target="https://cran.r-project.org/web/packages/psych/index.html http://personality-project.org/r/psych-manual.pdf" TargetMode="External" /><Relationship Type="http://schemas.openxmlformats.org/officeDocument/2006/relationships/hyperlink" Id="rId28" Target="https://data.mendeley.com/datasets/96v329bg7g/1" TargetMode="External" /><Relationship Type="http://schemas.openxmlformats.org/officeDocument/2006/relationships/hyperlink" Id="rId107" Target="https://doi.org/10.1007/978-3-642-04898-2_594" TargetMode="External" /><Relationship Type="http://schemas.openxmlformats.org/officeDocument/2006/relationships/hyperlink" Id="rId85" Target="https://doi.org/10.1007/S00508-021-01985-X" TargetMode="External" /><Relationship Type="http://schemas.openxmlformats.org/officeDocument/2006/relationships/hyperlink" Id="rId75" Target="https://doi.org/10.1016/0024-3205(87)90462-0" TargetMode="External" /><Relationship Type="http://schemas.openxmlformats.org/officeDocument/2006/relationships/hyperlink" Id="rId65" Target="https://doi.org/10.1016/J.BBI.2020.01.011" TargetMode="External" /><Relationship Type="http://schemas.openxmlformats.org/officeDocument/2006/relationships/hyperlink" Id="rId79" Target="https://doi.org/10.1016/J.BIOPSYCH.2010.12.006" TargetMode="External" /><Relationship Type="http://schemas.openxmlformats.org/officeDocument/2006/relationships/hyperlink" Id="rId93" Target="https://doi.org/10.1016/J.CELL.2020.10.037" TargetMode="External" /><Relationship Type="http://schemas.openxmlformats.org/officeDocument/2006/relationships/hyperlink" Id="rId77" Target="https://doi.org/10.1016/J.CELL.2022.01.014" TargetMode="External" /><Relationship Type="http://schemas.openxmlformats.org/officeDocument/2006/relationships/hyperlink" Id="rId69" Target="https://doi.org/10.1016/J.JAD.2019.02.063" TargetMode="External" /><Relationship Type="http://schemas.openxmlformats.org/officeDocument/2006/relationships/hyperlink" Id="rId67" Target="https://doi.org/10.1016/J.JPSYCHIRES.2021.04.009" TargetMode="External" /><Relationship Type="http://schemas.openxmlformats.org/officeDocument/2006/relationships/hyperlink" Id="rId91" Target="https://doi.org/10.1016/S0022-3999(01)00296-3" TargetMode="External" /><Relationship Type="http://schemas.openxmlformats.org/officeDocument/2006/relationships/hyperlink" Id="rId81" Target="https://doi.org/10.1093/CLINCHEM/43.12.2424" TargetMode="External" /><Relationship Type="http://schemas.openxmlformats.org/officeDocument/2006/relationships/hyperlink" Id="rId63" Target="https://doi.org/10.1097/AJP.0B013E31820DFEDE" TargetMode="External" /><Relationship Type="http://schemas.openxmlformats.org/officeDocument/2006/relationships/hyperlink" Id="rId89" Target="https://doi.org/10.1111/J.1600-0447.1983.TB09716.X" TargetMode="External" /><Relationship Type="http://schemas.openxmlformats.org/officeDocument/2006/relationships/hyperlink" Id="rId97" Target="https://doi.org/10.1111/j.2044-8295.1937.tb00863.x" TargetMode="External" /><Relationship Type="http://schemas.openxmlformats.org/officeDocument/2006/relationships/hyperlink" Id="rId101" Target="https://doi.org/10.1111/j.2517-6161.1995.tb02031.x" TargetMode="External" /><Relationship Type="http://schemas.openxmlformats.org/officeDocument/2006/relationships/hyperlink" Id="rId71" Target="https://doi.org/10.1186/1478-811X-11-34/FIGURES/5" TargetMode="External" /><Relationship Type="http://schemas.openxmlformats.org/officeDocument/2006/relationships/hyperlink" Id="rId73" Target="https://doi.org/10.1210/JCEM.84.7.5864" TargetMode="External" /><Relationship Type="http://schemas.openxmlformats.org/officeDocument/2006/relationships/hyperlink" Id="rId111" Target="https://doi.org/10.18637/jss.v028.i05" TargetMode="External" /><Relationship Type="http://schemas.openxmlformats.org/officeDocument/2006/relationships/hyperlink" Id="rId83" Target="https://doi.org/10.2174/138920008785821738" TargetMode="External" /><Relationship Type="http://schemas.openxmlformats.org/officeDocument/2006/relationships/hyperlink" Id="rId87" Target="https://doi.org/10.2307/2136404" TargetMode="External" /><Relationship Type="http://schemas.openxmlformats.org/officeDocument/2006/relationships/hyperlink" Id="rId103" Target="https://doi.org/10.4324/9780203771587" TargetMode="External" /><Relationship Type="http://schemas.openxmlformats.org/officeDocument/2006/relationships/hyperlink" Id="rId95" Target="https://doi.org/10.4324/9781410601087" TargetMode="External" /><Relationship Type="http://schemas.openxmlformats.org/officeDocument/2006/relationships/hyperlink" Id="rId43" Target="https://github.com/PiotrTymoszuk/simmun" TargetMode="External" /><Relationship Type="http://schemas.openxmlformats.org/officeDocument/2006/relationships/hyperlink" Id="rId113" Target="https://igraph.or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Application>LibreOffice/7.0.5.2$Windows_X86_64 LibreOffice_project/64390860c6cd0aca4beafafcfd84613dd9dfb63a</Application>
  <AppVersion>15.0000</AppVersion>
  <Pages>2</Pages>
  <Words>365</Words>
  <Characters>2349</Characters>
  <CharactersWithSpaces>2696</CharactersWithSpaces>
  <Paragraphs>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Inflammation, SARS-CoV-2 infection and mental health disorders impact on systemic levels of aminoacid neurotransmitter precursors</dc:title>
  <dc:creator/>
  <cp:keywords/>
  <dcterms:created xsi:type="dcterms:W3CDTF">2023-05-18T18:13:19Z</dcterms:created>
  <dcterms:modified xsi:type="dcterms:W3CDTF">2023-05-18T18:13:19Z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infl_biblio.bib</vt:lpwstr>
  </property>
  <property fmtid="{D5CDD505-2E9C-101B-9397-08002B2CF9AE}" pid="3" name="csl">
    <vt:lpwstr>frontiers-in-immunology.csl</vt:lpwstr>
  </property>
  <property fmtid="{D5CDD505-2E9C-101B-9397-08002B2CF9AE}" pid="4" name="date">
    <vt:lpwstr>2023-05-18</vt:lpwstr>
  </property>
  <property fmtid="{D5CDD505-2E9C-101B-9397-08002B2CF9AE}" pid="5" name="header-includes">
    <vt:lpwstr>  </vt:lpwstr>
  </property>
  <property fmtid="{D5CDD505-2E9C-101B-9397-08002B2CF9AE}" pid="6" name="output">
    <vt:lpwstr/>
  </property>
  <property fmtid="{D5CDD505-2E9C-101B-9397-08002B2CF9AE}" pid="7" name="subtitle">
    <vt:lpwstr>Manuscript</vt:lpwstr>
  </property>
</Properties>
</file>