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2.png" ContentType="image/png"/>
  <Override PartName="/word/media/rId36.png" ContentType="image/png"/>
  <Override PartName="/word/media/rId27.png" ContentType="image/png"/>
  <Override PartName="/word/media/rId39.png" ContentType="image/png"/>
  <Override PartName="/word/media/rId3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low-grade</w:t>
      </w:r>
      <w:r>
        <w:t xml:space="preserve"> </w:t>
      </w: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deterioration</w:t>
      </w:r>
      <w:r>
        <w:t xml:space="preserve"> </w:t>
      </w:r>
      <w:r>
        <w:t xml:space="preserve">signs</w:t>
      </w:r>
      <w:r>
        <w:t xml:space="preserve"> </w:t>
      </w:r>
      <w:r>
        <w:t xml:space="preserve">impact</w:t>
      </w:r>
      <w:r>
        <w:t xml:space="preserve"> </w:t>
      </w:r>
      <w:r>
        <w:t xml:space="preserve">on</w:t>
      </w:r>
      <w:r>
        <w:t xml:space="preserve"> </w:t>
      </w:r>
      <w:r>
        <w:t xml:space="preserve">systemic</w:t>
      </w:r>
      <w:r>
        <w:t xml:space="preserve"> </w:t>
      </w:r>
      <w:r>
        <w:t xml:space="preserve">levels</w:t>
      </w:r>
      <w:r>
        <w:t xml:space="preserve"> </w:t>
      </w:r>
      <w:r>
        <w:t xml:space="preserve">of</w:t>
      </w:r>
      <w:r>
        <w:t xml:space="preserve"> </w:t>
      </w:r>
      <w:r>
        <w:t xml:space="preserve">aminoacid</w:t>
      </w:r>
      <w:r>
        <w:t xml:space="preserve"> </w:t>
      </w:r>
      <w:r>
        <w:t xml:space="preserve">neurotransmitter</w:t>
      </w:r>
      <w:r>
        <w:t xml:space="preserve"> </w:t>
      </w:r>
      <w:r>
        <w:t xml:space="preserve">precursors</w:t>
      </w:r>
    </w:p>
    <w:p>
      <w:pPr>
        <w:pStyle w:val="Subtitle"/>
      </w:pPr>
      <w:r>
        <w:t xml:space="preserve">Manuscript</w:t>
      </w:r>
    </w:p>
    <w:p>
      <w:pPr>
        <w:pStyle w:val="Date"/>
      </w:pPr>
      <w:r>
        <w:t xml:space="preserve">2023-05-15</w:t>
      </w:r>
    </w:p>
    <w:p>
      <w:r>
        <w:br w:type="page"/>
      </w:r>
    </w:p>
    <w:bookmarkStart w:id="22"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0">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21">
        <w:r>
          <w:rPr>
            <w:rStyle w:val="InternetLink"/>
          </w:rPr>
          <w:t xml:space="preserve">https://github.com/PiotrTymoszuk/simmun_revision</w:t>
        </w:r>
      </w:hyperlink>
      <w:r>
        <w:t xml:space="preserve">.</w:t>
      </w:r>
    </w:p>
    <w:p>
      <w:r>
        <w:br w:type="page"/>
      </w:r>
    </w:p>
    <w:bookmarkEnd w:id="22"/>
    <w:bookmarkStart w:id="23" w:name="tables"/>
    <w:p>
      <w:pPr>
        <w:pStyle w:val="Heading1"/>
      </w:pPr>
      <w:r>
        <w:t xml:space="preserve">Tables</w:t>
      </w:r>
    </w:p>
    <w:p>
      <w:pPr>
        <w:pStyle w:val="TableCaption"/>
      </w:pPr>
      <w:r>
        <w:t xml:space="preserve">Table 1:</w:t>
      </w:r>
      <w:r>
        <w:t xml:space="preserve"> </w:t>
      </w:r>
      <w:r>
        <w:t xml:space="preserve">Characteristic of the local SIMMUN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64%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36%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42%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0.066</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32 - 56]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20 - 68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0.069</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32%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15%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27%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57%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43%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80%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69%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31%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84%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16%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0.095</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SARS-CoV-2, IgG, AU</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[IQR: 0.28 - 0.34]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0.21 - 0.99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[IQR: 14 - 17]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0.42 - 20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0.84</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73%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27%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 RBD: receptor binding domain; IgG: immunoglobulin gamma; AU: arbitrary urnits.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 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kg/m²; obesity: BMI &gt; 30 kg/m²</w:t>
            </w:r>
          </w:p>
        </w:tc>
      </w:tr>
    </w:tbl>
    <w:p>
      <w:r>
        <w:br w:type="page"/>
      </w:r>
    </w:p>
    <w:p>
      <w:pPr>
        <w:pStyle w:val="TableCaption"/>
      </w:pPr>
      <w:r>
        <w:t xml:space="preserve">Table 2:</w:t>
      </w:r>
      <w:r>
        <w:t xml:space="preserve"> </w:t>
      </w:r>
      <w:r>
        <w:t xml:space="preserve">Characteristic of the external INCOV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56%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44%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48 - 73]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44%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33%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26%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36%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38%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0.16</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Ethnics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0%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12%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88%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0%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16%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9.3%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46%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29% (40)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mild: 2.9%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59%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severe: 25%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critical: 13%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ordinal scale for clinical improvement; mild: 1 - 2, moderate: 3 - 4, severe: 5 - 6, critical: 7</w:t>
            </w:r>
          </w:p>
        </w:tc>
      </w:tr>
    </w:tbl>
    <w:p>
      <w:r>
        <w:br w:type="page"/>
      </w:r>
    </w:p>
    <w:bookmarkEnd w:id="23"/>
    <w:bookmarkStart w:id="45" w:name="figures"/>
    <w:p>
      <w:pPr>
        <w:pStyle w:val="Heading1"/>
      </w:pPr>
      <w:r>
        <w:t xml:space="preserve">Figures</w:t>
      </w:r>
    </w:p>
    <w:p>
      <w:pPr>
        <w:pStyle w:val="CaptionedFigure"/>
      </w:pPr>
      <w:r>
        <w:drawing>
          <wp:inline>
            <wp:extent cx="5943600" cy="4162337"/>
            <wp:effectExtent b="0" l="0" r="0" t="0"/>
            <wp:docPr descr="Figure 1: Inclusion scheme for the SIMMUN and INCOV cohorts, and analysis strategy." title="" id="25" name="Picture"/>
            <a:graphic>
              <a:graphicData uri="http://schemas.openxmlformats.org/drawingml/2006/picture">
                <pic:pic>
                  <pic:nvPicPr>
                    <pic:cNvPr descr="C:\Users\piotr\Desktop\simmun%20revision\paper\main_manuscript_files/figure-docx/fig-inclusion-1.png" id="26" name="Picture"/>
                    <pic:cNvPicPr>
                      <a:picLocks noChangeArrowheads="1" noChangeAspect="1"/>
                    </pic:cNvPicPr>
                  </pic:nvPicPr>
                  <pic:blipFill>
                    <a:blip r:embed="rId24"/>
                    <a:stretch>
                      <a:fillRect/>
                    </a:stretch>
                  </pic:blipFill>
                  <pic:spPr bwMode="auto">
                    <a:xfrm>
                      <a:off x="0" y="0"/>
                      <a:ext cx="5943600" cy="4162337"/>
                    </a:xfrm>
                    <a:prstGeom prst="rect">
                      <a:avLst/>
                    </a:prstGeom>
                    <a:noFill/>
                    <a:ln w="9525">
                      <a:noFill/>
                      <a:headEnd/>
                      <a:tailEnd/>
                    </a:ln>
                  </pic:spPr>
                </pic:pic>
              </a:graphicData>
            </a:graphic>
          </wp:inline>
        </w:drawing>
      </w:r>
    </w:p>
    <w:p>
      <w:pPr>
        <w:pStyle w:val="ImageCaption"/>
      </w:pPr>
      <w:r>
        <w:t xml:space="preserve">Figure 1: Inclusion scheme for the SIMMUN and INCOV cohorts, and analysis strategy.</w:t>
      </w:r>
    </w:p>
    <w:p>
      <w:pPr>
        <w:pStyle w:val="TextBody"/>
      </w:pPr>
      <w:r>
        <w:rPr>
          <w:bCs/>
          <w:b/>
        </w:rPr>
        <w:t xml:space="preserve">Figure</w:t>
      </w:r>
      <w:r>
        <w:rPr>
          <w:bCs/>
          <w:b/>
        </w:rPr>
        <w:t xml:space="preserve"> </w:t>
      </w:r>
      <w:r>
        <w:rPr>
          <w:bCs/>
          <w:b/>
        </w:rPr>
        <w:t xml:space="preserve">1</w:t>
      </w:r>
      <w:r>
        <w:rPr>
          <w:bCs/>
          <w:b/>
        </w:rPr>
        <w:t xml:space="preserve">. Inclusion scheme for the SIMMUN and INCOV cohorts, and analysis strategy.</w:t>
      </w:r>
    </w:p>
    <w:p>
      <w:pPr>
        <w:pStyle w:val="TextBody"/>
      </w:pPr>
      <w:r>
        <w:rPr>
          <w:iCs/>
          <w:i/>
        </w:rPr>
        <w:t xml:space="preserve">TRP: tryptophan; KYN: kynurenine; PHE: phenylalanine; TYR: tyrosine; KYN/TRP: kynurenine - tryptophan ratio; PHE/TYR: phenylalanine - tyrosine ratio; QUIN: quinolinate; 5-HT: serotonin; DA: dopamine; Ab: antibody; IL6: interleukin-6; IL10: interleukin-10; TNF: tumor-necrosis factor alpha; IFNG: interferon gamma.</w:t>
      </w:r>
    </w:p>
    <w:p>
      <w:r>
        <w:br w:type="page"/>
      </w:r>
    </w:p>
    <w:p>
      <w:pPr>
        <w:pStyle w:val="CaptionedFigure"/>
      </w:pPr>
      <w:r>
        <w:drawing>
          <wp:inline>
            <wp:extent cx="5943600" cy="5943600"/>
            <wp:effectExtent b="0" l="0" r="0" t="0"/>
            <wp:docPr descr="Figure 2: Results of multi-parameter linear modeling of tryptophan, kynurenine, kynurenine/tryptophan ratio, tyrosine and phenylalanine/tyrosine ratio in the SIMMUN cohort." title="" id="28" name="Picture"/>
            <a:graphic>
              <a:graphicData uri="http://schemas.openxmlformats.org/drawingml/2006/picture">
                <pic:pic>
                  <pic:nvPicPr>
                    <pic:cNvPr descr="C:\Users\piotr\Desktop\simmun%20revision\paper\main_manuscript_files/figure-docx/fig-modeling-1.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Results of multi-parameter linear modeling of tryptophan, kynurenine, kynurenine/tryptophan ratio, tyrosine and phenylalanine/tyrosine ratio in the SIMMUN cohort.</w:t>
      </w:r>
    </w:p>
    <w:p>
      <w:pPr>
        <w:pStyle w:val="TextBody"/>
      </w:pPr>
      <w:r>
        <w:rPr>
          <w:bCs/>
          <w:b/>
        </w:rPr>
        <w:t xml:space="preserve">Figure</w:t>
      </w:r>
      <w:r>
        <w:rPr>
          <w:bCs/>
          <w:b/>
        </w:rPr>
        <w:t xml:space="preserve"> </w:t>
      </w:r>
      <w:r>
        <w:rPr>
          <w:bCs/>
          <w:b/>
        </w:rPr>
        <w:t xml:space="preserve">2</w:t>
      </w:r>
      <w:r>
        <w:rPr>
          <w:bCs/>
          <w:b/>
        </w:rPr>
        <w:t xml:space="preserve">. Results of multi-parameter linear modeling of tryptophan, kynurenine, kynurenine/tryptophan ratio, tyrosine and phenylalanine/tyrosine ratio in the SIMMUN cohort.</w:t>
      </w:r>
    </w:p>
    <w:p>
      <w:pPr>
        <w:pStyle w:val="TextBody"/>
      </w:pPr>
      <w:r>
        <w:rPr>
          <w:iCs/>
          <w:i/>
        </w:rPr>
        <w:t xml:space="preserve">Effects of systemic inflammation markers (neopterin [NEO], neutrophil-lymphocyte ratio [NLR]), SARS-CoV-2 infection status, titre of immunoglobulin gamma against the receptor binding domain of the S1 SARS-CoV-2 protein (anti-RBD IgG), scores of anxiety, depression (hospital depression and anxiety scale [HADS]) and mental stress (perceived stress scale, 4 item [PSS4]), age and sex was investigated by multi-parameter linear regression with backward elimination of non-significant terms. Overall model validity was assessed by likelihood-ratio test (LRT). Significant model coefficient estimates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TextBody"/>
      </w:pPr>
      <w:r>
        <w:rPr>
          <w:iCs/>
          <w:i/>
        </w:rPr>
        <w:t xml:space="preserve">TRP: tryptophan; KYN: kynurenin; KYN/TRP: kynurenine - tryptophan ratio; PHE: phenylalanine; TYR: tyrosine; PHE/TYR: phenylalanine - tyrosine ratio.</w:t>
      </w:r>
    </w:p>
    <w:p>
      <w:r>
        <w:br w:type="page"/>
      </w:r>
    </w:p>
    <w:p>
      <w:pPr>
        <w:pStyle w:val="CaptionedFigure"/>
      </w:pPr>
      <w:r>
        <w:drawing>
          <wp:inline>
            <wp:extent cx="5943600" cy="7596231"/>
            <wp:effectExtent b="0" l="0" r="0" t="0"/>
            <wp:docPr descr="Figure 3: Effects of age, serum inflammatory markers neopterin and neutrophil-lymphocyte ratio, stress, depression and SARS-CoV-2 infection on tryptophan, kynurenine and kynurenine/tryptophan ratio in the SIMMUN cohort." title="" id="31" name="Picture"/>
            <a:graphic>
              <a:graphicData uri="http://schemas.openxmlformats.org/drawingml/2006/picture">
                <pic:pic>
                  <pic:nvPicPr>
                    <pic:cNvPr descr="C:\Users\piotr\Desktop\simmun%20revision\paper\main_manuscript_files/figure-docx/fig-uni-trp-1.png" id="32" name="Picture"/>
                    <pic:cNvPicPr>
                      <a:picLocks noChangeArrowheads="1" noChangeAspect="1"/>
                    </pic:cNvPicPr>
                  </pic:nvPicPr>
                  <pic:blipFill>
                    <a:blip r:embed="rId30"/>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Effects of age, serum inflammatory markers neopterin and neutrophil-lymphocyte ratio, stress, depression and SARS-CoV-2 infection on tryptophan, kynurenine and kynurenine/tryptophan ratio in the SIMMUN cohort.</w:t>
      </w:r>
    </w:p>
    <w:p>
      <w:pPr>
        <w:pStyle w:val="TextBody"/>
      </w:pPr>
      <w:r>
        <w:rPr>
          <w:bCs/>
          <w:b/>
        </w:rPr>
        <w:t xml:space="preserve">Figure</w:t>
      </w:r>
      <w:r>
        <w:rPr>
          <w:bCs/>
          <w:b/>
        </w:rPr>
        <w:t xml:space="preserve"> </w:t>
      </w:r>
      <w:r>
        <w:rPr>
          <w:bCs/>
          <w:b/>
        </w:rPr>
        <w:t xml:space="preserve">3</w:t>
      </w:r>
      <w:r>
        <w:rPr>
          <w:bCs/>
          <w:b/>
        </w:rPr>
        <w:t xml:space="preserve">. Effects of age, serum inflammatory markers neopterin and neutrophil-lymphocyte ratio, stress, depression and SARS-CoV-2 infection on tryptophan, kynurenine and kynurenine/tryptophan ratio in the SIMMUN cohort.</w:t>
      </w:r>
    </w:p>
    <w:p>
      <w:pPr>
        <w:pStyle w:val="TextBody"/>
      </w:pPr>
      <w:r>
        <w:rPr>
          <w:iCs/>
          <w:i/>
        </w:rPr>
        <w:t xml:space="preserve">Age, systemic inflammatory markers: neopterin (NEO), neutrophil - lymphocyte ratio (NLR), SARS-CoV-2 infection status, depression signs (hospital anxiety and depression scale [HADS] &gt; 8 points) and mental stress scoring (perceived stress scale, 4 item [PSS-4]) were identified as significant determinants of systemic levels of tryptophan (TRP), kynurenine (KYN) and kynurenine - tryptophan ratio (KYN/TRP). Their association with serum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serum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and between participants with and without depression signs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in the strata are indicated in the X axes.</w:t>
      </w:r>
    </w:p>
    <w:p>
      <w:r>
        <w:br w:type="page"/>
      </w:r>
    </w:p>
    <w:p>
      <w:pPr>
        <w:pStyle w:val="CaptionedFigure"/>
      </w:pPr>
      <w:r>
        <w:drawing>
          <wp:inline>
            <wp:extent cx="5943600" cy="5943600"/>
            <wp:effectExtent b="0" l="0" r="0" t="0"/>
            <wp:docPr descr="Figure 4: Effects of age, serum inflammatory marker neopterin and SARS-CoV-2 infection on phenylalanine, tyrosine and phenylalanine/tyrosine ratio in the SIMMUN cohort." title="" id="34" name="Picture"/>
            <a:graphic>
              <a:graphicData uri="http://schemas.openxmlformats.org/drawingml/2006/picture">
                <pic:pic>
                  <pic:nvPicPr>
                    <pic:cNvPr descr="C:\Users\piotr\Desktop\simmun%20revision\paper\main_manuscript_files/figure-docx/fig-uni-tyr-1.png" id="35"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Effects of age, serum inflammatory marker neopterin and SARS-CoV-2 infection on phenylalanine, tyrosine and phenylalanine/tyrosine ratio in the SIMMUN cohort.</w:t>
      </w:r>
    </w:p>
    <w:p>
      <w:pPr>
        <w:pStyle w:val="TextBody"/>
      </w:pPr>
      <w:r>
        <w:rPr>
          <w:bCs/>
          <w:b/>
        </w:rPr>
        <w:t xml:space="preserve">Figure</w:t>
      </w:r>
      <w:r>
        <w:rPr>
          <w:bCs/>
          <w:b/>
        </w:rPr>
        <w:t xml:space="preserve"> </w:t>
      </w:r>
      <w:r>
        <w:rPr>
          <w:bCs/>
          <w:b/>
        </w:rPr>
        <w:t xml:space="preserve">4</w:t>
      </w:r>
      <w:r>
        <w:rPr>
          <w:bCs/>
          <w:b/>
        </w:rPr>
        <w:t xml:space="preserve">. Effects of age, serum inflammatory marker neopterin and SARS-CoV-2 infection on phenylalanine, tyrosine and phenylalanine/tyrosine ratio in the SIMMUN cohort.</w:t>
      </w:r>
    </w:p>
    <w:p>
      <w:pPr>
        <w:pStyle w:val="TextBody"/>
      </w:pPr>
      <w:r>
        <w:rPr>
          <w:iCs/>
          <w:i/>
        </w:rPr>
        <w:t xml:space="preserve">Age, the systemic inflammatory marker neopterin (NEO), and SARS-CoV-2 infection status were identified as significant determinants of systemic levels of phenylalanine (PHE), tyrosine (TYR) and phenylalanine - tyrosine ratio (PHE/TYR). Their association with serum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in the strata are indicated in the X axes.</w:t>
      </w:r>
    </w:p>
    <w:p>
      <w:r>
        <w:br w:type="page"/>
      </w:r>
    </w:p>
    <w:p>
      <w:pPr>
        <w:pStyle w:val="CaptionedFigure"/>
      </w:pPr>
      <w:r>
        <w:drawing>
          <wp:inline>
            <wp:extent cx="5943600" cy="6934899"/>
            <wp:effectExtent b="0" l="0" r="0" t="0"/>
            <wp:docPr descr="Figure 5: Results of multi-parameter robust linear modeling of serum levels of serotonin and dopamine sulfate in the INCOV cohort." title="" id="37" name="Picture"/>
            <a:graphic>
              <a:graphicData uri="http://schemas.openxmlformats.org/drawingml/2006/picture">
                <pic:pic>
                  <pic:nvPicPr>
                    <pic:cNvPr descr="C:\Users\piotr\Desktop\simmun%20revision\paper\main_manuscript_files/figure-docx/fig-incov-neuro-1.png" id="38" name="Picture"/>
                    <pic:cNvPicPr>
                      <a:picLocks noChangeArrowheads="1" noChangeAspect="1"/>
                    </pic:cNvPicPr>
                  </pic:nvPicPr>
                  <pic:blipFill>
                    <a:blip r:embed="rId36"/>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5: Results of multi-parameter robust linear modeling of serum levels of serotonin and dopamine sulfate in the INCOV cohort.</w:t>
      </w:r>
    </w:p>
    <w:p>
      <w:pPr>
        <w:pStyle w:val="TextBody"/>
      </w:pPr>
      <w:r>
        <w:rPr>
          <w:bCs/>
          <w:b/>
        </w:rPr>
        <w:t xml:space="preserve">Figure</w:t>
      </w:r>
      <w:r>
        <w:rPr>
          <w:bCs/>
          <w:b/>
        </w:rPr>
        <w:t xml:space="preserve"> </w:t>
      </w:r>
      <w:r>
        <w:rPr>
          <w:bCs/>
          <w:b/>
        </w:rPr>
        <w:t xml:space="preserve">5</w:t>
      </w:r>
      <w:r>
        <w:rPr>
          <w:bCs/>
          <w:b/>
        </w:rPr>
        <w:t xml:space="preserve">. Results of multi-parameter robust linear modeling of serum levels of serotonin and dopamine sulfate in the INCOV cohort.</w:t>
      </w:r>
    </w:p>
    <w:p>
      <w:pPr>
        <w:pStyle w:val="TextBody"/>
      </w:pPr>
      <w:r>
        <w:rPr>
          <w:iCs/>
          <w:i/>
        </w:rPr>
        <w:t xml:space="preserve">Effects of patient’s age, timepoint after SARS-CoV-2 infection (acute: median 10 days, sub-acute: median 14 days, recovery: median 64 days after infection as compared with healthy controls), serum levels of metabolites related to neurotransmitter biosynthesis and competitor pathways (tryptophan [TRP], kynurenine [KYN], quinolinate [QUIN], phenylalanine [PHE] and tyrosine [TYR]), and serum concentrations of inflammatory cytokines (interleukin-6 [IL6], interleukin-10 [IL10], tumor necrosis factor-alpha [TNF] and interferon-gamma [IFNG]) on serum concentrations of serotonin (5-hydroxy tryptophan [5-HT]) and dopamine sulfate (DA sulfate) were modeled by multi-parameter robust linear regression.</w:t>
      </w:r>
    </w:p>
    <w:p>
      <w:pPr>
        <w:pStyle w:val="TextBody"/>
      </w:pPr>
      <w:r>
        <w:rPr>
          <w:iCs/>
          <w:i/>
        </w:rPr>
        <w:t xml:space="preserve">(A) Model fit error (root mean square error [RMSE]) and fraction of explained variances (R-squared) of the robust linear models assessed in the genuine training dataset and 10-fold cross-validation (CV).</w:t>
      </w:r>
    </w:p>
    <w:p>
      <w:pPr>
        <w:pStyle w:val="TextBody"/>
      </w:pPr>
      <w:r>
        <w:rPr>
          <w:iCs/>
          <w:i/>
        </w:rPr>
        <w:t xml:space="preserve">(B) Estimated of model coefficients with 95% confidence intervals presented in Forest plots. Numbers of complete observations are indicated in the plot captions. Model intercepts (baseline) are indicated in the X axis titles.</w:t>
      </w:r>
    </w:p>
    <w:p>
      <w:r>
        <w:br w:type="page"/>
      </w:r>
    </w:p>
    <w:p>
      <w:pPr>
        <w:pStyle w:val="CaptionedFigure"/>
      </w:pPr>
      <w:r>
        <w:drawing>
          <wp:inline>
            <wp:extent cx="5943600" cy="6934899"/>
            <wp:effectExtent b="0" l="0" r="0" t="0"/>
            <wp:docPr descr="Figure 6: Time course of inflammatory cytokines, serotonin, dopamine sulfate and the neurotransmitter biosynthesis precursors and competitor pathway products during SARS-CoV infection and recovery in the INCOV cohort." title="" id="40" name="Picture"/>
            <a:graphic>
              <a:graphicData uri="http://schemas.openxmlformats.org/drawingml/2006/picture">
                <pic:pic>
                  <pic:nvPicPr>
                    <pic:cNvPr descr="C:\Users\piotr\Desktop\simmun%20revision\paper\main_manuscript_files/figure-docx/fig-time-ourse-1.png" id="41" name="Picture"/>
                    <pic:cNvPicPr>
                      <a:picLocks noChangeArrowheads="1" noChangeAspect="1"/>
                    </pic:cNvPicPr>
                  </pic:nvPicPr>
                  <pic:blipFill>
                    <a:blip r:embed="rId39"/>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6: Time course of inflammatory cytokines, serotonin, dopamine sulfate and the neurotransmitter biosynthesis precursors and competitor pathway products during SARS-CoV infection and recovery in the INCOV cohort.</w:t>
      </w:r>
    </w:p>
    <w:p>
      <w:pPr>
        <w:pStyle w:val="TextBody"/>
      </w:pPr>
      <w:r>
        <w:rPr>
          <w:bCs/>
          <w:b/>
        </w:rPr>
        <w:t xml:space="preserve">Figure</w:t>
      </w:r>
      <w:r>
        <w:rPr>
          <w:bCs/>
          <w:b/>
        </w:rPr>
        <w:t xml:space="preserve"> </w:t>
      </w:r>
      <w:r>
        <w:rPr>
          <w:bCs/>
          <w:b/>
        </w:rPr>
        <w:t xml:space="preserve">6</w:t>
      </w:r>
      <w:r>
        <w:rPr>
          <w:bCs/>
          <w:b/>
        </w:rPr>
        <w:t xml:space="preserve">. Time course of inflammatory cytokines, serotonin, dopamine sulfate and the neurotransmitter biosynthesis precursors and competitor pathway products during SARS-CoV infection and recovery in the INCOV cohort.</w:t>
      </w:r>
    </w:p>
    <w:p>
      <w:pPr>
        <w:pStyle w:val="TextBody"/>
      </w:pPr>
      <w:r>
        <w:rPr>
          <w:iCs/>
          <w:i/>
        </w:rPr>
        <w:t xml:space="preserve">Time courses of normalized log</w:t>
      </w:r>
      <w:r>
        <w:rPr>
          <w:vertAlign w:val="subscript"/>
          <w:iCs/>
          <w:i/>
        </w:rPr>
        <w:t xml:space="preserve">2</w:t>
      </w:r>
      <w:r>
        <w:rPr>
          <w:iCs/>
          <w:i/>
        </w:rPr>
        <w:t xml:space="preserve">-transformed serum concentrations of inflammatory cytokines (A, interleukin-6 [IL6], interleukin-10 [IL-10], tumor necrosis factor-alpha [TNF] and interferon gamma [INFG]), metabolites implicated in serotonin synthesis (B, tryptophan [TRP], kynurenine [KYN], quinolinate [QUIN] and serotonin/5-hydroxy tryptophan [5-HT]) and metabolites implicated in dopamine turnover (C, phenylalanine [PHE], tyrosine [TYR] and dopamine sulfate [DA sulfate]). Differences between uninfected controls and acute, sub-acute SARS-CoV-2 infection and recovery (median 10, 14 and 64 days after infection, respectively) were modeled by robust linear regression with the uninfected controls as baseline. Mean normalized concentrations with 2 standard errors of the mean (2</w:t>
      </w:r>
      <w:r>
        <w:rPr>
          <w:iCs/>
          <w:i/>
        </w:rPr>
        <w:t xml:space="preserve"> </w:t>
      </w:r>
      <m:oMath>
        <m:r>
          <m:rPr>
            <m:sty m:val="p"/>
          </m:rPr>
          <m:t>×</m:t>
        </m:r>
      </m:oMath>
      <w:r>
        <w:rPr>
          <w:iCs/>
          <w:i/>
        </w:rPr>
        <w:t xml:space="preserve"> </w:t>
      </w:r>
      <w:r>
        <w:rPr>
          <w:iCs/>
          <w:i/>
        </w:rPr>
        <w:t xml:space="preserve">SEM) are depicted as solid lines with tinted ribbons (plots on the left). Robust linear model coefficient estimates with 95% confidence intervals are visualized in Forest plots (right). Numbers of complete observations per timepoint are indicated in the X axes.</w:t>
      </w:r>
    </w:p>
    <w:p>
      <w:r>
        <w:br w:type="page"/>
      </w:r>
    </w:p>
    <w:p>
      <w:pPr>
        <w:pStyle w:val="CaptionedFigure"/>
      </w:pPr>
      <w:r>
        <w:drawing>
          <wp:inline>
            <wp:extent cx="5943600" cy="7264866"/>
            <wp:effectExtent b="0" l="0" r="0" t="0"/>
            <wp:docPr descr="Figure 7: Correlation of serum levels of inflammatory cytokines, serotonin and dopamine sulfate, their precursors and competitor pathway products in healthy controls and SARS-CoV-2 patients of the INCOV cohort." title="" id="43" name="Picture"/>
            <a:graphic>
              <a:graphicData uri="http://schemas.openxmlformats.org/drawingml/2006/picture">
                <pic:pic>
                  <pic:nvPicPr>
                    <pic:cNvPr descr="C:\Users\piotr\Desktop\simmun%20revision\paper\main_manuscript_files/figure-docx/fig-incov-corr-1.png" id="44" name="Picture"/>
                    <pic:cNvPicPr>
                      <a:picLocks noChangeArrowheads="1" noChangeAspect="1"/>
                    </pic:cNvPicPr>
                  </pic:nvPicPr>
                  <pic:blipFill>
                    <a:blip r:embed="rId42"/>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Correlation of serum levels of inflammatory cytokines, serotonin and dopamine sulfate, their precursors and competitor pathway products in healthy controls and SARS-CoV-2 patients of the INCOV cohort.</w:t>
      </w:r>
    </w:p>
    <w:p>
      <w:pPr>
        <w:pStyle w:val="TextBody"/>
      </w:pPr>
      <w:r>
        <w:rPr>
          <w:bCs/>
          <w:b/>
        </w:rPr>
        <w:t xml:space="preserve">Figure</w:t>
      </w:r>
      <w:r>
        <w:rPr>
          <w:bCs/>
          <w:b/>
        </w:rPr>
        <w:t xml:space="preserve"> </w:t>
      </w:r>
      <w:r>
        <w:rPr>
          <w:bCs/>
          <w:b/>
        </w:rPr>
        <w:t xml:space="preserve">7</w:t>
      </w:r>
      <w:r>
        <w:rPr>
          <w:bCs/>
          <w:b/>
        </w:rPr>
        <w:t xml:space="preserve">. Correlation of serum levels of inflammatory cytokines, serotonin and dopamine sulfate, their precursors and competitor pathway products in healthy controls and SARS-CoV-2 patients of the INCOV cohort.</w:t>
      </w:r>
    </w:p>
    <w:p>
      <w:pPr>
        <w:pStyle w:val="TextBody"/>
      </w:pPr>
      <w:r>
        <w:rPr>
          <w:iCs/>
          <w:i/>
        </w:rPr>
        <w:t xml:space="preserve">Serum levels of metabolites implicated in serotonin synthesis (A, tryptophan [TRP], kynurenine [KYN], quinolinic acid [QUIN], serotonin [5-hydroxy tryptophan, 5-HT]), dopamine turnover (B, phenylalanine [PHE], tyrosine [TYR], dopamine sulfate [DA sulfate]) and inflammatory cytokines (interleukin-6 [IL6], interleukin-10 [IL10], tumor necrosis factor-alpha [TNF], interferon-gamma [INFG]) were subjected to pairwise correlation analysis in uninfected and SARS-CoV-2-infected individuals (acute: median 10 days, sub-acute: median 14 days, recovery: median 64 days after infection). Correlation coefficient matrices for at least moderate effects (</w:t>
      </w:r>
      <m:oMath>
        <m:r>
          <m:t>ρ</m:t>
        </m:r>
      </m:oMath>
      <w:r>
        <w:rPr>
          <w:iCs/>
          <w:i/>
        </w:rPr>
        <w:t xml:space="preserve"> </w:t>
      </w:r>
      <w:r>
        <w:rPr>
          <w:iCs/>
          <w:i/>
        </w:rPr>
        <w:t xml:space="preserve">&gt; 0.2) were visualized as force-directed network plots. Node color codes for the parameter type (gray: inflammatory cytokines, orange: serotonin, green: dopamine turnover), edge width and color codes for the value and sign of the correlation coefficient.</w:t>
      </w:r>
    </w:p>
    <w:p>
      <w:r>
        <w:br w:type="page"/>
      </w:r>
    </w:p>
    <w:bookmarkEnd w:id="45"/>
    <w:bookmarkStart w:id="46" w:name="acknowledgements"/>
    <w:p>
      <w:pPr>
        <w:pStyle w:val="Heading1"/>
      </w:pPr>
      <w:r>
        <w:t xml:space="preserve">Acknowledgements</w:t>
      </w:r>
    </w:p>
    <w:p>
      <w:pPr>
        <w:pStyle w:val="FirstParagraph"/>
      </w:pPr>
      <w:r>
        <w:t xml:space="preserve">The scheme of report findings was created with bioicons by Simon Duerr.</w:t>
      </w:r>
      <w:r>
        <w:t xml:space="preserve"> </w:t>
      </w:r>
      <w:r>
        <w:t xml:space="preserve">The SARS-CoV-2 virus image was created by Hanna Vega and licensed under the terms of a Creative Commons CC-BY SA 4.0.</w:t>
      </w:r>
    </w:p>
    <w:bookmarkEnd w:id="46"/>
    <w:bookmarkStart w:id="47" w:name="references"/>
    <w:p>
      <w:pPr>
        <w:pStyle w:val="Heading1"/>
      </w:pPr>
      <w:r>
        <w:t xml:space="preserve">References</w:t>
      </w:r>
    </w:p>
    <w:bookmarkEnd w:id="47"/>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hyperlink" Id="rId20" Target="https://data.mendeley.com/datasets/96v329bg7g/1" TargetMode="External" /><Relationship Type="http://schemas.openxmlformats.org/officeDocument/2006/relationships/hyperlink" Id="rId21" Target="https://github.com/PiotrTymoszuk/simmun_revision" TargetMode="External" /></Relationships>
</file>

<file path=word/_rels/footnotes.xml.rels><?xml version="1.0" encoding="UTF-8"?><Relationships xmlns="http://schemas.openxmlformats.org/package/2006/relationships"><Relationship Type="http://schemas.openxmlformats.org/officeDocument/2006/relationships/hyperlink" Id="rId20" Target="https://data.mendeley.com/datasets/96v329bg7g/1" TargetMode="External" /><Relationship Type="http://schemas.openxmlformats.org/officeDocument/2006/relationships/hyperlink" Id="rId21" Target="https://github.com/PiotrTymoszuk/simmun_revis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low-grade inflammation, SARS-CoV-2 infection and mental health deterioration signs impact on systemic levels of aminoacid neurotransmitter precursors</dc:title>
  <dc:creator/>
  <cp:keywords/>
  <dcterms:created xsi:type="dcterms:W3CDTF">2023-05-15T21:03:25Z</dcterms:created>
  <dcterms:modified xsi:type="dcterms:W3CDTF">2023-05-15T21:03:25Z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2023-05-15</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