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Early alterations of blood monocyte subset distribution and surface phenotype are linked to infection severity in hospitalized COVID-19 patients</w:t>
      </w:r>
    </w:p>
    <w:p>
      <w:pPr>
        <w:pStyle w:val="Subtitle"/>
        <w:rPr/>
      </w:pPr>
      <w:r>
        <w:rPr/>
        <w:t>Manuscript file</w:t>
      </w:r>
    </w:p>
    <w:p>
      <w:pPr>
        <w:pStyle w:val="Author1"/>
        <w:rPr/>
      </w:pPr>
      <w:r>
        <w:rPr/>
        <w:t>Max Mustermann</w:t>
      </w:r>
      <w:r>
        <w:rPr>
          <w:rStyle w:val="FootnoteAnchor"/>
        </w:rPr>
        <w:footnoteReference w:id="2"/>
      </w:r>
    </w:p>
    <w:p>
      <w:pPr>
        <w:pStyle w:val="Date"/>
        <w:rPr/>
      </w:pPr>
      <w:r>
        <w:rPr/>
        <w:t>2022-02-22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0" w:name="sec%25252525252525252525252525253Aabstra"/>
      <w:r>
        <w:rPr/>
        <w:t>Abstract</w:t>
      </w:r>
      <w:bookmarkEnd w:id="0"/>
    </w:p>
    <w:p>
      <w:pPr>
        <w:pStyle w:val="Normal"/>
        <w:spacing w:lineRule="auto" w:line="360" w:before="202" w:after="202"/>
        <w:rPr/>
      </w:pPr>
      <w:r>
        <w:rPr>
          <w:rStyle w:val="Revision"/>
        </w:rPr>
        <w:t>Severe SARS-CoV-2 infection manifests</w:t>
      </w:r>
      <w:r>
        <w:rPr/>
        <w:t xml:space="preserve"> with systemic immediate pro-inflammatory innate immune activation and altered iron turnover. </w:t>
      </w:r>
    </w:p>
    <w:p>
      <w:pPr>
        <w:pStyle w:val="TextBody"/>
        <w:spacing w:lineRule="auto" w:line="360" w:before="202" w:after="202"/>
        <w:rPr/>
      </w:pPr>
      <w:r>
        <w:rPr>
          <w:rStyle w:val="VerbatimChar"/>
        </w:rPr>
        <w:t>Code example</w:t>
      </w:r>
    </w:p>
    <w:p>
      <w:pPr>
        <w:pStyle w:val="TextBody"/>
        <w:spacing w:lineRule="auto" w:line="360" w:before="202" w:after="202"/>
        <w:rPr/>
      </w:pPr>
      <w:r>
        <w:rPr>
          <w:rStyle w:val="Reviewer"/>
          <w:rFonts w:ascii="Calibri" w:hAnsi="Calibri"/>
        </w:rPr>
        <w:t>Rebuttal issue</w:t>
      </w:r>
    </w:p>
    <w:p>
      <w:pPr>
        <w:pStyle w:val="Normal"/>
        <w:spacing w:lineRule="auto" w:line="360" w:before="144" w:after="144"/>
        <w:rPr>
          <w:rFonts w:ascii="Calibri" w:hAnsi="Calibri"/>
          <w:color w:val="B85C00"/>
        </w:rPr>
      </w:pPr>
      <w:r>
        <w:rPr>
          <w:rStyle w:val="Author"/>
          <w:rFonts w:ascii="Calibri" w:hAnsi="Calibri"/>
        </w:rPr>
        <w:t>Author’s comment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Test heading 2</w:t>
      </w:r>
    </w:p>
    <w:p>
      <w:pPr>
        <w:pStyle w:val="Heading3"/>
        <w:rPr/>
      </w:pPr>
      <w:r>
        <w:rPr/>
        <w:t>Test heading 3</w:t>
      </w:r>
    </w:p>
    <w:p>
      <w:pPr>
        <w:pStyle w:val="TableHeading"/>
        <w:suppressLineNumbers/>
        <w:spacing w:before="0" w:after="200"/>
        <w:jc w:val="left"/>
        <w:rPr/>
      </w:pPr>
      <w:r>
        <w:rPr/>
        <w:t>Table caption</w:t>
      </w:r>
    </w:p>
    <w:sectPr>
      <w:footerReference w:type="default" r:id="rId2"/>
      <w:footnotePr>
        <w:numFmt w:val="decimal"/>
      </w:footnotePr>
      <w:type w:val="nextPage"/>
      <w:pgSz w:w="12240" w:h="15840"/>
      <w:pgMar w:left="1440" w:right="1440" w:header="0" w:top="1440" w:footer="1440" w:bottom="220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spacing w:before="0" w:after="200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Department of Internal Medicine II, Medical University of Innsbruck, Innsbruck, Austria</w:t>
      </w:r>
    </w:p>
  </w:footnote>
</w:footnote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lineRule="auto" w:line="240" w:before="475" w:after="202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lineRule="auto" w:line="240" w:before="202" w:after="202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lineRule="auto" w:line="240" w:before="202" w:after="202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color w:val="127622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Revision">
    <w:name w:val="revision"/>
    <w:qFormat/>
    <w:rPr>
      <w:color w:val="C9211E"/>
    </w:rPr>
  </w:style>
  <w:style w:type="character" w:styleId="Revision2">
    <w:name w:val="revision2"/>
    <w:basedOn w:val="Revision"/>
    <w:qFormat/>
    <w:rPr>
      <w:color w:val="2A6099"/>
    </w:rPr>
  </w:style>
  <w:style w:type="character" w:styleId="Reviewer">
    <w:name w:val="reviewer"/>
    <w:qFormat/>
    <w:rPr>
      <w:rFonts w:ascii="Calibri" w:hAnsi="Calibri" w:eastAsia="Cambria" w:cs="" w:cstheme="minorBidi" w:eastAsiaTheme="minorHAnsi"/>
      <w:color w:val="666666"/>
      <w:kern w:val="0"/>
      <w:sz w:val="24"/>
      <w:szCs w:val="24"/>
      <w:lang w:val="en-US" w:eastAsia="en-US" w:bidi="ar-SA"/>
    </w:rPr>
  </w:style>
  <w:style w:type="character" w:styleId="Author">
    <w:name w:val="author"/>
    <w:qFormat/>
    <w:rPr>
      <w:rFonts w:ascii="Calibri" w:hAnsi="Calibri" w:eastAsia="Cambria" w:cs="" w:cstheme="minorBidi" w:eastAsiaTheme="minorHAnsi"/>
      <w:color w:val="B85C00"/>
      <w:kern w:val="0"/>
      <w:sz w:val="24"/>
      <w:szCs w:val="24"/>
      <w:lang w:val="en-US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1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left"/>
    </w:pPr>
    <w:rPr>
      <w:b/>
      <w:bCs/>
      <w:i/>
      <w:i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LibreOffice/7.0.5.2$Windows_X86_64 LibreOffice_project/64390860c6cd0aca4beafafcfd84613dd9dfb63a</Application>
  <AppVersion>15.0000</AppVersion>
  <Pages>2</Pages>
  <Words>66</Words>
  <Characters>441</Characters>
  <CharactersWithSpaces>495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2022-02-22T08:44:32Z</dcterms:created>
  <dc:creator>David Haschka; Verena Petzer; Francesco Burkert; Gernot Fritsche; Sophie Wildner; Rosa Bellmann-Weiler; Dominik Wolf; Piotr Tymoszuk; Guenter Weiss</dc:creator>
  <dc:description/>
  <dc:language>en-US</dc:language>
  <cp:lastModifiedBy/>
  <dcterms:modified xsi:type="dcterms:W3CDTF">2023-06-04T21:39:09Z</dcterms:modified>
  <cp:revision>17</cp:revision>
  <dc:subject/>
  <dc:title>Early alterations of blood monocyte subset distribution and surface phenotype are linked to infection severity in hospitalized COVID-19 patients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cov_biblio.bib</vt:lpwstr>
  </property>
  <property fmtid="{D5CDD505-2E9C-101B-9397-08002B2CF9AE}" pid="3" name="csl">
    <vt:lpwstr>european-journal-of-immunology.csl</vt:lpwstr>
  </property>
  <property fmtid="{D5CDD505-2E9C-101B-9397-08002B2CF9AE}" pid="4" name="date">
    <vt:lpwstr>2022-02-22</vt:lpwstr>
  </property>
  <property fmtid="{D5CDD505-2E9C-101B-9397-08002B2CF9AE}" pid="5" name="header-includes">
    <vt:lpwstr> </vt:lpwstr>
  </property>
  <property fmtid="{D5CDD505-2E9C-101B-9397-08002B2CF9AE}" pid="6" name="output">
    <vt:lpwstr/>
  </property>
  <property fmtid="{D5CDD505-2E9C-101B-9397-08002B2CF9AE}" pid="7" name="subtitle">
    <vt:lpwstr>Manuscript file</vt:lpwstr>
  </property>
</Properties>
</file>