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7.png" ContentType="image/png"/>
  <Override PartName="/word/media/rId33.png" ContentType="image/png"/>
  <Override PartName="/word/media/rId36.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Persistent</w:t>
      </w:r>
      <w:r>
        <w:t xml:space="preserve"> </w:t>
      </w:r>
      <w:r>
        <w:t xml:space="preserve">low-grade</w:t>
      </w:r>
      <w:r>
        <w:t xml:space="preserve"> </w:t>
      </w:r>
      <w:r>
        <w:t xml:space="preserve">inflammation,</w:t>
      </w:r>
      <w:r>
        <w:t xml:space="preserve"> </w:t>
      </w:r>
      <w:r>
        <w:t xml:space="preserve">SARS-CoV-2</w:t>
      </w:r>
      <w:r>
        <w:t xml:space="preserve"> </w:t>
      </w:r>
      <w:r>
        <w:t xml:space="preserve">infection</w:t>
      </w:r>
      <w:r>
        <w:t xml:space="preserve"> </w:t>
      </w:r>
      <w:r>
        <w:t xml:space="preserve">and</w:t>
      </w:r>
      <w:r>
        <w:t xml:space="preserve"> </w:t>
      </w:r>
      <w:r>
        <w:t xml:space="preserve">mental</w:t>
      </w:r>
      <w:r>
        <w:t xml:space="preserve"> </w:t>
      </w:r>
      <w:r>
        <w:t xml:space="preserve">health</w:t>
      </w:r>
      <w:r>
        <w:t xml:space="preserve"> </w:t>
      </w:r>
      <w:r>
        <w:t xml:space="preserve">deterioration</w:t>
      </w:r>
      <w:r>
        <w:t xml:space="preserve"> </w:t>
      </w:r>
      <w:r>
        <w:t xml:space="preserve">signs</w:t>
      </w:r>
      <w:r>
        <w:t xml:space="preserve"> </w:t>
      </w:r>
      <w:r>
        <w:t xml:space="preserve">impact</w:t>
      </w:r>
      <w:r>
        <w:t xml:space="preserve"> </w:t>
      </w:r>
      <w:r>
        <w:t xml:space="preserve">on</w:t>
      </w:r>
      <w:r>
        <w:t xml:space="preserve"> </w:t>
      </w:r>
      <w:r>
        <w:t xml:space="preserve">systemic</w:t>
      </w:r>
      <w:r>
        <w:t xml:space="preserve"> </w:t>
      </w:r>
      <w:r>
        <w:t xml:space="preserve">levels</w:t>
      </w:r>
      <w:r>
        <w:t xml:space="preserve"> </w:t>
      </w:r>
      <w:r>
        <w:t xml:space="preserve">of</w:t>
      </w:r>
      <w:r>
        <w:t xml:space="preserve"> </w:t>
      </w:r>
      <w:r>
        <w:t xml:space="preserve">aminoacid</w:t>
      </w:r>
      <w:r>
        <w:t xml:space="preserve"> </w:t>
      </w:r>
      <w:r>
        <w:t xml:space="preserve">neurotransmitter</w:t>
      </w:r>
      <w:r>
        <w:t xml:space="preserve"> </w:t>
      </w:r>
      <w:r>
        <w:t xml:space="preserve">precursors</w:t>
      </w:r>
    </w:p>
    <w:p>
      <w:pPr>
        <w:pStyle w:val="Subtitle"/>
      </w:pPr>
      <w:r>
        <w:t xml:space="preserve">Supplementary</w:t>
      </w:r>
      <w:r>
        <w:t xml:space="preserve"> </w:t>
      </w:r>
      <w:r>
        <w:t xml:space="preserve">Material</w:t>
      </w:r>
    </w:p>
    <w:p>
      <w:pPr>
        <w:pStyle w:val="Author"/>
      </w:pPr>
      <w:r>
        <w:t xml:space="preserve">PSY</w:t>
      </w:r>
      <w:r>
        <w:t xml:space="preserve"> </w:t>
      </w:r>
      <w:r>
        <w:t xml:space="preserve">Team</w:t>
      </w:r>
    </w:p>
    <w:p>
      <w:pPr>
        <w:pStyle w:val="Date"/>
      </w:pPr>
      <w:r>
        <w:t xml:space="preserve">2023-05-15</w:t>
      </w:r>
    </w:p>
    <w:p>
      <w:r>
        <w:br w:type="page"/>
      </w:r>
    </w:p>
    <w:bookmarkStart w:id="25" w:name="supplementary-methods"/>
    <w:p>
      <w:pPr>
        <w:pStyle w:val="Heading1"/>
      </w:pPr>
      <w:r>
        <w:t xml:space="preserve">Supplementary Methods</w:t>
      </w:r>
    </w:p>
    <w:bookmarkStart w:id="24" w:name="software"/>
    <w:p>
      <w:pPr>
        <w:pStyle w:val="Heading2"/>
      </w:pPr>
      <w:r>
        <w:t xml:space="preserve">Software</w:t>
      </w:r>
    </w:p>
    <w:p>
      <w:pPr>
        <w:pStyle w:val="FirstParagraph"/>
      </w:pPr>
      <w:r>
        <w:t xml:space="preserve">Proteome and metabolome data were analyzed with R version 4.2.0.</w:t>
      </w:r>
      <w:r>
        <w:t xml:space="preserve"> </w:t>
      </w:r>
      <w:r>
        <w:t xml:space="preserve">General data transformation tasks were accomplished with the</w:t>
      </w:r>
      <w:r>
        <w:t xml:space="preserve"> </w:t>
      </w:r>
      <w:r>
        <w:rPr>
          <w:iCs/>
          <w:i/>
        </w:rPr>
        <w:t xml:space="preserve">tidyverse</w:t>
      </w:r>
      <w:r>
        <w:t xml:space="preserve"> </w:t>
      </w:r>
      <w:r>
        <w:t xml:space="preserve">package bundle</w:t>
      </w:r>
      <w:r>
        <w:t xml:space="preserve"> </w:t>
      </w:r>
      <w:r>
        <w:t xml:space="preserve">(1)</w:t>
      </w:r>
      <w:r>
        <w:t xml:space="preserve">,</w:t>
      </w:r>
      <w:r>
        <w:t xml:space="preserve"> </w:t>
      </w:r>
      <w:r>
        <w:rPr>
          <w:iCs/>
          <w:i/>
        </w:rPr>
        <w:t xml:space="preserve">rlang</w:t>
      </w:r>
      <w:r>
        <w:t xml:space="preserve"> </w:t>
      </w:r>
      <w:r>
        <w:t xml:space="preserve">(2)</w:t>
      </w:r>
      <w:r>
        <w:t xml:space="preserve"> </w:t>
      </w:r>
      <w:r>
        <w:t xml:space="preserve">and the development package</w:t>
      </w:r>
      <w:r>
        <w:t xml:space="preserve"> </w:t>
      </w:r>
      <w:r>
        <w:rPr>
          <w:iCs/>
          <w:i/>
        </w:rPr>
        <w:t xml:space="preserve">trafo</w:t>
      </w:r>
      <w:r>
        <w:t xml:space="preserve"> </w:t>
      </w:r>
      <w:r>
        <w:t xml:space="preserve">(</w:t>
      </w:r>
      <w:hyperlink r:id="rId20">
        <w:r>
          <w:rPr>
            <w:rStyle w:val="InternetLink"/>
          </w:rPr>
          <w:t xml:space="preserve">https://github.com/PiotrTymoszuk/trafo</w:t>
        </w:r>
      </w:hyperlink>
      <w:r>
        <w:t xml:space="preserve">).</w:t>
      </w:r>
      <w:r>
        <w:t xml:space="preserve"> </w:t>
      </w:r>
      <w:r>
        <w:t xml:space="preserve">Statistical data testing was done with the packages</w:t>
      </w:r>
      <w:r>
        <w:t xml:space="preserve"> </w:t>
      </w:r>
      <w:r>
        <w:rPr>
          <w:iCs/>
          <w:i/>
        </w:rPr>
        <w:t xml:space="preserve">rstatix</w:t>
      </w:r>
      <w:r>
        <w:t xml:space="preserve"> </w:t>
      </w:r>
      <w:r>
        <w:t xml:space="preserve">(3)</w:t>
      </w:r>
      <w:r>
        <w:t xml:space="preserve">,</w:t>
      </w:r>
      <w:r>
        <w:t xml:space="preserve"> </w:t>
      </w:r>
      <w:r>
        <w:rPr>
          <w:iCs/>
          <w:i/>
        </w:rPr>
        <w:t xml:space="preserve">ggpubr</w:t>
      </w:r>
      <w:r>
        <w:t xml:space="preserve"> </w:t>
      </w:r>
      <w:r>
        <w:t xml:space="preserve">(4)</w:t>
      </w:r>
      <w:r>
        <w:t xml:space="preserve"> </w:t>
      </w:r>
      <w:r>
        <w:t xml:space="preserve">along with the development package</w:t>
      </w:r>
      <w:r>
        <w:t xml:space="preserve"> </w:t>
      </w:r>
      <w:r>
        <w:rPr>
          <w:iCs/>
          <w:i/>
        </w:rPr>
        <w:t xml:space="preserve">ExDA</w:t>
      </w:r>
      <w:r>
        <w:t xml:space="preserve"> </w:t>
      </w:r>
      <w:r>
        <w:t xml:space="preserve">(</w:t>
      </w:r>
      <w:hyperlink r:id="rId21">
        <w:r>
          <w:rPr>
            <w:rStyle w:val="InternetLink"/>
          </w:rPr>
          <w:t xml:space="preserve">https://github.com/PiotrTymoszuk/ExDA</w:t>
        </w:r>
      </w:hyperlink>
      <w:r>
        <w:t xml:space="preserve">).</w:t>
      </w:r>
      <w:r>
        <w:t xml:space="preserve"> </w:t>
      </w:r>
      <w:r>
        <w:t xml:space="preserve">In linear modeling, base R functions, the development packages</w:t>
      </w:r>
      <w:r>
        <w:t xml:space="preserve"> </w:t>
      </w:r>
      <w:r>
        <w:rPr>
          <w:iCs/>
          <w:i/>
        </w:rPr>
        <w:t xml:space="preserve">lmqc</w:t>
      </w:r>
      <w:r>
        <w:t xml:space="preserve"> </w:t>
      </w:r>
      <w:r>
        <w:t xml:space="preserve">(</w:t>
      </w:r>
      <w:hyperlink r:id="rId22">
        <w:r>
          <w:rPr>
            <w:rStyle w:val="InternetLink"/>
          </w:rPr>
          <w:t xml:space="preserve">https://github.com/PiotrTymoszuk/lmqc</w:t>
        </w:r>
      </w:hyperlink>
      <w:r>
        <w:t xml:space="preserve">) and</w:t>
      </w:r>
      <w:r>
        <w:t xml:space="preserve"> </w:t>
      </w:r>
      <w:r>
        <w:rPr>
          <w:iCs/>
          <w:i/>
        </w:rPr>
        <w:t xml:space="preserve">caretExtra</w:t>
      </w:r>
      <w:r>
        <w:t xml:space="preserve"> </w:t>
      </w:r>
      <w:r>
        <w:t xml:space="preserve">(</w:t>
      </w:r>
      <w:hyperlink r:id="rId23">
        <w:r>
          <w:rPr>
            <w:rStyle w:val="InternetLink"/>
          </w:rPr>
          <w:t xml:space="preserve">https://github.com/PiotrTymoszuk/caretExtra</w:t>
        </w:r>
      </w:hyperlink>
      <w:r>
        <w:t xml:space="preserve">), and the package</w:t>
      </w:r>
      <w:r>
        <w:t xml:space="preserve"> </w:t>
      </w:r>
      <w:r>
        <w:rPr>
          <w:iCs/>
          <w:i/>
        </w:rPr>
        <w:t xml:space="preserve">caret</w:t>
      </w:r>
      <w:r>
        <w:t xml:space="preserve"> </w:t>
      </w:r>
      <w:r>
        <w:t xml:space="preserve">(5)</w:t>
      </w:r>
      <w:r>
        <w:t xml:space="preserve"> </w:t>
      </w:r>
      <w:r>
        <w:t xml:space="preserve">were utilized.</w:t>
      </w:r>
    </w:p>
    <w:p>
      <w:pPr>
        <w:pStyle w:val="TextBody"/>
      </w:pPr>
      <w:r>
        <w:t xml:space="preserve">Results were visualized with tools provided by the packages</w:t>
      </w:r>
      <w:r>
        <w:t xml:space="preserve"> </w:t>
      </w:r>
      <w:r>
        <w:rPr>
          <w:iCs/>
          <w:i/>
        </w:rPr>
        <w:t xml:space="preserve">ggplot2</w:t>
      </w:r>
      <w:r>
        <w:t xml:space="preserve"> </w:t>
      </w:r>
      <w:r>
        <w:t xml:space="preserve">(6)</w:t>
      </w:r>
      <w:r>
        <w:t xml:space="preserve">,</w:t>
      </w:r>
      <w:r>
        <w:t xml:space="preserve"> </w:t>
      </w:r>
      <w:r>
        <w:rPr>
          <w:iCs/>
          <w:i/>
        </w:rPr>
        <w:t xml:space="preserve">cowplot</w:t>
      </w:r>
      <w:r>
        <w:t xml:space="preserve"> </w:t>
      </w:r>
      <w:r>
        <w:t xml:space="preserve">(7)</w:t>
      </w:r>
      <w:r>
        <w:t xml:space="preserve"> </w:t>
      </w:r>
      <w:r>
        <w:t xml:space="preserve">and</w:t>
      </w:r>
      <w:r>
        <w:t xml:space="preserve"> </w:t>
      </w:r>
      <w:r>
        <w:rPr>
          <w:iCs/>
          <w:i/>
        </w:rPr>
        <w:t xml:space="preserve">ExDA</w:t>
      </w:r>
      <w:r>
        <w:t xml:space="preserve">.</w:t>
      </w:r>
      <w:r>
        <w:t xml:space="preserve"> </w:t>
      </w:r>
      <w:r>
        <w:t xml:space="preserve">Manuscript and supplementary tables were created with</w:t>
      </w:r>
      <w:r>
        <w:t xml:space="preserve"> </w:t>
      </w:r>
      <w:r>
        <w:rPr>
          <w:iCs/>
          <w:i/>
        </w:rPr>
        <w:t xml:space="preserve">flextable</w:t>
      </w:r>
      <w:r>
        <w:t xml:space="preserve"> </w:t>
      </w:r>
      <w:r>
        <w:t xml:space="preserve">(8)</w:t>
      </w:r>
      <w:r>
        <w:t xml:space="preserve">.</w:t>
      </w:r>
      <w:r>
        <w:t xml:space="preserve"> </w:t>
      </w:r>
      <w:r>
        <w:t xml:space="preserve">Supplementary Material file was written in the</w:t>
      </w:r>
      <w:r>
        <w:t xml:space="preserve"> </w:t>
      </w:r>
      <w:r>
        <w:rPr>
          <w:iCs/>
          <w:i/>
        </w:rPr>
        <w:t xml:space="preserve">rmarkdown</w:t>
      </w:r>
      <w:r>
        <w:t xml:space="preserve"> </w:t>
      </w:r>
      <w:r>
        <w:t xml:space="preserve">environment</w:t>
      </w:r>
      <w:r>
        <w:t xml:space="preserve"> </w:t>
      </w:r>
      <w:r>
        <w:t xml:space="preserve">(9)</w:t>
      </w:r>
      <w:r>
        <w:t xml:space="preserve"> </w:t>
      </w:r>
      <w:r>
        <w:t xml:space="preserve">and rendered with the</w:t>
      </w:r>
      <w:r>
        <w:t xml:space="preserve"> </w:t>
      </w:r>
      <w:r>
        <w:rPr>
          <w:iCs/>
          <w:i/>
        </w:rPr>
        <w:t xml:space="preserve">knitr</w:t>
      </w:r>
      <w:r>
        <w:t xml:space="preserve"> </w:t>
      </w:r>
      <w:r>
        <w:t xml:space="preserve">(10)</w:t>
      </w:r>
      <w:r>
        <w:t xml:space="preserve"> </w:t>
      </w:r>
      <w:r>
        <w:t xml:space="preserve">and</w:t>
      </w:r>
      <w:r>
        <w:t xml:space="preserve"> </w:t>
      </w:r>
      <w:r>
        <w:rPr>
          <w:iCs/>
          <w:i/>
        </w:rPr>
        <w:t xml:space="preserve">bookdown</w:t>
      </w:r>
      <w:r>
        <w:t xml:space="preserve"> </w:t>
      </w:r>
      <w:r>
        <w:t xml:space="preserve">(11)</w:t>
      </w:r>
      <w:r>
        <w:t xml:space="preserve"> </w:t>
      </w:r>
      <w:r>
        <w:t xml:space="preserve">packages.</w:t>
      </w:r>
    </w:p>
    <w:p>
      <w:r>
        <w:br w:type="page"/>
      </w:r>
    </w:p>
    <w:bookmarkEnd w:id="24"/>
    <w:bookmarkEnd w:id="25"/>
    <w:bookmarkStart w:id="26" w:name="supplementary-tables"/>
    <w:p>
      <w:pPr>
        <w:pStyle w:val="Heading1"/>
      </w:pPr>
      <w:r>
        <w:t xml:space="preserve">Supplementary Tables</w:t>
      </w:r>
    </w:p>
    <w:p>
      <w:pPr>
        <w:pStyle w:val="TableCaption"/>
      </w:pPr>
      <w:r>
        <w:t xml:space="preserve">Table 1:</w:t>
      </w:r>
      <w:r>
        <w:t xml:space="preserve"> </w:t>
      </w:r>
      <w:r>
        <w:t xml:space="preserve">Study variables in the SIMMUN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1531"/>
        <w:gridCol w:w="1417"/>
        <w:gridCol w:w="1417"/>
        <w:gridCol w:w="187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label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Format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Transformation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Categories</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µmol/L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square root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female, male</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mental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somatic illness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body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overweight, obesity</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alcohol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 yes</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 8</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 8</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nmol/L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numeric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logarithm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body20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anti-RBD IgG</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categorical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negative, 1 - 16.3 AU, &gt; 16.3 AU</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PHE: phenylalanine; TYR: tyrosine; KYN/TRP: kynurenine - tryptophan ratio; PHE/TYR: phenylalanine/tyrosine ratio; HADS: hospital anxiety and depression score; PSS-4: perceived stress scale, 4 item; NEO: neopterin; NLR: neutrophil - lymphocyte ratio; anti-RBD IgG: anti-receptor-binding domain S1/S2 immunoglobulin.</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body mass index (BMI) &lt; 25 kg/m², overweight: BMI 25 - 30 kg/m², obesity: BMI &gt; 30 kg/m².</w:t>
            </w:r>
          </w:p>
        </w:tc>
      </w:tr>
    </w:tbl>
    <w:p>
      <w:r>
        <w:br w:type="page"/>
      </w:r>
    </w:p>
    <w:p>
      <w:pPr>
        <w:pStyle w:val="TableCaption"/>
      </w:pPr>
      <w:r>
        <w:t xml:space="preserve">Table 2:</w:t>
      </w:r>
      <w:r>
        <w:t xml:space="preserve"> </w:t>
      </w:r>
      <w:r>
        <w:t xml:space="preserve">Significant differences between participant of the SIMMUN study included in the analysis and SIMMUN participants excluded due to data missingness. Numeric variables are presented as medians with interquartile ranges (IQR) and ranges. Categorical variables are presented as percentages and counts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211"/>
        <w:gridCol w:w="2211"/>
        <w:gridCol w:w="1134"/>
        <w:gridCol w:w="1587"/>
        <w:gridCol w:w="147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Analyzed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Psychiatric comorbidity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0.36</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anxiety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66% (109)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34%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42%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58%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75% (124)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25%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 40%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 60%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0.32</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Depression or anxiety signs, HADS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65% (107)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35%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38%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62%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0.23</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3 - 8]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[IQR: 6 - 12]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Mann-Whitney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 = 0.26</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Infection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39% (64)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 16%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w:t>
            </w:r>
          </w:p>
        </w:tc>
      </w:tr>
      <w:tr>
        <w:trPr>
          <w:trHeight w:val="360" w:hRule="auto"/>
        </w:trPr>
        body7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61% (101)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28%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10%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 84%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ambulatory: 12%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hospitalized: 4%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complete: n = 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χ²</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0.2</w:t>
            </w:r>
          </w:p>
        </w:tc>
      </w:tr>
      <w:tr>
        <w:trPr>
          <w:trHeight w:val="360" w:hRule="auto"/>
        </w:trPr>
        footer1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 PSS-4: perceived stress scale, 4 item.</w:t>
            </w:r>
          </w:p>
        </w:tc>
      </w:tr>
      <w:tr>
        <w:trPr>
          <w:trHeight w:val="360" w:hRule="auto"/>
        </w:trPr>
        footer2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3:</w:t>
      </w:r>
      <w:r>
        <w:t xml:space="preserve"> </w:t>
      </w:r>
      <w:r>
        <w:t xml:space="preserve">Study variables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701"/>
        <w:gridCol w:w="3402"/>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 label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Unit</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8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response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Z-score of log₂ concentration</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explanatory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years</w:t>
            </w:r>
          </w:p>
        </w:tc>
      </w:tr>
      <w:tr>
        <w:trPr>
          <w:trHeight w:val="360" w:hRule="auto"/>
        </w:trPr>
        footer 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quinolinate; PHE: phenylalanine; 5-HT: serotonin; TRP: tryptophan; TYR: tyrosine; KYN: kynurenine; DA sulfate: dopamine 3-O-sulfate.</w:t>
            </w:r>
          </w:p>
        </w:tc>
      </w:tr>
    </w:tbl>
    <w:p>
      <w:r>
        <w:br w:type="page"/>
      </w:r>
    </w:p>
    <w:p>
      <w:pPr>
        <w:pStyle w:val="TableCaption"/>
      </w:pPr>
      <w:r>
        <w:t xml:space="preserve">Table 4:</w:t>
      </w:r>
      <w:r>
        <w:t xml:space="preserve"> </w:t>
      </w:r>
      <w:r>
        <w:t xml:space="preserve">Number of available samples and sampling timepoints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 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Days post infection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Sample number</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healthy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27</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[6.1 - 13]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[9.9 - 20]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 [51 - 90]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r>
    </w:tbl>
    <w:p>
      <w:r>
        <w:br w:type="page"/>
      </w:r>
    </w:p>
    <w:p>
      <w:pPr>
        <w:pStyle w:val="TableCaption"/>
      </w:pPr>
      <w:r>
        <w:t xml:space="preserve">Table 5:</w:t>
      </w:r>
      <w:r>
        <w:t xml:space="preserve"> </w:t>
      </w:r>
      <w:r>
        <w:t xml:space="preserve">Results of multi-parameter linear modeling of serum concentrations of tryptophan, kynurenine, tyrosine, and kynurenine - tryptophan, and phenylalanine - tyrosine ratios in the SIMMUN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701"/>
        <w:gridCol w:w="1531"/>
        <w:gridCol w:w="1531"/>
        <w:gridCol w:w="2211"/>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[-0.052 - 0.29]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(0.17)</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[-0.34 - -0.04]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[-0.83 -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0.0064</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[-0.36 - -0.012]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0.036</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0.48 [0.2 - 0.76]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0.35 [0.2 - 0.49]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4.9e-06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[-0.32 - -0.051]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0.0074</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[0.067 - 0.35]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0.0041</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[-0.32 - -0.004]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0.045</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0.42 [0.16 - 0.68]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0.0017</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0.47 [0.34 - 0.61]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5.4e-11</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0.26 [0.12 - 0.39]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0.00022</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[0.055 - 0.31]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0.0052</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-4.5e-16 [-0.14 - 0.14]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 [-0.35 - -0.048]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0.37 [0.21 - 0.52]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4.5e-06</w:t>
            </w:r>
          </w:p>
        </w:tc>
      </w:tr>
      <w:tr>
        <w:trPr>
          <w:trHeight w:val="360" w:hRule="auto"/>
        </w:trPr>
        body17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[-0.04 - 0.34]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(0.12)</w:t>
            </w:r>
          </w:p>
        </w:tc>
      </w:tr>
      <w:tr>
        <w:trPr>
          <w:trHeight w:val="360" w:hRule="auto"/>
        </w:trPr>
        body18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-0.38 [-0.68 - -0.08]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body19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[-0.41 - -0.12]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0.00047</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TYR: tyrosine; PHE/TYR: phenylalanine - tyrosine ratio.</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NEO: neopterin; HADS: hospital anxiety and depression scale; NLR: neutrophil - lymphocyte ratio; PSS-4: perceived stress scale, 4 item.</w:t>
            </w:r>
          </w:p>
        </w:tc>
      </w:tr>
    </w:tbl>
    <w:p>
      <w:r>
        <w:br w:type="page"/>
      </w:r>
    </w:p>
    <w:p>
      <w:pPr>
        <w:pStyle w:val="TableCaption"/>
      </w:pPr>
      <w:r>
        <w:t xml:space="preserve">Table 6:</w:t>
      </w:r>
      <w:r>
        <w:t xml:space="preserve"> </w:t>
      </w:r>
      <w:r>
        <w:t xml:space="preserve">Correlation of age, stress scoring blood neopterin levels and neutrophils - leukocyte ratio with serum metabolite levels in the SIMMUN cohort investigated by Pearson's test.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98"/>
        <w:gridCol w:w="2098"/>
        <w:gridCol w:w="1134"/>
        <w:gridCol w:w="1984"/>
        <w:gridCol w:w="158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Metabolite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Correlation coefficient,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c</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-0.025 [-0.18 - 0.13]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0.84)</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[0.16 - 0.43]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0.36 [0.21 - 0.48]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[-0.31 - -0.016]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0.062)</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-0.016 [-0.17 - 0.14]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stress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0.12 [-0.029 - 0.27]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0.16)</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[-0.32 - -0.02]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0.35 [0.2 - 0.47]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0.52 [0.4 - 0.62]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[-0.31 -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0.066)</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-0.18 [-0.32 - -0.023]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NLR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-0.055 [-0.21 - 0.098]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[-0.013 - 0.29]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0.16)</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[0.16 - 0.44]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[-0.39 -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0.0044</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-0.044 [-0.2 - 0.11]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-0.085 [-0.23 - 0.069]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r>
      <w:tr>
        <w:trPr>
          <w:trHeight w:val="360" w:hRule="auto"/>
        </w:trPr>
        body18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NEO</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0.083 [-0.071 - 0.23]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tryptophanm ratio; PHE: phenylalanine; TYR: tyrosine; PHE/TYR: phenylalanine - tyrosine ratio.</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PSS-4: perceived stress scale, 4 item; NEO: neopterin; NLR: neutrophil - lymphocyte ratio.</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7:</w:t>
      </w:r>
      <w:r>
        <w:t xml:space="preserve"> </w:t>
      </w:r>
      <w:r>
        <w:t xml:space="preserve">Comparison of serum metabolite levels in SIMMUN study participants stratified by depression signs and SARS-CoV-2 infection status with two-tailed T test and Cohen's d effect size statistic.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74"/>
        <w:gridCol w:w="2098"/>
        <w:gridCol w:w="1701"/>
        <w:gridCol w:w="1531"/>
        <w:gridCol w:w="2098"/>
        <w:gridCol w:w="1531"/>
        <w:gridCol w:w="147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Metabolite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Statistic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55 - 68]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33 - 93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0.45</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53 [IQR: 48 - 65]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43 - 85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0.45</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59 [IQR: 50 - 66]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33 - 88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0.28</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56 - 69]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42 - 93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0.28</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[IQR: 0.57 - 0.86]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-0.13 - 1.4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0.59 [IQR: 0.41 - 0.72]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-0.084 - 1.4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0.67 [IQR: 0.48 - 0.79]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-0.13 - 1.4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0.36</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0.71 [IQR: 0.57 - 0.88]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0.18 - 1.4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0.36</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&lt;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0.036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depression score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0.036</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-3.6 -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0.15</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KYN/TRP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-3.4 [IQR: -3.5 -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-3.8 -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0.15</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4.1 - 4.4]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3.6 - 4.9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0.11</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4.1 - 4.3]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3.7 - 5.3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0.11</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3.6 - 5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log 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[IQR: 4 - 4.4]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3.7 - 5.1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0.2</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0.96 - 1.1]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0.78 - 1.4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body18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sqrt PHE/TYR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0.98 [IQR: 0.9 - 1]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0.79 - 1.6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 = 0.35</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kynurenine; KYN/TRP: kynurenine - tryptophan ratio; PHE: phenylalanine; TYR: tyrosine; PHE/TYR: phenylalanine - tyrosine ratio.</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HADS: hospital anxiety and depression scale.</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Median with interquartile range (IQR) and range.</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p>
      <w:pPr>
        <w:pStyle w:val="TableCaption"/>
      </w:pPr>
      <w:r>
        <w:t xml:space="preserve">Table 8:</w:t>
      </w:r>
      <w:r>
        <w:t xml:space="preserve"> </w:t>
      </w:r>
      <w:r>
        <w:t xml:space="preserve">Results of multi-parameter robust linear modeling of serum concentrations of serotonin, and dopamine sulfate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871"/>
        <w:gridCol w:w="1701"/>
        <w:gridCol w:w="1531"/>
        <w:gridCol w:w="2098"/>
        <w:gridCol w:w="153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Explanatory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Observations/stratum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-0.28 [-0.65 - 0.084]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(0.13)</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[0.045 - 0.28]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0.0066</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0.095 [-0.091 - 0.28]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(0.31)</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-0.0096 [-0.2 - 0.18]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(0.92)</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0.27 [-0.15 - 0.69]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(0.21)</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0.32 [-0.094 - 0.72]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(0.13)</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0.72 [0.31 - 1.1]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0.00054</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[-0.25 - -0.045]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0.0048</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-0.25 [-0.4 - -0.098]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0.0012</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 [-0.2 - 0.096]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(0.5)</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0.0053 [-0.12 - 0.13]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(0.93)</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0.057 [-0.077 - 0.19]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(0.4)</w:t>
            </w:r>
          </w:p>
        </w:tc>
      </w:tr>
      <w:tr>
        <w:trPr>
          <w:trHeight w:val="360" w:hRule="auto"/>
        </w:trPr>
        body13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Intercept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-0.17 [-0.5 - 0.15]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(0.29)</w:t>
            </w:r>
          </w:p>
        </w:tc>
      </w:tr>
      <w:tr>
        <w:trPr>
          <w:trHeight w:val="360" w:hRule="auto"/>
        </w:trPr>
        body14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0.0096 [-0.095 - 0.11]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(0.86)</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0.032 [-0.063 - 0.13]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(0.51)</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-0.11 [-0.48 - 0.27]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(0.58)</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0.14 [-0.22 - 0.5]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(0.44)</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SARS-CoV-2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0.63 [0.27 - 0.99]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6e-04</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-0.017 [-0.11 - 0.072]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(0.71)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-0.094 [-0.22 - 0.032]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(0.14)</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0.047 [-0.082 - 0.18]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(0.47)</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0.13 [0.03 - 0.24]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0.011</w:t>
            </w:r>
          </w:p>
        </w:tc>
      </w:tr>
      <w:tr>
        <w:trPr>
          <w:trHeight w:val="360" w:hRule="auto"/>
        </w:trPr>
        body23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354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-0.15 [-0.26 - -0.037]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0.0091</w:t>
            </w:r>
          </w:p>
        </w:tc>
      </w:tr>
      <w:tr>
        <w:trPr>
          <w:trHeight w:val="360" w:hRule="auto"/>
        </w:trPr>
        footer 1
        <w:tc>
          <w:tcPr>
            <w:gridSpan w:val="6"/>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 5-hydroxy tryptophan/serotonine; DA sulfate: dopamine 3-O-sulfate.</w:t>
            </w:r>
          </w:p>
        </w:tc>
      </w:tr>
      <w:tr>
        <w:trPr>
          <w:trHeight w:val="360" w:hRule="auto"/>
        </w:trPr>
        footer 2
        <w:tc>
          <w:tcPr>
            <w:gridSpan w:val="6"/>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 tryptophan; KYN: kynuernine; QUIN: quinolinate; IL6: interleukin-6, IL10: interleukin-10; TNF: tumor necrosis factor-alpha; IFNG: interferon gamma; PHE: phenylalanine; TYR: tyrosine.</w:t>
            </w:r>
          </w:p>
        </w:tc>
      </w:tr>
    </w:tbl>
    <w:p>
      <w:r>
        <w:br w:type="page"/>
      </w:r>
    </w:p>
    <w:p>
      <w:pPr>
        <w:pStyle w:val="TableCaption"/>
      </w:pPr>
      <w:r>
        <w:t xml:space="preserve">Table 9:</w:t>
      </w:r>
      <w:r>
        <w:t xml:space="preserve"> </w:t>
      </w:r>
      <w:r>
        <w:t xml:space="preserve">Results of robust linear modeling of serum levels of inflammatory cytokines, tryptophan, tyrosine and their metabolites as a function of SARS-CoV-2 infection status in the INCOV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2098"/>
        <w:gridCol w:w="2098"/>
        <w:gridCol w:w="164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Response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Timepoint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Estimate, 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b</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-0.16 [-0.46 - 0.14]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0.49)</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[1.6 - 2.2]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[1.5 - 2.1]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[0.65 - 1.4]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0.00079 [-3.2 - 3.2]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[4.5 - 11]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[-0.71 - 6.3]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0.23)</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IFNG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0.61 [-3.2 - 4.4]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0.89)</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-0.0044 [-1.1 - 1.1]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4.9 [3.7 - 6.1]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3.6 [2.4 - 4.8]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0.72 [-0.58 - 2]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0.49)</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0.017 [-0.78 - 0.81]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[3.6 - 5.3]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[2 - 3.7]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IL10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[0.14 - 2]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0.056)</w:t>
            </w:r>
          </w:p>
        </w:tc>
      </w:tr>
      <w:tr>
        <w:trPr>
          <w:trHeight w:val="360"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0.063 [-0.43 - 0.55]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0.9)</w:t>
            </w:r>
          </w:p>
        </w:tc>
      </w:tr>
      <w:tr>
        <w:trPr>
          <w:trHeight w:val="360"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 [1.4 - 2.5]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[1.1 - 2.2]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QUIN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0.55 [-0.036 - 1.1]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0.14)</w:t>
            </w:r>
          </w:p>
        </w:tc>
      </w:tr>
      <w:tr>
        <w:trPr>
          <w:trHeight w:val="360"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0.37 [-0.061 - 0.8]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0.19)</w:t>
            </w:r>
          </w:p>
        </w:tc>
      </w:tr>
      <w:tr>
        <w:trPr>
          <w:trHeight w:val="360"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[0.96 - 1.9]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0.88 [0.41 - 1.3]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body24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PHE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0.19 [-0.32 - 0.71]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0.59)</w:t>
            </w:r>
          </w:p>
        </w:tc>
      </w:tr>
      <w:tr>
        <w:trPr>
          <w:trHeight w:val="360" w:hRule="auto"/>
        </w:trPr>
        body25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0.23 [-0.26 - 0.73]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0.55)</w:t>
            </w:r>
          </w:p>
        </w:tc>
      </w:tr>
      <w:tr>
        <w:trPr>
          <w:trHeight w:val="360" w:hRule="auto"/>
        </w:trPr>
        body26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-0.28 [-0.82 - 0.26]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0.49)</w:t>
            </w:r>
          </w:p>
        </w:tc>
      </w:tr>
      <w:tr>
        <w:trPr>
          <w:trHeight w:val="360" w:hRule="auto"/>
        </w:trPr>
        body27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-0.066 [-0.61 - 0.48]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0.9)</w:t>
            </w:r>
          </w:p>
        </w:tc>
      </w:tr>
      <w:tr>
        <w:trPr>
          <w:trHeight w:val="360" w:hRule="auto"/>
        </w:trPr>
        body28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5-HT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0.9 [0.3 - 1.5]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0.0077</w:t>
            </w:r>
          </w:p>
        </w:tc>
      </w:tr>
      <w:tr>
        <w:trPr>
          <w:trHeight w:val="360" w:hRule="auto"/>
        </w:trPr>
        body29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 [-0.51 - 1.1]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0.59)</w:t>
            </w:r>
          </w:p>
        </w:tc>
      </w:tr>
      <w:tr>
        <w:trPr>
          <w:trHeight w:val="360" w:hRule="auto"/>
        </w:trPr>
        body30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-2.1 [-3 -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[-2.1 - -0.37]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0.013</w:t>
            </w:r>
          </w:p>
        </w:tc>
      </w:tr>
      <w:tr>
        <w:trPr>
          <w:trHeight w:val="360" w:hRule="auto"/>
        </w:trPr>
        body32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TRP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-0.05 [-1 - 0.92]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0.99)</w:t>
            </w:r>
          </w:p>
        </w:tc>
      </w:tr>
      <w:tr>
        <w:trPr>
          <w:trHeight w:val="360" w:hRule="auto"/>
        </w:trPr>
        body33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0.21 [-0.32 - 0.75]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0.59)</w:t>
            </w:r>
          </w:p>
        </w:tc>
      </w:tr>
      <w:tr>
        <w:trPr>
          <w:trHeight w:val="360" w:hRule="auto"/>
        </w:trPr>
        body34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0.07 [-0.52 - 0.66]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0.9)</w:t>
            </w:r>
          </w:p>
        </w:tc>
      </w:tr>
      <w:tr>
        <w:trPr>
          <w:trHeight w:val="360" w:hRule="auto"/>
        </w:trPr>
        body35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0.31 [-0.28 - 0.9]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0.49)</w:t>
            </w:r>
          </w:p>
        </w:tc>
      </w:tr>
      <w:tr>
        <w:trPr>
          <w:trHeight w:val="360" w:hRule="auto"/>
        </w:trPr>
        body36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0.23 [-0.42 - 0.87]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0.6)</w:t>
            </w:r>
          </w:p>
        </w:tc>
      </w:tr>
      <w:tr>
        <w:trPr>
          <w:trHeight w:val="360" w:hRule="auto"/>
        </w:trPr>
        body37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 [-0.25 - 0.66]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0.55)</w:t>
            </w:r>
          </w:p>
        </w:tc>
      </w:tr>
      <w:tr>
        <w:trPr>
          <w:trHeight w:val="360" w:hRule="auto"/>
        </w:trPr>
        body38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[1 - 2]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body39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[0.67 - 1.7]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KYN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0.23 [-0.32 - 0.77]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0.59)</w:t>
            </w:r>
          </w:p>
        </w:tc>
      </w:tr>
      <w:tr>
        <w:trPr>
          <w:trHeight w:val="360" w:hRule="auto"/>
        </w:trPr>
        body41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uninfected: baseline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0.33 [-0.23 - 0.89]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0.46)</w:t>
            </w:r>
          </w:p>
        </w:tc>
      </w:tr>
      <w:tr>
        <w:trPr>
          <w:trHeight w:val="360" w:hRule="auto"/>
        </w:trPr>
        body42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-0.23 [-0.84 - 0.38]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0.59)</w:t>
            </w:r>
          </w:p>
        </w:tc>
      </w:tr>
      <w:tr>
        <w:trPr>
          <w:trHeight w:val="360" w:hRule="auto"/>
        </w:trPr>
        body43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sub-acute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0.4 [-0.22 - 1]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0.38)</w:t>
            </w:r>
          </w:p>
        </w:tc>
      </w:tr>
      <w:tr>
        <w:trPr>
          <w:trHeight w:val="360" w:hRule="auto"/>
        </w:trPr>
        body44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DA sulfate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recovery</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[0.58 - 1.9]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0.001</w:t>
            </w:r>
          </w:p>
        </w:tc>
      </w:tr>
      <w:tr>
        <w:trPr>
          <w:trHeight w:val="360" w:hRule="auto"/>
        </w:trPr>
        footer 1
        <w:tc>
          <w:tcPr>
            <w:gridSpan w:val="4"/>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TNF: tumor necrosis factor-alpha; IFNG: interferon gamma; IL6: interleukin-6; IL10: interleukin-10; QUIN: quinolinate; PHE: phenylalanine; 5-HT: serotonin; TRP: tryptophan; TYR: tyrosine; KYN: kynurenine; DA sulfate: dopamine 3-O-sulfate.</w:t>
            </w:r>
          </w:p>
        </w:tc>
      </w:tr>
      <w:tr>
        <w:trPr>
          <w:trHeight w:val="360" w:hRule="auto"/>
        </w:trPr>
        footer 2
        <w:tc>
          <w:tcPr>
            <w:gridSpan w:val="4"/>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Corrected for multiple testing with the false discovery rate method.</w:t>
            </w:r>
          </w:p>
        </w:tc>
      </w:tr>
    </w:tbl>
    <w:p>
      <w:r>
        <w:br w:type="page"/>
      </w:r>
    </w:p>
    <w:bookmarkEnd w:id="26"/>
    <w:bookmarkStart w:id="39" w:name="supplementary-figures"/>
    <w:p>
      <w:pPr>
        <w:pStyle w:val="Heading1"/>
      </w:pPr>
      <w:r>
        <w:t xml:space="preserve">Supplementary Figures</w:t>
      </w:r>
    </w:p>
    <w:p>
      <w:pPr>
        <w:pStyle w:val="CaptionedFigure"/>
      </w:pPr>
      <w:r>
        <w:drawing>
          <wp:inline>
            <wp:extent cx="5943600" cy="4623732"/>
            <wp:effectExtent b="0" l="0" r="0" t="0"/>
            <wp:docPr descr="Figure 1: Consistency of the PSS4 stress HADS depression and HADS anxiety psychometric tools in the SIMMUN cohort." title="" id="28" name="Picture"/>
            <a:graphic>
              <a:graphicData uri="http://schemas.openxmlformats.org/drawingml/2006/picture">
                <pic:pic>
                  <pic:nvPicPr>
                    <pic:cNvPr descr="C:\Users\piotr\Desktop\simmun%20revision\paper\supplementary_material_files/figure-docx/fig-consistency-1.png" id="29" name="Picture"/>
                    <pic:cNvPicPr>
                      <a:picLocks noChangeArrowheads="1" noChangeAspect="1"/>
                    </pic:cNvPicPr>
                  </pic:nvPicPr>
                  <pic:blipFill>
                    <a:blip r:embed="rId27"/>
                    <a:stretch>
                      <a:fillRect/>
                    </a:stretch>
                  </pic:blipFill>
                  <pic:spPr bwMode="auto">
                    <a:xfrm>
                      <a:off x="0" y="0"/>
                      <a:ext cx="5943600" cy="4623732"/>
                    </a:xfrm>
                    <a:prstGeom prst="rect">
                      <a:avLst/>
                    </a:prstGeom>
                    <a:noFill/>
                    <a:ln w="9525">
                      <a:noFill/>
                      <a:headEnd/>
                      <a:tailEnd/>
                    </a:ln>
                  </pic:spPr>
                </pic:pic>
              </a:graphicData>
            </a:graphic>
          </wp:inline>
        </w:drawing>
      </w:r>
    </w:p>
    <w:p>
      <w:pPr>
        <w:pStyle w:val="ImageCaption"/>
      </w:pPr>
      <w:r>
        <w:t xml:space="preserve">Figure 1: Consistency of the PSS4 stress HADS depression and HADS anxiety psychometric tools in the SIMMUN cohort.</w:t>
      </w:r>
    </w:p>
    <w:p>
      <w:pPr>
        <w:pStyle w:val="TextBody"/>
      </w:pPr>
      <w:r>
        <w:rPr>
          <w:bCs/>
          <w:b/>
        </w:rPr>
        <w:t xml:space="preserve">Figure</w:t>
      </w:r>
      <w:r>
        <w:rPr>
          <w:bCs/>
          <w:b/>
        </w:rPr>
        <w:t xml:space="preserve"> </w:t>
      </w:r>
      <w:r>
        <w:rPr>
          <w:bCs/>
          <w:b/>
        </w:rPr>
        <w:t xml:space="preserve">1</w:t>
      </w:r>
      <w:r>
        <w:rPr>
          <w:bCs/>
          <w:b/>
        </w:rPr>
        <w:t xml:space="preserve">. Consistency of the PSS4 stress HADS depression and HADS anxiety psychometric tools in the SIMMUN cohort.</w:t>
      </w:r>
    </w:p>
    <w:p>
      <w:pPr>
        <w:pStyle w:val="TextBody"/>
      </w:pPr>
      <w:r>
        <w:rPr>
          <w:iCs/>
          <w:i/>
        </w:rPr>
        <w:t xml:space="preserve">(A) Assessment of tau-equivalence of the HADS (hospital anxiety and depression scale) depression and anxiety tool by three-dimensional factor analysis. Loadings for the first two major factors are presented. Each point represents a single HADS item. Percentages of total dataset variance associated with the factors are indicated in the plot axes. Note: tau equivalence implicates equal loadings of each HADS items for all factors. In case of tau equivalence, proximity of the items to the diagonal of the plot (orange dashed line) is expected.</w:t>
      </w:r>
    </w:p>
    <w:p>
      <w:pPr>
        <w:pStyle w:val="TextBody"/>
      </w:pPr>
      <w:r>
        <w:rPr>
          <w:iCs/>
          <w:i/>
        </w:rPr>
        <w:t xml:space="preserve">(B) Consistency of the HADS depression, HADS anxiety and PSS-4 (perceived stress scale, 4 item) psychometric tools determined by McDonald’s</w:t>
      </w:r>
      <w:r>
        <w:rPr>
          <w:iCs/>
          <w:i/>
        </w:rPr>
        <w:t xml:space="preserve"> </w:t>
      </w:r>
      <m:oMath>
        <m:r>
          <m:t>ω</m:t>
        </m:r>
      </m:oMath>
      <w:r>
        <w:rPr>
          <w:iCs/>
          <w:i/>
        </w:rPr>
        <w:t xml:space="preserve"> </w:t>
      </w:r>
      <w:r>
        <w:rPr>
          <w:iCs/>
          <w:i/>
        </w:rPr>
        <w:t xml:space="preserve">metric.</w:t>
      </w:r>
    </w:p>
    <w:p>
      <w:r>
        <w:br w:type="page"/>
      </w:r>
    </w:p>
    <w:p>
      <w:pPr>
        <w:pStyle w:val="CaptionedFigure"/>
      </w:pPr>
      <w:r>
        <w:drawing>
          <wp:inline>
            <wp:extent cx="5943600" cy="3632433"/>
            <wp:effectExtent b="0" l="0" r="0" t="0"/>
            <wp:docPr descr="Figure 2: Root mean square error and R-squared statistics for multi-parameter linear models of tryptophan, tyrosine and their metabolites in the SIMMUN cohort." title="" id="31" name="Picture"/>
            <a:graphic>
              <a:graphicData uri="http://schemas.openxmlformats.org/drawingml/2006/picture">
                <pic:pic>
                  <pic:nvPicPr>
                    <pic:cNvPr descr="C:\Users\piotr\Desktop\simmun%20revision\paper\supplementary_material_files/figure-docx/fig-fit-stats-1.png" id="32" name="Picture"/>
                    <pic:cNvPicPr>
                      <a:picLocks noChangeArrowheads="1" noChangeAspect="1"/>
                    </pic:cNvPicPr>
                  </pic:nvPicPr>
                  <pic:blipFill>
                    <a:blip r:embed="rId30"/>
                    <a:stretch>
                      <a:fillRect/>
                    </a:stretch>
                  </pic:blipFill>
                  <pic:spPr bwMode="auto">
                    <a:xfrm>
                      <a:off x="0" y="0"/>
                      <a:ext cx="5943600" cy="3632433"/>
                    </a:xfrm>
                    <a:prstGeom prst="rect">
                      <a:avLst/>
                    </a:prstGeom>
                    <a:noFill/>
                    <a:ln w="9525">
                      <a:noFill/>
                      <a:headEnd/>
                      <a:tailEnd/>
                    </a:ln>
                  </pic:spPr>
                </pic:pic>
              </a:graphicData>
            </a:graphic>
          </wp:inline>
        </w:drawing>
      </w:r>
    </w:p>
    <w:p>
      <w:pPr>
        <w:pStyle w:val="ImageCaption"/>
      </w:pPr>
      <w:r>
        <w:t xml:space="preserve">Figure 2: Root mean square error and R-squared statistics for multi-parameter linear models of tryptophan, tyrosine and their metabolites in the SIMMUN cohort.</w:t>
      </w:r>
    </w:p>
    <w:p>
      <w:pPr>
        <w:pStyle w:val="TextBody"/>
      </w:pPr>
      <w:r>
        <w:rPr>
          <w:bCs/>
          <w:b/>
        </w:rPr>
        <w:t xml:space="preserve">Figure</w:t>
      </w:r>
      <w:r>
        <w:rPr>
          <w:bCs/>
          <w:b/>
        </w:rPr>
        <w:t xml:space="preserve"> </w:t>
      </w:r>
      <w:r>
        <w:rPr>
          <w:bCs/>
          <w:b/>
        </w:rPr>
        <w:t xml:space="preserve">2</w:t>
      </w:r>
      <w:r>
        <w:rPr>
          <w:bCs/>
          <w:b/>
        </w:rPr>
        <w:t xml:space="preserve">. Root mean square error and R-squared statistics for multi-parameter linear models of tryptophan, tyrosine and their metabolites in the SIMMUN cohort.</w:t>
      </w:r>
    </w:p>
    <w:p>
      <w:pPr>
        <w:pStyle w:val="TextBody"/>
      </w:pPr>
      <w:r>
        <w:rPr>
          <w:iCs/>
          <w:i/>
        </w:rPr>
        <w:t xml:space="preserve">Multi-parameter linear regression models of serum levels of tryptophan (TRP), kynurenine (KYN), kynurenine/tryptophan ratio (KYN/TRP), phenylalanine (PHE), tyrosine (TYR) and phenylalanine/tyrosine ratio (PHE/TRP) in the SIMMUN models were optimized by backwards elimination and their reproducibility was tested by repeated cross-validation (CV, 10 folds). Values of root mean square error (RMSE, A) and</w:t>
      </w:r>
      <w:r>
        <w:rPr>
          <w:iCs/>
          <w:i/>
        </w:rPr>
        <w:t xml:space="preserve"> </w:t>
      </w:r>
      <m:oMath>
        <m:sSup>
          <m:e>
            <m:r>
              <m:t>R</m:t>
            </m:r>
          </m:e>
          <m:sup>
            <m:r>
              <m:t>2</m:t>
            </m:r>
          </m:sup>
        </m:sSup>
      </m:oMath>
      <w:r>
        <w:rPr>
          <w:iCs/>
          <w:i/>
        </w:rPr>
        <w:t xml:space="preserve"> </w:t>
      </w:r>
      <w:r>
        <w:rPr>
          <w:iCs/>
          <w:i/>
        </w:rPr>
        <w:t xml:space="preserve">(B) in the training data set and CV are plotted.</w:t>
      </w:r>
    </w:p>
    <w:p>
      <w:r>
        <w:br w:type="page"/>
      </w:r>
    </w:p>
    <w:p>
      <w:pPr>
        <w:pStyle w:val="CaptionedFigure"/>
      </w:pPr>
      <w:r>
        <w:drawing>
          <wp:inline>
            <wp:extent cx="5943600" cy="5943600"/>
            <wp:effectExtent b="0" l="0" r="0" t="0"/>
            <wp:docPr descr="Figure 3: Correlation of tryptophan and its metabolites with age, serum levels of neopterin, neutrophil - lymphocyte ratio, and mental stress scoring in the SIMMUN cohort." title="" id="34" name="Picture"/>
            <a:graphic>
              <a:graphicData uri="http://schemas.openxmlformats.org/drawingml/2006/picture">
                <pic:pic>
                  <pic:nvPicPr>
                    <pic:cNvPr descr="C:\Users\piotr\Desktop\simmun%20revision\paper\supplementary_material_files/figure-docx/fig-corr-trp-1.png" id="35"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Correlation of tryptophan and its metabolites with age, serum levels of neopterin, neutrophil - lymphocyte ratio, and mental stress scoring in the SIMMUN cohort.</w:t>
      </w:r>
    </w:p>
    <w:p>
      <w:pPr>
        <w:pStyle w:val="TextBody"/>
      </w:pPr>
      <w:r>
        <w:rPr>
          <w:bCs/>
          <w:b/>
        </w:rPr>
        <w:t xml:space="preserve">Figure</w:t>
      </w:r>
      <w:r>
        <w:rPr>
          <w:bCs/>
          <w:b/>
        </w:rPr>
        <w:t xml:space="preserve"> </w:t>
      </w:r>
      <w:r>
        <w:rPr>
          <w:bCs/>
          <w:b/>
        </w:rPr>
        <w:t xml:space="preserve">3</w:t>
      </w:r>
      <w:r>
        <w:rPr>
          <w:bCs/>
          <w:b/>
        </w:rPr>
        <w:t xml:space="preserve">. Correlation of tryptophan and its metabolites with age, serum levels of neopterin, neutrophil - lymphocyte ratio, and mental stress scoring in the SIMMUN cohort.</w:t>
      </w:r>
    </w:p>
    <w:p>
      <w:pPr>
        <w:pStyle w:val="TextBody"/>
      </w:pPr>
      <w:r>
        <w:rPr>
          <w:iCs/>
          <w:i/>
        </w:rPr>
        <w:t xml:space="preserve">Correlation of age (A), the inflammatory marker neutrophil-leukocyte ratio (B, NLR), and stress scoring (C, perceived stress scale, 4-item [PSS-4]) with serum concentrations of tryptophan (TRP), kynurenine (KYN) and kynurenine - tryptophan ratio (KYN/TRP) was assessed by Pearson’s test corrected for multiple testing with the false discovery rate method (n = 165. Single observations are depicted as points, fitted linear trends with 95% confidence intervals are visualized as blue lines with gray ribbons. Values of correlation coefficients (r) with 95% confidence intervals and p values are displayed in the plot captions.</w:t>
      </w:r>
    </w:p>
    <w:p>
      <w:r>
        <w:br w:type="page"/>
      </w:r>
    </w:p>
    <w:p>
      <w:pPr>
        <w:pStyle w:val="CaptionedFigure"/>
      </w:pPr>
      <w:r>
        <w:drawing>
          <wp:inline>
            <wp:extent cx="5943600" cy="2311166"/>
            <wp:effectExtent b="0" l="0" r="0" t="0"/>
            <wp:docPr descr="Figure 4: Correlation of phenylalanine and tyrosine with serum levels of neopterin in the SIMMUN cohort." title="" id="37" name="Picture"/>
            <a:graphic>
              <a:graphicData uri="http://schemas.openxmlformats.org/drawingml/2006/picture">
                <pic:pic>
                  <pic:nvPicPr>
                    <pic:cNvPr descr="C:\Users\piotr\Desktop\simmun%20revision\paper\supplementary_material_files/figure-docx/fig-corr-tyr-1.png" id="38" name="Picture"/>
                    <pic:cNvPicPr>
                      <a:picLocks noChangeArrowheads="1" noChangeAspect="1"/>
                    </pic:cNvPicPr>
                  </pic:nvPicPr>
                  <pic:blipFill>
                    <a:blip r:embed="rId36"/>
                    <a:stretch>
                      <a:fillRect/>
                    </a:stretch>
                  </pic:blipFill>
                  <pic:spPr bwMode="auto">
                    <a:xfrm>
                      <a:off x="0" y="0"/>
                      <a:ext cx="5943600" cy="2311166"/>
                    </a:xfrm>
                    <a:prstGeom prst="rect">
                      <a:avLst/>
                    </a:prstGeom>
                    <a:noFill/>
                    <a:ln w="9525">
                      <a:noFill/>
                      <a:headEnd/>
                      <a:tailEnd/>
                    </a:ln>
                  </pic:spPr>
                </pic:pic>
              </a:graphicData>
            </a:graphic>
          </wp:inline>
        </w:drawing>
      </w:r>
    </w:p>
    <w:p>
      <w:pPr>
        <w:pStyle w:val="ImageCaption"/>
      </w:pPr>
      <w:r>
        <w:t xml:space="preserve">Figure 4: Correlation of phenylalanine and tyrosine with serum levels of neopterin in the SIMMUN cohort.</w:t>
      </w:r>
    </w:p>
    <w:p>
      <w:pPr>
        <w:pStyle w:val="TextBody"/>
      </w:pPr>
      <w:r>
        <w:rPr>
          <w:bCs/>
          <w:b/>
        </w:rPr>
        <w:t xml:space="preserve">Figure</w:t>
      </w:r>
      <w:r>
        <w:rPr>
          <w:bCs/>
          <w:b/>
        </w:rPr>
        <w:t xml:space="preserve"> </w:t>
      </w:r>
      <w:r>
        <w:rPr>
          <w:bCs/>
          <w:b/>
        </w:rPr>
        <w:t xml:space="preserve">4</w:t>
      </w:r>
      <w:r>
        <w:rPr>
          <w:bCs/>
          <w:b/>
        </w:rPr>
        <w:t xml:space="preserve">. Correlation of phenylalanine and tyrosine with serum levels of neopterin in the SIMMUN cohort.</w:t>
      </w:r>
    </w:p>
    <w:p>
      <w:pPr>
        <w:pStyle w:val="TextBody"/>
      </w:pPr>
      <w:r>
        <w:rPr>
          <w:iCs/>
          <w:i/>
        </w:rPr>
        <w:t xml:space="preserve">Correlation of the inflammatory marker neopterin (NEO) with serum concentrations of phenylalanine (PHE), tyrosine (TYR) and phenylalanine - tyrosine ratio (PHE/TYR) was was assessed by Pearson’s test corrected for multiple testing with the false discovery rate method (n = 165. Single observations are depicted as points, fitted linear trends with 95% confidence intervals are visualized as blue lines with gray ribbons. Values of correlation coefficients (r) with 95% confidence intervals and p values are displayed in the plot captions.</w:t>
      </w:r>
    </w:p>
    <w:p>
      <w:r>
        <w:br w:type="page"/>
      </w:r>
    </w:p>
    <w:bookmarkEnd w:id="39"/>
    <w:bookmarkStart w:id="61" w:name="references"/>
    <w:p>
      <w:pPr>
        <w:pStyle w:val="Heading1"/>
      </w:pPr>
      <w:r>
        <w:t xml:space="preserve">References</w:t>
      </w:r>
    </w:p>
    <w:bookmarkStart w:id="60" w:name="refs"/>
    <w:bookmarkStart w:id="41" w:name="ref-Wickham2019"/>
    <w:p>
      <w:pPr>
        <w:pStyle w:val="Bibliography"/>
      </w:pPr>
      <w:r>
        <w:t xml:space="preserve">1.</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40">
        <w:r>
          <w:rPr>
            <w:rStyle w:val="InternetLink"/>
          </w:rPr>
          <w:t xml:space="preserve">10.21105/joss.01686</w:t>
        </w:r>
      </w:hyperlink>
    </w:p>
    <w:bookmarkEnd w:id="41"/>
    <w:bookmarkStart w:id="43" w:name="ref-Henry2022"/>
    <w:p>
      <w:pPr>
        <w:pStyle w:val="Bibliography"/>
      </w:pPr>
      <w:r>
        <w:t xml:space="preserve">2.</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42">
        <w:r>
          <w:rPr>
            <w:rStyle w:val="InternetLink"/>
          </w:rPr>
          <w:t xml:space="preserve">https://cran.r-project.org/web/packages/rlang/index.html</w:t>
        </w:r>
      </w:hyperlink>
    </w:p>
    <w:bookmarkEnd w:id="43"/>
    <w:bookmarkStart w:id="45" w:name="ref-Kassambara2021"/>
    <w:p>
      <w:pPr>
        <w:pStyle w:val="Bibliography"/>
      </w:pPr>
      <w:r>
        <w:t xml:space="preserve">3.</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44">
        <w:r>
          <w:rPr>
            <w:rStyle w:val="InternetLink"/>
          </w:rPr>
          <w:t xml:space="preserve">https://cran.r-project.org/package=rstatix</w:t>
        </w:r>
      </w:hyperlink>
    </w:p>
    <w:bookmarkEnd w:id="45"/>
    <w:bookmarkStart w:id="47" w:name="ref-Kassambara2020"/>
    <w:p>
      <w:pPr>
        <w:pStyle w:val="Bibliography"/>
      </w:pPr>
      <w:r>
        <w:t xml:space="preserve">4.</w:t>
      </w:r>
      <w:r>
        <w:t xml:space="preserve"> </w:t>
      </w:r>
      <w:r>
        <w:t xml:space="preserve">	</w:t>
      </w:r>
      <w:r>
        <w:t xml:space="preserve">Kassambara A.</w:t>
      </w:r>
      <w:r>
        <w:t xml:space="preserve"> </w:t>
      </w:r>
      <w:r>
        <w:t xml:space="preserve">ggpubr: ’ggplot2’ Based Publication Ready Plots</w:t>
      </w:r>
      <w:r>
        <w:t xml:space="preserve">. (2020)</w:t>
      </w:r>
      <w:r>
        <w:t xml:space="preserve"> </w:t>
      </w:r>
      <w:hyperlink r:id="rId46">
        <w:r>
          <w:rPr>
            <w:rStyle w:val="InternetLink"/>
          </w:rPr>
          <w:t xml:space="preserve">https://cran.r-project.org/web/packages/ggpubr/index.html</w:t>
        </w:r>
      </w:hyperlink>
    </w:p>
    <w:bookmarkEnd w:id="47"/>
    <w:bookmarkStart w:id="49" w:name="ref-Kuhn2008"/>
    <w:p>
      <w:pPr>
        <w:pStyle w:val="Bibliography"/>
      </w:pPr>
      <w:r>
        <w:t xml:space="preserve">5.</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48">
        <w:r>
          <w:rPr>
            <w:rStyle w:val="InternetLink"/>
          </w:rPr>
          <w:t xml:space="preserve">10.18637/jss.v028.i05</w:t>
        </w:r>
      </w:hyperlink>
    </w:p>
    <w:bookmarkEnd w:id="49"/>
    <w:bookmarkStart w:id="51" w:name="ref-Wickham2016"/>
    <w:p>
      <w:pPr>
        <w:pStyle w:val="Bibliography"/>
      </w:pPr>
      <w:r>
        <w:t xml:space="preserve">6.</w:t>
      </w:r>
      <w:r>
        <w:t xml:space="preserve"> </w:t>
      </w:r>
      <w:r>
        <w:t xml:space="preserve">	</w:t>
      </w:r>
      <w:r>
        <w:t xml:space="preserve">Wickham Hadley.</w:t>
      </w:r>
      <w:r>
        <w:t xml:space="preserve"> </w:t>
      </w:r>
      <w:r>
        <w:rPr>
          <w:iCs/>
          <w:i/>
        </w:rPr>
        <w:t xml:space="preserve">ggplot2: Elegant Graphics for Data Analysis</w:t>
      </w:r>
      <w:r>
        <w:t xml:space="preserve">. 1st ed. New York: Springer-Verlag (2016).</w:t>
      </w:r>
      <w:r>
        <w:t xml:space="preserve"> </w:t>
      </w:r>
      <w:hyperlink r:id="rId50">
        <w:r>
          <w:rPr>
            <w:rStyle w:val="InternetLink"/>
          </w:rPr>
          <w:t xml:space="preserve">https://ggplot2.tidyverse.org</w:t>
        </w:r>
      </w:hyperlink>
    </w:p>
    <w:bookmarkEnd w:id="51"/>
    <w:bookmarkStart w:id="52" w:name="ref-Wilke2019"/>
    <w:p>
      <w:pPr>
        <w:pStyle w:val="Bibliography"/>
      </w:pPr>
      <w:r>
        <w:t xml:space="preserve">7.</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52"/>
    <w:bookmarkStart w:id="54" w:name="ref-Gohel2022"/>
    <w:p>
      <w:pPr>
        <w:pStyle w:val="Bibliography"/>
      </w:pPr>
      <w:r>
        <w:t xml:space="preserve">8.</w:t>
      </w:r>
      <w:r>
        <w:t xml:space="preserve"> </w:t>
      </w:r>
      <w:r>
        <w:t xml:space="preserve">	</w:t>
      </w:r>
      <w:r>
        <w:t xml:space="preserve">Gohel D.</w:t>
      </w:r>
      <w:r>
        <w:t xml:space="preserve"> </w:t>
      </w:r>
      <w:r>
        <w:t xml:space="preserve">flextable: Functions for Tabular Reporting</w:t>
      </w:r>
      <w:r>
        <w:t xml:space="preserve">. (2022)</w:t>
      </w:r>
      <w:r>
        <w:t xml:space="preserve"> </w:t>
      </w:r>
      <w:hyperlink r:id="rId53">
        <w:r>
          <w:rPr>
            <w:rStyle w:val="InternetLink"/>
          </w:rPr>
          <w:t xml:space="preserve">https://cran.r-project.org/web/packages/flextable/index.html</w:t>
        </w:r>
      </w:hyperlink>
    </w:p>
    <w:bookmarkEnd w:id="54"/>
    <w:bookmarkStart w:id="56" w:name="ref-Allaire2022"/>
    <w:p>
      <w:pPr>
        <w:pStyle w:val="Bibliography"/>
      </w:pPr>
      <w:r>
        <w:t xml:space="preserve">9.</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55">
        <w:r>
          <w:rPr>
            <w:rStyle w:val="InternetLink"/>
          </w:rPr>
          <w:t xml:space="preserve">https://cran.r-project.org/web/packages/rmarkdown/index.html</w:t>
        </w:r>
      </w:hyperlink>
    </w:p>
    <w:bookmarkEnd w:id="56"/>
    <w:bookmarkStart w:id="58" w:name="ref-Xie2022"/>
    <w:p>
      <w:pPr>
        <w:pStyle w:val="Bibliography"/>
      </w:pPr>
      <w:r>
        <w:t xml:space="preserve">10.</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57">
        <w:r>
          <w:rPr>
            <w:rStyle w:val="InternetLink"/>
          </w:rPr>
          <w:t xml:space="preserve">https://cran.r-project.org/web/packages/knitr/index.html</w:t>
        </w:r>
      </w:hyperlink>
    </w:p>
    <w:bookmarkEnd w:id="58"/>
    <w:bookmarkStart w:id="59" w:name="ref-Xie2016"/>
    <w:p>
      <w:pPr>
        <w:pStyle w:val="Bibliography"/>
      </w:pPr>
      <w:r>
        <w:t xml:space="preserve">11.</w:t>
      </w:r>
      <w:r>
        <w:t xml:space="preserve"> </w:t>
      </w:r>
      <w:r>
        <w:t xml:space="preserve">	</w:t>
      </w:r>
      <w:r>
        <w:t xml:space="preserve">Xie Y.</w:t>
      </w:r>
      <w:r>
        <w:t xml:space="preserve"> </w:t>
      </w:r>
      <w:r>
        <w:rPr>
          <w:iCs/>
          <w:i/>
        </w:rPr>
        <w:t xml:space="preserve">Bookdown : authoring books and technical documents with R Markdown</w:t>
      </w:r>
      <w:r>
        <w:t xml:space="preserve">. (2016).</w:t>
      </w:r>
    </w:p>
    <w:bookmarkEnd w:id="59"/>
    <w:bookmarkEnd w:id="60"/>
    <w:bookmarkEnd w:id="61"/>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hyperlink" Id="rId44" Target="https://cran.r-project.org/package=rstatix" TargetMode="External" /><Relationship Type="http://schemas.openxmlformats.org/officeDocument/2006/relationships/hyperlink" Id="rId53" Target="https://cran.r-project.org/web/packages/flextable/index.html" TargetMode="External" /><Relationship Type="http://schemas.openxmlformats.org/officeDocument/2006/relationships/hyperlink" Id="rId46" Target="https://cran.r-project.org/web/packages/ggpubr/index.html" TargetMode="External" /><Relationship Type="http://schemas.openxmlformats.org/officeDocument/2006/relationships/hyperlink" Id="rId57" Target="https://cran.r-project.org/web/packages/knitr/index.html" TargetMode="External" /><Relationship Type="http://schemas.openxmlformats.org/officeDocument/2006/relationships/hyperlink" Id="rId42" Target="https://cran.r-project.org/web/packages/rlang/index.html" TargetMode="External" /><Relationship Type="http://schemas.openxmlformats.org/officeDocument/2006/relationships/hyperlink" Id="rId55" Target="https://cran.r-project.org/web/packages/rmarkdown/index.html" TargetMode="External" /><Relationship Type="http://schemas.openxmlformats.org/officeDocument/2006/relationships/hyperlink" Id="rId48" Target="https://doi.org/10.18637/jss.v028.i05" TargetMode="External" /><Relationship Type="http://schemas.openxmlformats.org/officeDocument/2006/relationships/hyperlink" Id="rId40" Target="https://doi.org/10.21105/joss.01686" TargetMode="External" /><Relationship Type="http://schemas.openxmlformats.org/officeDocument/2006/relationships/hyperlink" Id="rId50"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2" Target="https://github.com/PiotrTymoszuk/lmqc" TargetMode="External" /><Relationship Type="http://schemas.openxmlformats.org/officeDocument/2006/relationships/hyperlink" Id="rId20" Target="https://github.com/PiotrTymoszuk/trafo" TargetMode="External" /></Relationships>
</file>

<file path=word/_rels/footnotes.xml.rels><?xml version="1.0" encoding="UTF-8"?><Relationships xmlns="http://schemas.openxmlformats.org/package/2006/relationships"><Relationship Type="http://schemas.openxmlformats.org/officeDocument/2006/relationships/hyperlink" Id="rId44" Target="https://cran.r-project.org/package=rstatix" TargetMode="External" /><Relationship Type="http://schemas.openxmlformats.org/officeDocument/2006/relationships/hyperlink" Id="rId53" Target="https://cran.r-project.org/web/packages/flextable/index.html" TargetMode="External" /><Relationship Type="http://schemas.openxmlformats.org/officeDocument/2006/relationships/hyperlink" Id="rId46" Target="https://cran.r-project.org/web/packages/ggpubr/index.html" TargetMode="External" /><Relationship Type="http://schemas.openxmlformats.org/officeDocument/2006/relationships/hyperlink" Id="rId57" Target="https://cran.r-project.org/web/packages/knitr/index.html" TargetMode="External" /><Relationship Type="http://schemas.openxmlformats.org/officeDocument/2006/relationships/hyperlink" Id="rId42" Target="https://cran.r-project.org/web/packages/rlang/index.html" TargetMode="External" /><Relationship Type="http://schemas.openxmlformats.org/officeDocument/2006/relationships/hyperlink" Id="rId55" Target="https://cran.r-project.org/web/packages/rmarkdown/index.html" TargetMode="External" /><Relationship Type="http://schemas.openxmlformats.org/officeDocument/2006/relationships/hyperlink" Id="rId48" Target="https://doi.org/10.18637/jss.v028.i05" TargetMode="External" /><Relationship Type="http://schemas.openxmlformats.org/officeDocument/2006/relationships/hyperlink" Id="rId40" Target="https://doi.org/10.21105/joss.01686" TargetMode="External" /><Relationship Type="http://schemas.openxmlformats.org/officeDocument/2006/relationships/hyperlink" Id="rId50" Target="https://ggplot2.tidyverse.org" TargetMode="External" /><Relationship Type="http://schemas.openxmlformats.org/officeDocument/2006/relationships/hyperlink" Id="rId21" Target="https://github.com/PiotrTymoszuk/ExDA" TargetMode="External" /><Relationship Type="http://schemas.openxmlformats.org/officeDocument/2006/relationships/hyperlink" Id="rId23" Target="https://github.com/PiotrTymoszuk/caretExtra" TargetMode="External" /><Relationship Type="http://schemas.openxmlformats.org/officeDocument/2006/relationships/hyperlink" Id="rId22" Target="https://github.com/PiotrTymoszuk/lmqc" TargetMode="External" /><Relationship Type="http://schemas.openxmlformats.org/officeDocument/2006/relationships/hyperlink" Id="rId20" Target="https://github.com/PiotrTymoszuk/traf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Persistent low-grade inflammation, SARS-CoV-2 infection and mental health deterioration signs impact on systemic levels of aminoacid neurotransmitter precursors</dc:title>
  <dc:creator>PSY Team</dc:creator>
  <cp:keywords/>
  <dcterms:created xsi:type="dcterms:W3CDTF">2023-05-15T21:02:37Z</dcterms:created>
  <dcterms:modified xsi:type="dcterms:W3CDTF">2023-05-15T21:02:37Z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2023-05-15</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