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9.png" ContentType="image/png"/>
  <Override PartName="/word/media/rId45.png" ContentType="image/png"/>
  <Override PartName="/word/media/rId42.png" ContentType="image/png"/>
  <Override PartName="/word/media/rId36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Persistent</w:t>
      </w:r>
      <w:r>
        <w:t xml:space="preserve"> </w:t>
      </w:r>
      <w:r>
        <w:t xml:space="preserve">low-grade</w:t>
      </w:r>
      <w:r>
        <w:t xml:space="preserve"> </w:t>
      </w:r>
      <w:r>
        <w:t xml:space="preserve">inflammation,</w:t>
      </w:r>
      <w:r>
        <w:t xml:space="preserve"> </w:t>
      </w:r>
      <w:r>
        <w:t xml:space="preserve">SARS-CoV-2</w:t>
      </w:r>
      <w:r>
        <w:t xml:space="preserve"> </w:t>
      </w:r>
      <w:r>
        <w:t xml:space="preserve">infection</w:t>
      </w:r>
      <w:r>
        <w:t xml:space="preserve"> </w:t>
      </w:r>
      <w:r>
        <w:t xml:space="preserve">and</w:t>
      </w:r>
      <w:r>
        <w:t xml:space="preserve"> </w:t>
      </w:r>
      <w:r>
        <w:t xml:space="preserve">mental</w:t>
      </w:r>
      <w:r>
        <w:t xml:space="preserve"> </w:t>
      </w:r>
      <w:r>
        <w:t xml:space="preserve">health</w:t>
      </w:r>
      <w:r>
        <w:t xml:space="preserve"> </w:t>
      </w:r>
      <w:r>
        <w:t xml:space="preserve">deterioration</w:t>
      </w:r>
      <w:r>
        <w:t xml:space="preserve"> </w:t>
      </w:r>
      <w:r>
        <w:t xml:space="preserve">signs</w:t>
      </w:r>
      <w:r>
        <w:t xml:space="preserve"> </w:t>
      </w:r>
      <w:r>
        <w:t xml:space="preserve">impact</w:t>
      </w:r>
      <w:r>
        <w:t xml:space="preserve"> </w:t>
      </w:r>
      <w:r>
        <w:t xml:space="preserve">on</w:t>
      </w:r>
      <w:r>
        <w:t xml:space="preserve"> </w:t>
      </w:r>
      <w:r>
        <w:t xml:space="preserve">systemic</w:t>
      </w:r>
      <w:r>
        <w:t xml:space="preserve"> </w:t>
      </w:r>
      <w:r>
        <w:t xml:space="preserve">levels</w:t>
      </w:r>
      <w:r>
        <w:t xml:space="preserve"> </w:t>
      </w:r>
      <w:r>
        <w:t xml:space="preserve">of</w:t>
      </w:r>
      <w:r>
        <w:t xml:space="preserve"> </w:t>
      </w:r>
      <w:r>
        <w:t xml:space="preserve">aminoacid</w:t>
      </w:r>
      <w:r>
        <w:t xml:space="preserve"> </w:t>
      </w:r>
      <w:r>
        <w:t xml:space="preserve">neurotransmitter</w:t>
      </w:r>
      <w:r>
        <w:t xml:space="preserve"> </w:t>
      </w:r>
      <w:r>
        <w:t xml:space="preserve">precursors</w:t>
      </w:r>
    </w:p>
    <w:p>
      <w:pPr>
        <w:pStyle w:val="Sub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Author"/>
      </w:pPr>
      <w:r>
        <w:t xml:space="preserve">PSY</w:t>
      </w:r>
      <w:r>
        <w:t xml:space="preserve"> </w:t>
      </w:r>
      <w:r>
        <w:t xml:space="preserve">Team</w:t>
      </w:r>
    </w:p>
    <w:p>
      <w:pPr>
        <w:pStyle w:val="Date"/>
      </w:pPr>
      <w:r>
        <w:t xml:space="preserve">2023-02-15</w:t>
      </w:r>
    </w:p>
    <w:p>
      <w:r>
        <w:br w:type="page"/>
      </w:r>
    </w:p>
    <w:bookmarkStart w:id="31" w:name="supplementary-methods"/>
    <w:p>
      <w:pPr>
        <w:pStyle w:val="Heading1"/>
      </w:pPr>
      <w:r>
        <w:t xml:space="preserve">Supplementary Methods</w:t>
      </w:r>
    </w:p>
    <w:bookmarkStart w:id="24" w:name="software"/>
    <w:p>
      <w:pPr>
        <w:pStyle w:val="Heading2"/>
      </w:pPr>
      <w:r>
        <w:t xml:space="preserve">Software</w:t>
      </w:r>
    </w:p>
    <w:p>
      <w:pPr>
        <w:pStyle w:val="FirstParagraph"/>
      </w:pPr>
      <w:r>
        <w:t xml:space="preserve">Proteome and metabolome data were analyzed with R version 4.2.0.</w:t>
      </w:r>
      <w:r>
        <w:t xml:space="preserve"> </w:t>
      </w:r>
      <w:r>
        <w:t xml:space="preserve">General data transformation tasks were accomplished with the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package bundle</w:t>
      </w:r>
      <w:r>
        <w:t xml:space="preserve"> </w:t>
      </w:r>
      <w:r>
        <w:t xml:space="preserve">(1)</w:t>
      </w:r>
      <w:r>
        <w:t xml:space="preserve">,</w:t>
      </w:r>
      <w:r>
        <w:t xml:space="preserve"> </w:t>
      </w:r>
      <w:r>
        <w:rPr>
          <w:iCs/>
          <w:i/>
        </w:rPr>
        <w:t xml:space="preserve">rlang</w:t>
      </w:r>
      <w:r>
        <w:t xml:space="preserve"> </w:t>
      </w:r>
      <w:r>
        <w:t xml:space="preserve">(2)</w:t>
      </w:r>
      <w:r>
        <w:t xml:space="preserve"> </w:t>
      </w:r>
      <w:r>
        <w:t xml:space="preserve">and the development package</w:t>
      </w:r>
      <w:r>
        <w:t xml:space="preserve"> </w:t>
      </w:r>
      <w:r>
        <w:rPr>
          <w:iCs/>
          <w:i/>
        </w:rPr>
        <w:t xml:space="preserve">trafo</w:t>
      </w:r>
      <w:r>
        <w:t xml:space="preserve"> </w:t>
      </w:r>
      <w:r>
        <w:t xml:space="preserve">(</w:t>
      </w:r>
      <w:hyperlink r:id="rId20">
        <w:r>
          <w:rPr>
            <w:rStyle w:val="InternetLink"/>
          </w:rPr>
          <w:t xml:space="preserve">https://github.com/PiotrTymoszuk/trafo</w:t>
        </w:r>
      </w:hyperlink>
      <w:r>
        <w:t xml:space="preserve">).</w:t>
      </w:r>
      <w:r>
        <w:t xml:space="preserve"> </w:t>
      </w:r>
      <w:r>
        <w:t xml:space="preserve">Statistical data testing was done with the packages</w:t>
      </w:r>
      <w:r>
        <w:t xml:space="preserve"> </w:t>
      </w:r>
      <w:r>
        <w:rPr>
          <w:iCs/>
          <w:i/>
        </w:rPr>
        <w:t xml:space="preserve">rstatix</w:t>
      </w:r>
      <w:r>
        <w:t xml:space="preserve"> </w:t>
      </w:r>
      <w:r>
        <w:t xml:space="preserve">(3)</w:t>
      </w:r>
      <w:r>
        <w:t xml:space="preserve">,</w:t>
      </w:r>
      <w:r>
        <w:t xml:space="preserve"> </w:t>
      </w:r>
      <w:r>
        <w:rPr>
          <w:iCs/>
          <w:i/>
        </w:rPr>
        <w:t xml:space="preserve">ggpubr</w:t>
      </w:r>
      <w:r>
        <w:t xml:space="preserve"> </w:t>
      </w:r>
      <w:r>
        <w:t xml:space="preserve">(4)</w:t>
      </w:r>
      <w:r>
        <w:t xml:space="preserve"> </w:t>
      </w:r>
      <w:r>
        <w:t xml:space="preserve">along with the development package</w:t>
      </w:r>
      <w:r>
        <w:t xml:space="preserve"> </w:t>
      </w:r>
      <w:r>
        <w:rPr>
          <w:iCs/>
          <w:i/>
        </w:rPr>
        <w:t xml:space="preserve">ExDA</w:t>
      </w:r>
      <w:r>
        <w:t xml:space="preserve"> </w:t>
      </w:r>
      <w:r>
        <w:t xml:space="preserve">(</w:t>
      </w:r>
      <w:hyperlink r:id="rId21">
        <w:r>
          <w:rPr>
            <w:rStyle w:val="InternetLink"/>
          </w:rPr>
          <w:t xml:space="preserve">https://github.com/PiotrTymoszuk/ExDA</w:t>
        </w:r>
      </w:hyperlink>
      <w:r>
        <w:t xml:space="preserve">).</w:t>
      </w:r>
      <w:r>
        <w:t xml:space="preserve"> </w:t>
      </w:r>
      <w:r>
        <w:t xml:space="preserve">In linear modeling, base R functions, the development packages</w:t>
      </w:r>
      <w:r>
        <w:t xml:space="preserve"> </w:t>
      </w:r>
      <w:r>
        <w:rPr>
          <w:iCs/>
          <w:i/>
        </w:rPr>
        <w:t xml:space="preserve">lmqc</w:t>
      </w:r>
      <w:r>
        <w:t xml:space="preserve"> </w:t>
      </w:r>
      <w:r>
        <w:t xml:space="preserve">(</w:t>
      </w:r>
      <w:hyperlink r:id="rId22">
        <w:r>
          <w:rPr>
            <w:rStyle w:val="InternetLink"/>
          </w:rPr>
          <w:t xml:space="preserve">https://github.com/PiotrTymoszuk/lmqc</w:t>
        </w:r>
      </w:hyperlink>
      <w:r>
        <w:t xml:space="preserve">) and</w:t>
      </w:r>
      <w:r>
        <w:t xml:space="preserve"> </w:t>
      </w:r>
      <w:r>
        <w:rPr>
          <w:iCs/>
          <w:i/>
        </w:rPr>
        <w:t xml:space="preserve">caretExtra</w:t>
      </w:r>
      <w:r>
        <w:t xml:space="preserve"> </w:t>
      </w:r>
      <w:r>
        <w:t xml:space="preserve">(</w:t>
      </w:r>
      <w:hyperlink r:id="rId23">
        <w:r>
          <w:rPr>
            <w:rStyle w:val="InternetLink"/>
          </w:rPr>
          <w:t xml:space="preserve">https://github.com/PiotrTymoszuk/caretExtra</w:t>
        </w:r>
      </w:hyperlink>
      <w:r>
        <w:t xml:space="preserve">), and the package</w:t>
      </w:r>
      <w:r>
        <w:t xml:space="preserve"> </w:t>
      </w:r>
      <w:r>
        <w:rPr>
          <w:iCs/>
          <w:i/>
        </w:rPr>
        <w:t xml:space="preserve">caret</w:t>
      </w:r>
      <w:r>
        <w:t xml:space="preserve"> </w:t>
      </w:r>
      <w:r>
        <w:t xml:space="preserve">(5)</w:t>
      </w:r>
      <w:r>
        <w:t xml:space="preserve"> </w:t>
      </w:r>
      <w:r>
        <w:t xml:space="preserve">were utilized.</w:t>
      </w:r>
    </w:p>
    <w:p>
      <w:pPr>
        <w:pStyle w:val="TextBody"/>
      </w:pPr>
      <w:r>
        <w:t xml:space="preserve">Results were visualized with tools provided by the packages</w:t>
      </w:r>
      <w:r>
        <w:t xml:space="preserve"> </w:t>
      </w:r>
      <w:r>
        <w:rPr>
          <w:iCs/>
          <w:i/>
        </w:rPr>
        <w:t xml:space="preserve">ggplot2</w:t>
      </w:r>
      <w:r>
        <w:t xml:space="preserve"> </w:t>
      </w:r>
      <w:r>
        <w:t xml:space="preserve">(6)</w:t>
      </w:r>
      <w:r>
        <w:t xml:space="preserve">,</w:t>
      </w:r>
      <w:r>
        <w:t xml:space="preserve"> </w:t>
      </w:r>
      <w:r>
        <w:rPr>
          <w:iCs/>
          <w:i/>
        </w:rPr>
        <w:t xml:space="preserve">cowplot</w:t>
      </w:r>
      <w:r>
        <w:t xml:space="preserve"> </w:t>
      </w:r>
      <w:r>
        <w:t xml:space="preserve">(7)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ExDA</w:t>
      </w:r>
      <w:r>
        <w:t xml:space="preserve">.</w:t>
      </w:r>
      <w:r>
        <w:t xml:space="preserve"> </w:t>
      </w:r>
      <w:r>
        <w:t xml:space="preserve">Manuscript and supplementary tables were created with</w:t>
      </w:r>
      <w:r>
        <w:t xml:space="preserve"> </w:t>
      </w:r>
      <w:r>
        <w:rPr>
          <w:iCs/>
          <w:i/>
        </w:rPr>
        <w:t xml:space="preserve">flextable</w:t>
      </w:r>
      <w:r>
        <w:t xml:space="preserve"> </w:t>
      </w:r>
      <w:r>
        <w:t xml:space="preserve">(8)</w:t>
      </w:r>
      <w:r>
        <w:t xml:space="preserve">.</w:t>
      </w:r>
      <w:r>
        <w:t xml:space="preserve"> </w:t>
      </w:r>
      <w:r>
        <w:t xml:space="preserve">Supplementary Material file was written in the</w:t>
      </w:r>
      <w:r>
        <w:t xml:space="preserve"> </w:t>
      </w:r>
      <w:r>
        <w:rPr>
          <w:iCs/>
          <w:i/>
        </w:rPr>
        <w:t xml:space="preserve">rmarkdown</w:t>
      </w:r>
      <w:r>
        <w:t xml:space="preserve"> </w:t>
      </w:r>
      <w:r>
        <w:t xml:space="preserve">environment</w:t>
      </w:r>
      <w:r>
        <w:t xml:space="preserve"> </w:t>
      </w:r>
      <w:r>
        <w:t xml:space="preserve">(9)</w:t>
      </w:r>
      <w:r>
        <w:t xml:space="preserve"> </w:t>
      </w:r>
      <w:r>
        <w:t xml:space="preserve">and rendered with the</w:t>
      </w:r>
      <w:r>
        <w:t xml:space="preserve"> </w:t>
      </w:r>
      <w:r>
        <w:rPr>
          <w:iCs/>
          <w:i/>
        </w:rPr>
        <w:t xml:space="preserve">knitr</w:t>
      </w:r>
      <w:r>
        <w:t xml:space="preserve"> </w:t>
      </w:r>
      <w:r>
        <w:t xml:space="preserve">(10)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bookdown</w:t>
      </w:r>
      <w:r>
        <w:t xml:space="preserve"> </w:t>
      </w:r>
      <w:r>
        <w:t xml:space="preserve">(11)</w:t>
      </w:r>
      <w:r>
        <w:t xml:space="preserve"> </w:t>
      </w:r>
      <w:r>
        <w:t xml:space="preserve">packages.</w:t>
      </w:r>
    </w:p>
    <w:bookmarkEnd w:id="24"/>
    <w:bookmarkStart w:id="25" w:name="X6ddcf2bd3252d6be4193f0879961ab601b981bf"/>
    <w:p>
      <w:pPr>
        <w:pStyle w:val="Heading2"/>
      </w:pPr>
      <w:r>
        <w:t xml:space="preserve">INCOV cohort data import and transformation</w:t>
      </w:r>
    </w:p>
    <w:p>
      <w:pPr>
        <w:pStyle w:val="FirstParagraph"/>
      </w:pPr>
      <w:r>
        <w:t xml:space="preserve">Proteome and metabolome data in form of normalized, age- and sex-adjusted, log</w:t>
      </w:r>
      <w:r>
        <w:rPr>
          <w:vertAlign w:val="subscript"/>
        </w:rPr>
        <w:t xml:space="preserve">2</w:t>
      </w:r>
      <w:r>
        <w:t xml:space="preserve">-transformed serum levels as well as clinical information (sex, SARS-CoV-2 infection status, COVID-19 severity, timepoint, post-COVID-19 syndrome status and particular symptoms) for the INCOV cohort were extracted from supplementary tables accompanying the report by Su and colleagues</w:t>
      </w:r>
      <w:r>
        <w:t xml:space="preserve"> </w:t>
      </w:r>
      <w:r>
        <w:t xml:space="preserve">(12)</w:t>
      </w:r>
      <w:r>
        <w:t xml:space="preserve">.</w:t>
      </w:r>
    </w:p>
    <w:p>
      <w:pPr>
        <w:pStyle w:val="TextBody"/>
      </w:pPr>
      <w:r>
        <w:t xml:space="preserve">Characteristic of the INCOV cohorts is presented in</w:t>
      </w:r>
      <w:r>
        <w:t xml:space="preserve"> </w:t>
      </w:r>
      <w:r>
        <w:rPr>
          <w:bCs/>
          <w:b/>
        </w:rPr>
        <w:t xml:space="preserve">Table 2</w:t>
      </w:r>
      <w:r>
        <w:t xml:space="preserve">.</w:t>
      </w:r>
      <w:r>
        <w:t xml:space="preserve"> </w:t>
      </w:r>
      <w:r>
        <w:t xml:space="preserve">Numbers of available INCOV cohort samples and the sampling timepoints are shown in</w:t>
      </w:r>
      <w:r>
        <w:t xml:space="preserve"> </w:t>
      </w:r>
      <w:r>
        <w:rPr>
          <w:bCs/>
          <w:b/>
        </w:rPr>
        <w:t xml:space="preserve">Supplementary Table S</w:t>
      </w:r>
      <w:r>
        <w:rPr>
          <w:bCs/>
          <w:b/>
        </w:rPr>
        <w:t xml:space="preserve">1</w:t>
      </w:r>
      <w:r>
        <w:t xml:space="preserve">.</w:t>
      </w:r>
    </w:p>
    <w:bookmarkEnd w:id="25"/>
    <w:bookmarkStart w:id="26" w:name="variable-distribution-and-transformation"/>
    <w:p>
      <w:pPr>
        <w:pStyle w:val="Heading2"/>
      </w:pPr>
      <w:r>
        <w:t xml:space="preserve">Variable distribution and transformation</w:t>
      </w:r>
    </w:p>
    <w:p>
      <w:pPr>
        <w:pStyle w:val="FirstParagraph"/>
      </w:pPr>
      <w:r>
        <w:t xml:space="preserve">Distribution normality and variance homogeneity of normalized cytokine and metabolite serum levels was assessed by Shapiro-Wilk and Levene test, respectively.</w:t>
      </w:r>
      <w:r>
        <w:t xml:space="preserve"> </w:t>
      </w:r>
      <w:r>
        <w:t xml:space="preserve">The distribution testing revealed substantial deviations from normality for multiple study parameters.</w:t>
      </w:r>
      <w:r>
        <w:t xml:space="preserve"> </w:t>
      </w:r>
      <w:r>
        <w:t xml:space="preserve">For this reason statistical hypothesis testing in the INCOV dataset was done with non-parametric tests.</w:t>
      </w:r>
      <w:r>
        <w:t xml:space="preserve"> </w:t>
      </w:r>
      <w:r>
        <w:t xml:space="preserve">For SIMMUN cohort metabolite and inflammation marker levels (KYN, KYN/TRP ratio, PHE, TYR and PHE/TYR ratio, NEO, CRP, IL6, anti-RBD IgG) used in analysis of correlation with age and mental disorder scoring, comparison between participants stratified by SARS-CoV-2 infection status or gender as well as for linear modeling, logarithm and square root transformations was used, which improved both normality and variance homogeneity.</w:t>
      </w:r>
    </w:p>
    <w:bookmarkEnd w:id="26"/>
    <w:bookmarkStart w:id="27" w:name="statistical-hypothesis-testing"/>
    <w:p>
      <w:pPr>
        <w:pStyle w:val="Heading2"/>
      </w:pPr>
      <w:r>
        <w:t xml:space="preserve">Statistical hypothesis testing</w:t>
      </w:r>
    </w:p>
    <w:p>
      <w:pPr>
        <w:pStyle w:val="FirstParagraph"/>
      </w:pPr>
      <w:r>
        <w:t xml:space="preserve">Comparison of normalized serum cytokine and metabolite levels between uninfected controls and COVID-19 individuals from the INCOV cohort at consecutive timepoints after symptom onset was done with Kruskal-Wallis test.</w:t>
      </w:r>
      <w:r>
        <w:t xml:space="preserve"> </w:t>
      </w:r>
      <w:r>
        <w:t xml:space="preserve">Differences between SARS-CoV-2-negative controls and consecutive timepoints of COVID-19 were investigated with Mann-Whitney post-hoc U test corrected for multiple testing with Benjamini-Hochberg method</w:t>
      </w:r>
      <w:r>
        <w:t xml:space="preserve"> </w:t>
      </w:r>
      <w:r>
        <w:t xml:space="preserve">(13)</w:t>
      </w:r>
      <w:r>
        <w:t xml:space="preserve">.</w:t>
      </w:r>
    </w:p>
    <w:p>
      <w:pPr>
        <w:pStyle w:val="TextBody"/>
      </w:pPr>
      <w:r>
        <w:t xml:space="preserve">Correlation of serum cytokine and metabolite levels in uninfected controls and COVID-19 individuals at consecutive timepoints in the INCOV and SIMMUN datasets was analyzed by Spearman test.</w:t>
      </w:r>
      <w:r>
        <w:t xml:space="preserve"> </w:t>
      </w:r>
      <w:r>
        <w:t xml:space="preserve">Correlation of serum cytokine and metabolite levels with scores of anxiety, depression and stress was assessed by Spearman test.</w:t>
      </w:r>
      <w:r>
        <w:t xml:space="preserve"> </w:t>
      </w:r>
      <w:r>
        <w:t xml:space="preserve">Correlation of SIMMUN dataset metabolite levels with age was assessed by Pearson test.</w:t>
      </w:r>
    </w:p>
    <w:p>
      <w:pPr>
        <w:pStyle w:val="TextBody"/>
      </w:pPr>
      <w:r>
        <w:t xml:space="preserve">Comparison of SIMMUN dataset metabolite and inflammatory marker levels between participants stratified by SARS-CoV-2 infection status or gender was done with two-tailed T test.</w:t>
      </w:r>
    </w:p>
    <w:bookmarkEnd w:id="27"/>
    <w:bookmarkStart w:id="28" w:name="X8bc854133e69038b5b6a9e0d23220b554bdcce5"/>
    <w:p>
      <w:pPr>
        <w:pStyle w:val="Heading2"/>
      </w:pPr>
      <w:r>
        <w:t xml:space="preserve">Multi-parameter linear regression with backwards elimination</w:t>
      </w:r>
    </w:p>
    <w:p>
      <w:pPr>
        <w:pStyle w:val="FirstParagraph"/>
      </w:pPr>
      <w:r>
        <w:t xml:space="preserve">Effects of the representative inflammation marker (NEO), SARS-CoV-2 infection status, titre of immunoglobulin gamma against the receptor binding domain of the S1 SARS-CoV-2 protein (anti-RBD IgG), anxiety (HADS), depression (HADS) and stress scoring (PSS-4), age and gender on systemic levels of aminoacid neurotransmitter precursor and their decay products (TRP, KYN, KYN/TRP ratio, PHE, TYR and PHE/TYR ratio) was assessed by multi-parameter linear regression with backwards elimination.</w:t>
      </w:r>
      <w:r>
        <w:t xml:space="preserve"> </w:t>
      </w:r>
      <w:r>
        <w:t xml:space="preserve">Modeling responses and numeric explanatory variables were transformed with log or squared root functions to improve normality and normalized.</w:t>
      </w:r>
    </w:p>
    <w:p>
      <w:pPr>
        <w:pStyle w:val="TextBody"/>
      </w:pPr>
      <w:r>
        <w:t xml:space="preserve">Full models including the complete set of explanatory variables listed above were constructed (function</w:t>
      </w:r>
      <w:r>
        <w:t xml:space="preserve"> </w:t>
      </w:r>
      <w:r>
        <w:rPr>
          <w:rStyle w:val="VerbatimChar"/>
        </w:rPr>
        <w:t xml:space="preserve">make_lm()</w:t>
      </w:r>
      <w:r>
        <w:t xml:space="preserve">, package</w:t>
      </w:r>
      <w:r>
        <w:t xml:space="preserve"> </w:t>
      </w:r>
      <w:r>
        <w:rPr>
          <w:iCs/>
          <w:i/>
        </w:rPr>
        <w:t xml:space="preserve">lmqc</w:t>
      </w:r>
      <w:r>
        <w:t xml:space="preserve">) and optimized by Bayesian information criterion (AIC) driven backwards elimination of non-significant terms (method</w:t>
      </w:r>
      <w:r>
        <w:t xml:space="preserve"> </w:t>
      </w:r>
      <w:r>
        <w:rPr>
          <w:rStyle w:val="VerbatimChar"/>
        </w:rPr>
        <w:t xml:space="preserve">step()</w:t>
      </w:r>
      <w:r>
        <w:t xml:space="preserve">, package</w:t>
      </w:r>
      <w:r>
        <w:t xml:space="preserve"> </w:t>
      </w:r>
      <w:r>
        <w:rPr>
          <w:iCs/>
          <w:i/>
        </w:rPr>
        <w:t xml:space="preserve">lmqc</w:t>
      </w:r>
      <w:r>
        <w:t xml:space="preserve">).</w:t>
      </w:r>
      <w:r>
        <w:t xml:space="preserve"> </w:t>
      </w:r>
      <w:r>
        <w:t xml:space="preserve">Normality and homogeneity of distribution of the model residuals was checked by Shapiro-Wilk and Levene test, respectively (method</w:t>
      </w:r>
      <w:r>
        <w:t xml:space="preserve"> </w:t>
      </w:r>
      <w:r>
        <w:rPr>
          <w:rStyle w:val="VerbatimChar"/>
        </w:rPr>
        <w:t xml:space="preserve">summary(type = 'assumptions')</w:t>
      </w:r>
      <w:r>
        <w:t xml:space="preserve">, package</w:t>
      </w:r>
      <w:r>
        <w:t xml:space="preserve"> </w:t>
      </w:r>
      <w:r>
        <w:rPr>
          <w:iCs/>
          <w:i/>
        </w:rPr>
        <w:t xml:space="preserve">lmqc</w:t>
      </w:r>
      <w:r>
        <w:t xml:space="preserve">) and visually inspected in standard diagnostic plots of model residuals (residuals vs fitted, quantile-quantile plots, method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called for the model objects).</w:t>
      </w:r>
      <w:r>
        <w:t xml:space="preserve"> </w:t>
      </w:r>
      <w:r>
        <w:t xml:space="preserve">Fit stats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and root mean squared error [RMSE]) were retrieved from the model objects by calling</w:t>
      </w:r>
      <w:r>
        <w:t xml:space="preserve"> </w:t>
      </w:r>
      <w:r>
        <w:rPr>
          <w:rStyle w:val="VerbatimChar"/>
        </w:rPr>
        <w:t xml:space="preserve">summary(type = 'fit')</w:t>
      </w:r>
      <w:r>
        <w:t xml:space="preserve"> </w:t>
      </w:r>
      <w:r>
        <w:t xml:space="preserve">(package</w:t>
      </w:r>
      <w:r>
        <w:t xml:space="preserve"> </w:t>
      </w:r>
      <w:r>
        <w:rPr>
          <w:iCs/>
          <w:i/>
        </w:rPr>
        <w:t xml:space="preserve">lmqc</w:t>
      </w:r>
      <w:r>
        <w:t xml:space="preserve">).</w:t>
      </w:r>
      <w:r>
        <w:t xml:space="preserve"> </w:t>
      </w:r>
      <w:r>
        <w:t xml:space="preserve">Validity of the optimized models was determined by likelihood-ratio test (LRT) versus the respective null models (method</w:t>
      </w:r>
      <w:r>
        <w:t xml:space="preserve"> </w:t>
      </w:r>
      <w:r>
        <w:rPr>
          <w:rStyle w:val="VerbatimChar"/>
        </w:rPr>
        <w:t xml:space="preserve">anova()</w:t>
      </w:r>
      <w:r>
        <w:t xml:space="preserve">).</w:t>
      </w:r>
      <w:r>
        <w:t xml:space="preserve"> </w:t>
      </w:r>
      <w:r>
        <w:t xml:space="preserve">Reproducibility and proper parameterization of the optimized multi-parameter models was investigated by repeated cross-validation (50 repeats, 10 folds, function</w:t>
      </w:r>
      <w:r>
        <w:t xml:space="preserve"> </w:t>
      </w:r>
      <w:r>
        <w:rPr>
          <w:rStyle w:val="VerbatimChar"/>
        </w:rPr>
        <w:t xml:space="preserve">train(method = 'lm')</w:t>
      </w:r>
      <w:r>
        <w:t xml:space="preserve">, package</w:t>
      </w:r>
      <w:r>
        <w:t xml:space="preserve"> </w:t>
      </w:r>
      <w:r>
        <w:rPr>
          <w:iCs/>
          <w:i/>
        </w:rPr>
        <w:t xml:space="preserve">caret</w:t>
      </w:r>
      <w:r>
        <w:t xml:space="preserve">) and by comparison of the RMSE and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statistics obtained with in the training dataset and in cross-validation (method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, package</w:t>
      </w:r>
      <w:r>
        <w:t xml:space="preserve"> </w:t>
      </w:r>
      <w:r>
        <w:rPr>
          <w:iCs/>
          <w:i/>
        </w:rPr>
        <w:t xml:space="preserve">caretExtra</w:t>
      </w:r>
      <w:r>
        <w:t xml:space="preserve">).</w:t>
      </w:r>
      <w:r>
        <w:t xml:space="preserve"> </w:t>
      </w:r>
      <w:r>
        <w:t xml:space="preserve">As presented in</w:t>
      </w:r>
      <w:r>
        <w:t xml:space="preserve"> </w:t>
      </w:r>
      <w:r>
        <w:rPr>
          <w:bCs/>
          <w:b/>
        </w:rPr>
        <w:t xml:space="preserve">Supplementary Figure S</w:t>
      </w:r>
      <w:r>
        <w:rPr>
          <w:bCs/>
          <w:b/>
        </w:rPr>
        <w:t xml:space="preserve">5</w:t>
      </w:r>
      <w:r>
        <w:rPr>
          <w:bCs/>
          <w:b/>
        </w:rPr>
        <w:t xml:space="preserve">A</w:t>
      </w:r>
      <w:r>
        <w:t xml:space="preserve">, similar values of error fit in the training and cross-validation data suggest good reproducibility of the optimized models and lack of over-parameterization.</w:t>
      </w:r>
    </w:p>
    <w:bookmarkEnd w:id="28"/>
    <w:bookmarkStart w:id="30" w:name="data-and-code-availability"/>
    <w:p>
      <w:pPr>
        <w:pStyle w:val="Heading2"/>
      </w:pPr>
      <w:r>
        <w:t xml:space="preserve">Data and code availability</w:t>
      </w:r>
    </w:p>
    <w:p>
      <w:pPr>
        <w:pStyle w:val="FirstParagraph"/>
      </w:pPr>
      <w:r>
        <w:t xml:space="preserve">Anonymized local cohort data will be made available upon request to the corresponding author.</w:t>
      </w:r>
      <w:r>
        <w:t xml:space="preserve"> </w:t>
      </w:r>
      <w:r>
        <w:t xml:space="preserve">The INCOV cohort data are publicly available.</w:t>
      </w:r>
      <w:r>
        <w:t xml:space="preserve"> </w:t>
      </w:r>
      <w:r>
        <w:t xml:space="preserve">The study pipeline code is available at</w:t>
      </w:r>
      <w:r>
        <w:t xml:space="preserve"> </w:t>
      </w:r>
      <w:hyperlink r:id="rId29">
        <w:r>
          <w:rPr>
            <w:rStyle w:val="InternetLink"/>
          </w:rPr>
          <w:t xml:space="preserve">https://github.com/PiotrTymoszuk/SIMMUN_validation</w:t>
        </w:r>
      </w:hyperlink>
      <w:r>
        <w:t xml:space="preserve">.</w:t>
      </w:r>
    </w:p>
    <w:p>
      <w:r>
        <w:br w:type="page"/>
      </w:r>
    </w:p>
    <w:bookmarkEnd w:id="30"/>
    <w:bookmarkEnd w:id="31"/>
    <w:bookmarkStart w:id="32" w:name="supplementary-tables"/>
    <w:p>
      <w:pPr>
        <w:pStyle w:val="Heading1"/>
      </w:pPr>
      <w:r>
        <w:t xml:space="preserve">Supplementary Tables</w:t>
      </w:r>
    </w:p>
    <w:p>
      <w:pPr>
        <w:pStyle w:val="TableHeading"/>
      </w:pPr>
      <w:r>
        <w:t xml:space="preserve">Table 1: Number of available samples and sampling timepoints in the INCOV cohort.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268"/>
        <w:gridCol w:w="3402"/>
        <w:gridCol w:w="2268"/>
      </w:tblGrid>
      <w:tr>
        <w:trPr>
          <w:cantSplit/>
          <w:trHeight w:val="360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Time point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Days post infection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Sample number</w:t>
            </w:r>
          </w:p>
        </w:tc>
      </w:tr>
      <w:tr>
        <w:trPr>
          <w:cantSplit/>
          <w:trHeight w:val="360" w:hRule="auto"/>
        </w:trPr>
        body1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healthy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440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acute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 [7.9 - 16]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205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sub-acute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 [12 - 23]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187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recovery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 [53 - 90]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Median with interquartile range, days after symptom onset.</w:t>
            </w:r>
          </w:p>
        </w:tc>
      </w:tr>
    </w:tbl>
    <w:p>
      <w:r>
        <w:br w:type="page"/>
      </w:r>
    </w:p>
    <w:bookmarkEnd w:id="32"/>
    <w:bookmarkStart w:id="48" w:name="supplementary-figures"/>
    <w:p>
      <w:pPr>
        <w:pStyle w:val="Heading1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5943600" cy="4953699"/>
            <wp:effectExtent b="0" l="0" r="0" t="0"/>
            <wp:docPr descr="Figure 1: Serum levels of inflammatory cytokines in course of COVID-19 and recovery, INCOV cohort." title="" id="34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incov-neuro-tc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Serum levels of inflammatory cytokines in course of COVID-19 and recovery, INCOV cohort.</w:t>
      </w:r>
    </w:p>
    <w:p>
      <w:pPr>
        <w:pStyle w:val="TextBody"/>
      </w:pPr>
      <w:r>
        <w:rPr>
          <w:bCs/>
          <w:b/>
        </w:rPr>
        <w:t xml:space="preserve">Supplementary Figure S</w:t>
      </w:r>
      <w:r>
        <w:rPr>
          <w:bCs/>
          <w:b/>
        </w:rPr>
        <w:t xml:space="preserve">1</w:t>
      </w:r>
      <w:r>
        <w:rPr>
          <w:bCs/>
          <w:b/>
        </w:rPr>
        <w:t xml:space="preserve">. Serum levels of inflammatory cytokines in course of COVID-19 and recovery, INCOV cohort.</w:t>
      </w:r>
    </w:p>
    <w:p>
      <w:pPr>
        <w:pStyle w:val="TextBody"/>
      </w:pPr>
      <w:r>
        <w:rPr>
          <w:iCs/>
          <w:i/>
        </w:rPr>
        <w:t xml:space="preserve">Serum levels of interleukin 6 (IL6), interleukin 10 (IL10), tumor necrosis factor alpha (TNF) and interferon-gamma (IFN) in serum of uninfected controls and COVID-19 individuals during acute, sub-acute and recovery phase of the disease in the INCOV cohort. Statistical significance was determined by Kruskal-Wallis test with Benjamini-Hochberg-corrected Mann-Whitney U test. Normalized serum level concentrations are presented in box plots. Points represent single samples. The Kruskal-Wallis test results are indicated in the plot captions. Results of the post-hoc tests are indicated in the plots. Numbers of complete observations are displayed under the plots.</w:t>
      </w:r>
      <w:r>
        <w:rPr>
          <w:iCs/>
          <w:i/>
        </w:rP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2: Association of inflammatory markers with SARS-CoV-2 infection convalescence in the SIMMUN cohort" title="" id="37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hads-cov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Association of inflammatory markers with SARS-CoV-2 infection convalescence in the SIMMUN cohort</w:t>
      </w:r>
    </w:p>
    <w:p>
      <w:pPr>
        <w:pStyle w:val="TextBody"/>
      </w:pPr>
      <w:r>
        <w:rPr>
          <w:bCs/>
          <w:b/>
        </w:rPr>
        <w:t xml:space="preserve">Supplementary Figure S</w:t>
      </w:r>
      <w:r>
        <w:rPr>
          <w:bCs/>
          <w:b/>
        </w:rPr>
        <w:t xml:space="preserve">2</w:t>
      </w:r>
      <w:r>
        <w:rPr>
          <w:bCs/>
          <w:b/>
        </w:rPr>
        <w:t xml:space="preserve">. Association of inflammatory markers with SARS-CoV-2 infection convalescence in the SIMMUN cohort</w:t>
      </w:r>
    </w:p>
    <w:p>
      <w:pPr>
        <w:pStyle w:val="TextBody"/>
      </w:pPr>
      <w:r>
        <w:rPr>
          <w:iCs/>
          <w:i/>
        </w:rPr>
        <w:t xml:space="preserve">Serum levels of interleukin 6 (IL6), C-reactive protein (CRP), neopterin (NEO), and neutrophil-leukocyte ratio (NLR) in the SIMMUN study participants stratified by SARS-CoV-2 infections status. Statistical significance was determined by two-tailed T test. Serum levels are shown in box plots. Points represent single observations. Significance p values are displayed in the plot captions, numbers of complete observations are indicated in the plot X axes.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7264866"/>
            <wp:effectExtent b="0" l="0" r="0" t="0"/>
            <wp:docPr descr="Figure 3: Correlation of aminoacid neurotransmitter precursors and their decay products with age." title="" id="40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age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Correlation of aminoacid neurotransmitter precursors and their decay products with age.</w:t>
      </w:r>
    </w:p>
    <w:p>
      <w:pPr>
        <w:pStyle w:val="TextBody"/>
      </w:pPr>
      <w:r>
        <w:rPr>
          <w:bCs/>
          <w:b/>
        </w:rPr>
        <w:t xml:space="preserve">Supplementary Figure S</w:t>
      </w:r>
      <w:r>
        <w:rPr>
          <w:bCs/>
          <w:b/>
        </w:rPr>
        <w:t xml:space="preserve">3</w:t>
      </w:r>
      <w:r>
        <w:rPr>
          <w:bCs/>
          <w:b/>
        </w:rPr>
        <w:t xml:space="preserve">. Correlation of aminoacid neurotransmitter precursors and their decay products with age.</w:t>
      </w:r>
    </w:p>
    <w:p>
      <w:pPr>
        <w:pStyle w:val="TextBody"/>
      </w:pPr>
      <w:r>
        <w:rPr>
          <w:iCs/>
          <w:i/>
        </w:rPr>
        <w:t xml:space="preserve">Correlation of tryptophan (TRP), kynurenine (KYN), kynurenine/tryptophan ratio (KYN/TRP), phenylalanine (PHE), tyrosine (TYR) and phenylalanine/tyrosine ratio (PHE/TRP) with age in the SIMMUN cohort was investigated by Pearson test. Points represent single observations, blue lines with gray ribbons depict fitted linear trends with 95% confidence intervals. Values of correlation coefficients with 95% confidence intervals, significance and numbers of complete observations are indicated in the plot captions.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4: Levels of aminoacid neurotransmitter precursors and their decay products in females and males." title="" id="43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gender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Levels of aminoacid neurotransmitter precursors and their decay products in females and males.</w:t>
      </w:r>
    </w:p>
    <w:p>
      <w:pPr>
        <w:pStyle w:val="TextBody"/>
      </w:pPr>
      <w:r>
        <w:rPr>
          <w:bCs/>
          <w:b/>
        </w:rPr>
        <w:t xml:space="preserve">Supplementary Figure S</w:t>
      </w:r>
      <w:r>
        <w:rPr>
          <w:bCs/>
          <w:b/>
        </w:rPr>
        <w:t xml:space="preserve">4</w:t>
      </w:r>
      <w:r>
        <w:rPr>
          <w:bCs/>
          <w:b/>
        </w:rPr>
        <w:t xml:space="preserve">. Levels of aminoacid neurotransmitter precursors and their decay products in females and males.</w:t>
      </w:r>
    </w:p>
    <w:p>
      <w:pPr>
        <w:pStyle w:val="TextBody"/>
      </w:pPr>
      <w:r>
        <w:rPr>
          <w:iCs/>
          <w:i/>
        </w:rPr>
        <w:t xml:space="preserve">Serum concentrations of tryptophan (TRP), kynurenine (KYN), kynurenine/tryptophan ratio (KYN/TRP), phenylalanine (PHE), tyrosine (TYR) and phenylalanine/tyrosine ratio (PHE/TRP) in female and male participants of the SIMMUN study. Statistical significance was assessed by two-tailed T test. Serum levels are shown in box plots. Points represent single observations. Significance p values are displayed in the plot captions. Numbers of complete observation are indicated in the plot X axes.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3632433"/>
            <wp:effectExtent b="0" l="0" r="0" t="0"/>
            <wp:docPr descr="Figure 5: Root mean square error and R-squared statistics for multi-parameter linear models of aminoacid neurotransmitter precursors and their decay products in the SIMMUN cohort" title="" id="46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fit-stats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Root mean square error and R-squared statistics for multi-parameter linear models of aminoacid neurotransmitter precursors and their decay products in the SIMMUN cohort</w:t>
      </w:r>
    </w:p>
    <w:p>
      <w:pPr>
        <w:pStyle w:val="TextBody"/>
      </w:pPr>
      <w:r>
        <w:rPr>
          <w:bCs/>
          <w:b/>
        </w:rPr>
        <w:t xml:space="preserve">Supplementary Figure S</w:t>
      </w:r>
      <w:r>
        <w:rPr>
          <w:bCs/>
          <w:b/>
        </w:rPr>
        <w:t xml:space="preserve">5</w:t>
      </w:r>
      <w:r>
        <w:rPr>
          <w:bCs/>
          <w:b/>
        </w:rPr>
        <w:t xml:space="preserve">. Root mean square error and R-squared statistics for multi-parameter linear models of aminoacid neurotransmitter precursors and their decay products in the SIMMUN cohort.</w:t>
      </w:r>
    </w:p>
    <w:p>
      <w:pPr>
        <w:pStyle w:val="TextBody"/>
      </w:pPr>
      <w:r>
        <w:rPr>
          <w:iCs/>
          <w:i/>
        </w:rPr>
        <w:t xml:space="preserve">Multi-parameter linear regression models of serum levels of tryptophan (TRP), kynurenine (KYN), kynurenine/tryptophan ratio (KYN/TRP), phenylalanine (PHE), tyrosine (TYR) and phenylalanine/tyrosine ratio (PHE/TRP) in the SIMMUN models were optimized by backwards elimination and their reproducibility was tested by repeated cross-validation (CV, 50 repeats, 10 folds). Values of root mean square error (RMSE, A) and</w:t>
      </w:r>
      <w:r>
        <w:rPr>
          <w:iCs/>
          <w:i/>
        </w:rP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rPr>
          <w:iCs/>
          <w:i/>
        </w:rPr>
        <w:t xml:space="preserve"> </w:t>
      </w:r>
      <w:r>
        <w:rPr>
          <w:iCs/>
          <w:i/>
        </w:rPr>
        <w:t xml:space="preserve">(B) in the training data set and CV are plotted.</w:t>
      </w:r>
    </w:p>
    <w:p>
      <w:r>
        <w:br w:type="page"/>
      </w:r>
    </w:p>
    <w:bookmarkEnd w:id="48"/>
    <w:bookmarkStart w:id="74" w:name="references"/>
    <w:p>
      <w:pPr>
        <w:pStyle w:val="Heading1"/>
      </w:pPr>
      <w:r>
        <w:t xml:space="preserve">References</w:t>
      </w:r>
    </w:p>
    <w:bookmarkStart w:id="73" w:name="refs"/>
    <w:bookmarkStart w:id="50" w:name="ref-Wickham2019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Wickham H, Averick M, Bryan J, Chang W, McGowan L, François R, Grolemund G, Hayes A, Henry L, Hester J, et al.</w:t>
      </w:r>
      <w:r>
        <w:t xml:space="preserve"> </w:t>
      </w:r>
      <w:r>
        <w:t xml:space="preserve">Welcome to the Tidyverse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Open Source Software</w:t>
      </w:r>
      <w:r>
        <w:t xml:space="preserve"> (2019) 4:1686. doi:</w:t>
      </w:r>
      <w:r>
        <w:t xml:space="preserve"> </w:t>
      </w:r>
      <w:hyperlink r:id="rId49">
        <w:r>
          <w:rPr>
            <w:rStyle w:val="InternetLink"/>
          </w:rPr>
          <w:t xml:space="preserve">10.21105/joss.01686</w:t>
        </w:r>
      </w:hyperlink>
    </w:p>
    <w:bookmarkEnd w:id="50"/>
    <w:bookmarkStart w:id="52" w:name="ref-Henry202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Henry L, Wickham Hadley.</w:t>
      </w:r>
      <w:r>
        <w:t xml:space="preserve"> </w:t>
      </w:r>
      <w:r>
        <w:t xml:space="preserve">rlang: Functions for Base Types and Core R and ’Tidyverse’ Features</w:t>
      </w:r>
      <w:r>
        <w:t xml:space="preserve">. (2022)</w:t>
      </w:r>
      <w:r>
        <w:t xml:space="preserve"> </w:t>
      </w:r>
      <w:hyperlink r:id="rId51">
        <w:r>
          <w:rPr>
            <w:rStyle w:val="InternetLink"/>
          </w:rPr>
          <w:t xml:space="preserve">https://cran.r-project.org/web/packages/rlang/index.html</w:t>
        </w:r>
      </w:hyperlink>
    </w:p>
    <w:bookmarkEnd w:id="52"/>
    <w:bookmarkStart w:id="54" w:name="ref-Kassambara2021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Kassambara A.</w:t>
      </w:r>
      <w:r>
        <w:t xml:space="preserve"> </w:t>
      </w:r>
      <w:r>
        <w:t xml:space="preserve">rstatix: Pipe-Friendly Framework for Basic Statistical Tests</w:t>
      </w:r>
      <w:r>
        <w:t xml:space="preserve">. (2021)</w:t>
      </w:r>
      <w:r>
        <w:t xml:space="preserve"> </w:t>
      </w:r>
      <w:hyperlink r:id="rId53">
        <w:r>
          <w:rPr>
            <w:rStyle w:val="InternetLink"/>
          </w:rPr>
          <w:t xml:space="preserve">https://cran.r-project.org/package=rstatix</w:t>
        </w:r>
      </w:hyperlink>
    </w:p>
    <w:bookmarkEnd w:id="54"/>
    <w:bookmarkStart w:id="56" w:name="ref-Kassambara2020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Kassambara A.</w:t>
      </w:r>
      <w:r>
        <w:t xml:space="preserve"> </w:t>
      </w:r>
      <w:r>
        <w:t xml:space="preserve">ggpubr: ’ggplot2’ Based Publication Ready Plots</w:t>
      </w:r>
      <w:r>
        <w:t xml:space="preserve">. (2020)</w:t>
      </w:r>
      <w:r>
        <w:t xml:space="preserve"> </w:t>
      </w:r>
      <w:hyperlink r:id="rId55">
        <w:r>
          <w:rPr>
            <w:rStyle w:val="InternetLink"/>
          </w:rPr>
          <w:t xml:space="preserve">https://cran.r-project.org/web/packages/ggpubr/index.html</w:t>
        </w:r>
      </w:hyperlink>
    </w:p>
    <w:bookmarkEnd w:id="56"/>
    <w:bookmarkStart w:id="58" w:name="ref-Kuhn2008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Kuhn M.</w:t>
      </w:r>
      <w:r>
        <w:t xml:space="preserve"> </w:t>
      </w:r>
      <w:r>
        <w:t xml:space="preserve">Building predictive models in R using the caret package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Statistical Software</w:t>
      </w:r>
      <w:r>
        <w:t xml:space="preserve"> (2008) 28:1–26. doi:</w:t>
      </w:r>
      <w:r>
        <w:t xml:space="preserve"> </w:t>
      </w:r>
      <w:hyperlink r:id="rId57">
        <w:r>
          <w:rPr>
            <w:rStyle w:val="InternetLink"/>
          </w:rPr>
          <w:t xml:space="preserve">10.18637/jss.v028.i05</w:t>
        </w:r>
      </w:hyperlink>
    </w:p>
    <w:bookmarkEnd w:id="58"/>
    <w:bookmarkStart w:id="60" w:name="ref-Wickham201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Wickham Hadley.</w:t>
      </w:r>
      <w:r>
        <w:t xml:space="preserve"> </w:t>
      </w:r>
      <w:r>
        <w:rPr>
          <w:iCs/>
          <w:i/>
        </w:rPr>
        <w:t xml:space="preserve">ggplot2: Elegant Graphics for Data Analysis</w:t>
      </w:r>
      <w:r>
        <w:t xml:space="preserve">. 1st ed. New York: Springer-Verlag (2016).</w:t>
      </w:r>
      <w:r>
        <w:t xml:space="preserve"> </w:t>
      </w:r>
      <w:hyperlink r:id="rId59">
        <w:r>
          <w:rPr>
            <w:rStyle w:val="InternetLink"/>
          </w:rPr>
          <w:t xml:space="preserve">https://ggplot2.tidyverse.org</w:t>
        </w:r>
      </w:hyperlink>
    </w:p>
    <w:bookmarkEnd w:id="60"/>
    <w:bookmarkStart w:id="61" w:name="ref-Wilke2019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Wilke CO.</w:t>
      </w:r>
      <w:r>
        <w:t xml:space="preserve"> </w:t>
      </w:r>
      <w:r>
        <w:rPr>
          <w:iCs/>
          <w:i/>
        </w:rPr>
        <w:t xml:space="preserve">Fundamentals of Data Visualization: A Primer on Making Informative and Compelling Figures</w:t>
      </w:r>
      <w:r>
        <w:t xml:space="preserve">. 1st ed. Sebastopol: O’Reilly Media (2019).</w:t>
      </w:r>
    </w:p>
    <w:bookmarkEnd w:id="61"/>
    <w:bookmarkStart w:id="63" w:name="ref-Gohel2022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Gohel D.</w:t>
      </w:r>
      <w:r>
        <w:t xml:space="preserve"> </w:t>
      </w:r>
      <w:r>
        <w:t xml:space="preserve">flextable: Functions for Tabular Reporting</w:t>
      </w:r>
      <w:r>
        <w:t xml:space="preserve">. (2022)</w:t>
      </w:r>
      <w:r>
        <w:t xml:space="preserve"> </w:t>
      </w:r>
      <w:hyperlink r:id="rId62">
        <w:r>
          <w:rPr>
            <w:rStyle w:val="InternetLink"/>
          </w:rPr>
          <w:t xml:space="preserve">https://cran.r-project.org/web/packages/flextable/index.html</w:t>
        </w:r>
      </w:hyperlink>
    </w:p>
    <w:bookmarkEnd w:id="63"/>
    <w:bookmarkStart w:id="65" w:name="ref-Allaire2022"/>
    <w:p>
      <w:pPr>
        <w:pStyle w:val="Bibliography"/>
      </w:pPr>
      <w:r>
        <w:t xml:space="preserve">9.</w:t>
      </w:r>
      <w:r>
        <w:t xml:space="preserve"> </w:t>
      </w:r>
      <w:r>
        <w:t xml:space="preserve">	</w:t>
      </w:r>
      <w:r>
        <w:t xml:space="preserve">Allaire J, Xie Y, McPherson J, Luraschi J, Ushey K, Atkins A, Wickham H, Cheng J.</w:t>
      </w:r>
      <w:r>
        <w:t xml:space="preserve"> </w:t>
      </w:r>
      <w:r>
        <w:t xml:space="preserve">rmarkdown: Dynamic Documents for R</w:t>
      </w:r>
      <w:r>
        <w:t xml:space="preserve">. (2022)</w:t>
      </w:r>
      <w:r>
        <w:t xml:space="preserve"> </w:t>
      </w:r>
      <w:hyperlink r:id="rId64">
        <w:r>
          <w:rPr>
            <w:rStyle w:val="InternetLink"/>
          </w:rPr>
          <w:t xml:space="preserve">https://cran.r-project.org/web/packages/rmarkdown/index.html</w:t>
        </w:r>
      </w:hyperlink>
    </w:p>
    <w:bookmarkEnd w:id="65"/>
    <w:bookmarkStart w:id="67" w:name="ref-Xie2022"/>
    <w:p>
      <w:pPr>
        <w:pStyle w:val="Bibliography"/>
      </w:pPr>
      <w:r>
        <w:t xml:space="preserve">10.</w:t>
      </w:r>
      <w:r>
        <w:t xml:space="preserve"> </w:t>
      </w:r>
      <w:r>
        <w:t xml:space="preserve">	</w:t>
      </w:r>
      <w:r>
        <w:t xml:space="preserve">Xie Y.</w:t>
      </w:r>
      <w:r>
        <w:t xml:space="preserve"> </w:t>
      </w:r>
      <w:r>
        <w:t xml:space="preserve">knitr: A General-Purpose Package for Dynamic Report Generation in R</w:t>
      </w:r>
      <w:r>
        <w:t xml:space="preserve">. (2022)</w:t>
      </w:r>
      <w:r>
        <w:t xml:space="preserve"> </w:t>
      </w:r>
      <w:hyperlink r:id="rId66">
        <w:r>
          <w:rPr>
            <w:rStyle w:val="InternetLink"/>
          </w:rPr>
          <w:t xml:space="preserve">https://cran.r-project.org/web/packages/knitr/index.html</w:t>
        </w:r>
      </w:hyperlink>
    </w:p>
    <w:bookmarkEnd w:id="67"/>
    <w:bookmarkStart w:id="68" w:name="ref-Xie2016"/>
    <w:p>
      <w:pPr>
        <w:pStyle w:val="Bibliography"/>
      </w:pPr>
      <w:r>
        <w:t xml:space="preserve">11.</w:t>
      </w:r>
      <w:r>
        <w:t xml:space="preserve"> </w:t>
      </w:r>
      <w:r>
        <w:t xml:space="preserve">	</w:t>
      </w:r>
      <w:r>
        <w:t xml:space="preserve">Xie Y.</w:t>
      </w:r>
      <w:r>
        <w:t xml:space="preserve"> </w:t>
      </w:r>
      <w:r>
        <w:rPr>
          <w:iCs/>
          <w:i/>
        </w:rPr>
        <w:t xml:space="preserve">Bookdown : authoring books and technical documents with R Markdown</w:t>
      </w:r>
      <w:r>
        <w:t xml:space="preserve">. (2016).</w:t>
      </w:r>
    </w:p>
    <w:bookmarkEnd w:id="68"/>
    <w:bookmarkStart w:id="70" w:name="ref-Su2022"/>
    <w:p>
      <w:pPr>
        <w:pStyle w:val="Bibliography"/>
      </w:pPr>
      <w:r>
        <w:t xml:space="preserve">12.</w:t>
      </w:r>
      <w:r>
        <w:t xml:space="preserve"> </w:t>
      </w:r>
      <w:r>
        <w:t xml:space="preserve">	</w:t>
      </w:r>
      <w:r>
        <w:t xml:space="preserve">Su Y, Yuan D, Chen DG, Ng RH, Wang K, Choi J, Li S, Hong S, Zhang R, Xie J, et al.</w:t>
      </w:r>
      <w:r>
        <w:t xml:space="preserve"> </w:t>
      </w:r>
      <w:r>
        <w:t xml:space="preserve">Multiple early factors anticipate post-acute COVID-19 sequelae</w:t>
      </w:r>
      <w:r>
        <w:t xml:space="preserve">.</w:t>
      </w:r>
      <w:r>
        <w:t xml:space="preserve"> </w:t>
      </w:r>
      <w:r>
        <w:rPr>
          <w:iCs/>
          <w:i/>
        </w:rPr>
        <w:t xml:space="preserve">Cell</w:t>
      </w:r>
      <w:r>
        <w:t xml:space="preserve"> (2022) 185:881–895.e20. doi:</w:t>
      </w:r>
      <w:r>
        <w:t xml:space="preserve"> </w:t>
      </w:r>
      <w:hyperlink r:id="rId69">
        <w:r>
          <w:rPr>
            <w:rStyle w:val="InternetLink"/>
          </w:rPr>
          <w:t xml:space="preserve">10.1016/J.CELL.2022.01.014</w:t>
        </w:r>
      </w:hyperlink>
    </w:p>
    <w:bookmarkEnd w:id="70"/>
    <w:bookmarkStart w:id="72" w:name="ref-Benjamini1995"/>
    <w:p>
      <w:pPr>
        <w:pStyle w:val="Bibliography"/>
      </w:pPr>
      <w:r>
        <w:t xml:space="preserve">13.</w:t>
      </w:r>
      <w:r>
        <w:t xml:space="preserve"> </w:t>
      </w:r>
      <w:r>
        <w:t xml:space="preserve">	</w:t>
      </w:r>
      <w:r>
        <w:t xml:space="preserve">Benjamini Y, Hochberg Y.</w:t>
      </w:r>
      <w:r>
        <w:t xml:space="preserve"> </w:t>
      </w:r>
      <w:r>
        <w:t xml:space="preserve">Controlling the False Discovery Rate: A Practical and Powerful Approach to Multiple Testing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the Royal Statistical Society: Series B (Methodological)</w:t>
      </w:r>
      <w:r>
        <w:t xml:space="preserve"> (1995) 57:289–300. doi:</w:t>
      </w:r>
      <w:r>
        <w:t xml:space="preserve"> </w:t>
      </w:r>
      <w:hyperlink r:id="rId71">
        <w:r>
          <w:rPr>
            <w:rStyle w:val="InternetLink"/>
          </w:rPr>
          <w:t xml:space="preserve">10.1111/j.2517-6161.1995.tb02031.x</w:t>
        </w:r>
      </w:hyperlink>
    </w:p>
    <w:bookmarkEnd w:id="72"/>
    <w:bookmarkEnd w:id="73"/>
    <w:bookmarkEnd w:id="74"/>
    <w:sectPr>
      <w:footerReference r:id="rId9" w:type="default"/>
      <w:footnotePr>
        <w:numFmt w:val="decimal"/>
      </w:footnotePr>
      <w:type w:val="nextPage"/>
      <w:pgSz w:h="15840" w:w="12240"/>
      <w:pgMar w:bottom="2204" w:footer="144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20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202" w:before="475" w:line="360" w:lineRule="auto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customStyle="1" w:styleId="KeywordTok" w:type="character">
    <w:name w:val="KeywordTok"/>
    <w:basedOn w:val="VerbatimChar"/>
    <w:qFormat/>
    <w:rPr>
      <w:b/>
      <w:color w:val="204A87"/>
      <w:shd w:fill="F8F8F8" w:val="clear"/>
    </w:rPr>
  </w:style>
  <w:style w:customStyle="1" w:styleId="DataTypeTok" w:type="character">
    <w:name w:val="DataTypeTok"/>
    <w:basedOn w:val="VerbatimChar"/>
    <w:qFormat/>
    <w:rPr>
      <w:color w:val="204A87"/>
      <w:shd w:fill="F8F8F8" w:val="clear"/>
    </w:rPr>
  </w:style>
  <w:style w:customStyle="1" w:styleId="DecValTok" w:type="character">
    <w:name w:val="DecValTok"/>
    <w:basedOn w:val="VerbatimChar"/>
    <w:qFormat/>
    <w:rPr>
      <w:color w:val="0000CF"/>
      <w:shd w:fill="F8F8F8" w:val="clear"/>
    </w:rPr>
  </w:style>
  <w:style w:customStyle="1" w:styleId="BaseNTok" w:type="character">
    <w:name w:val="BaseNTok"/>
    <w:basedOn w:val="VerbatimChar"/>
    <w:qFormat/>
    <w:rPr>
      <w:color w:val="0000CF"/>
      <w:shd w:fill="F8F8F8" w:val="clear"/>
    </w:rPr>
  </w:style>
  <w:style w:customStyle="1" w:styleId="FloatTok" w:type="character">
    <w:name w:val="FloatTok"/>
    <w:basedOn w:val="VerbatimChar"/>
    <w:qFormat/>
    <w:rPr>
      <w:color w:val="0000CF"/>
      <w:shd w:fill="F8F8F8" w:val="clear"/>
    </w:rPr>
  </w:style>
  <w:style w:customStyle="1" w:styleId="ConstantTok" w:type="character">
    <w:name w:val="ConstantTok"/>
    <w:basedOn w:val="VerbatimChar"/>
    <w:qFormat/>
    <w:rPr>
      <w:color w:val="000000"/>
      <w:shd w:fill="F8F8F8" w:val="clear"/>
    </w:rPr>
  </w:style>
  <w:style w:customStyle="1" w:styleId="CharTok" w:type="character">
    <w:name w:val="CharTok"/>
    <w:basedOn w:val="VerbatimChar"/>
    <w:qFormat/>
    <w:rPr>
      <w:color w:val="4E9A06"/>
      <w:shd w:fill="F8F8F8" w:val="clear"/>
    </w:rPr>
  </w:style>
  <w:style w:customStyle="1" w:styleId="SpecialCharTok" w:type="character">
    <w:name w:val="SpecialCharTok"/>
    <w:basedOn w:val="VerbatimChar"/>
    <w:qFormat/>
    <w:rPr>
      <w:color w:val="000000"/>
      <w:shd w:fill="F8F8F8" w:val="clear"/>
    </w:rPr>
  </w:style>
  <w:style w:customStyle="1" w:styleId="StringTok" w:type="character">
    <w:name w:val="StringTok"/>
    <w:basedOn w:val="VerbatimChar"/>
    <w:qFormat/>
    <w:rPr>
      <w:color w:val="4E9A06"/>
      <w:shd w:fill="F8F8F8" w:val="clear"/>
    </w:rPr>
  </w:style>
  <w:style w:customStyle="1" w:styleId="VerbatimStringTok" w:type="character">
    <w:name w:val="VerbatimStringTok"/>
    <w:basedOn w:val="VerbatimChar"/>
    <w:qFormat/>
    <w:rPr>
      <w:color w:val="4E9A06"/>
      <w:shd w:fill="F8F8F8" w:val="clear"/>
    </w:rPr>
  </w:style>
  <w:style w:customStyle="1" w:styleId="SpecialStringTok" w:type="character">
    <w:name w:val="SpecialStringTok"/>
    <w:basedOn w:val="VerbatimChar"/>
    <w:qFormat/>
    <w:rPr>
      <w:color w:val="4E9A06"/>
      <w:shd w:fill="F8F8F8" w:val="clear"/>
    </w:rPr>
  </w:style>
  <w:style w:customStyle="1" w:styleId="ImportTok" w:type="character">
    <w:name w:val="ImportTok"/>
    <w:basedOn w:val="VerbatimChar"/>
    <w:qFormat/>
    <w:rPr>
      <w:shd w:fill="F8F8F8" w:val="clear"/>
    </w:rPr>
  </w:style>
  <w:style w:customStyle="1" w:styleId="CommentTok" w:type="character">
    <w:name w:val="CommentTok"/>
    <w:basedOn w:val="VerbatimChar"/>
    <w:qFormat/>
    <w:rPr>
      <w:i/>
      <w:color w:val="8F5902"/>
      <w:shd w:fill="F8F8F8" w:val="clear"/>
    </w:rPr>
  </w:style>
  <w:style w:customStyle="1" w:styleId="DocumentationTok" w:type="character">
    <w:name w:val="DocumentationTok"/>
    <w:basedOn w:val="VerbatimChar"/>
    <w:qFormat/>
    <w:rPr>
      <w:b/>
      <w:i/>
      <w:color w:val="8F5902"/>
      <w:shd w:fill="F8F8F8" w:val="clear"/>
    </w:rPr>
  </w:style>
  <w:style w:customStyle="1" w:styleId="AnnotationTok" w:type="character">
    <w:name w:val="AnnotationTok"/>
    <w:basedOn w:val="VerbatimChar"/>
    <w:qFormat/>
    <w:rPr>
      <w:b/>
      <w:i/>
      <w:color w:val="8F5902"/>
      <w:shd w:fill="F8F8F8" w:val="clear"/>
    </w:rPr>
  </w:style>
  <w:style w:customStyle="1" w:styleId="CommentVarTok" w:type="character">
    <w:name w:val="CommentVarTok"/>
    <w:basedOn w:val="VerbatimChar"/>
    <w:qFormat/>
    <w:rPr>
      <w:b/>
      <w:i/>
      <w:color w:val="8F5902"/>
      <w:shd w:fill="F8F8F8" w:val="clear"/>
    </w:rPr>
  </w:style>
  <w:style w:customStyle="1" w:styleId="OtherTok" w:type="character">
    <w:name w:val="OtherTok"/>
    <w:basedOn w:val="VerbatimChar"/>
    <w:qFormat/>
    <w:rPr>
      <w:color w:val="8F5902"/>
      <w:shd w:fill="F8F8F8" w:val="clear"/>
    </w:rPr>
  </w:style>
  <w:style w:customStyle="1" w:styleId="FunctionTok" w:type="character">
    <w:name w:val="FunctionTok"/>
    <w:basedOn w:val="VerbatimChar"/>
    <w:qFormat/>
    <w:rPr>
      <w:color w:val="000000"/>
      <w:shd w:fill="F8F8F8" w:val="clear"/>
    </w:rPr>
  </w:style>
  <w:style w:customStyle="1" w:styleId="VariableTok" w:type="character">
    <w:name w:val="VariableTok"/>
    <w:basedOn w:val="VerbatimChar"/>
    <w:qFormat/>
    <w:rPr>
      <w:color w:val="000000"/>
      <w:shd w:fill="F8F8F8" w:val="clear"/>
    </w:rPr>
  </w:style>
  <w:style w:customStyle="1" w:styleId="ControlFlowTok" w:type="character">
    <w:name w:val="ControlFlowTok"/>
    <w:basedOn w:val="VerbatimChar"/>
    <w:qFormat/>
    <w:rPr>
      <w:b/>
      <w:color w:val="204A87"/>
      <w:shd w:fill="F8F8F8" w:val="clear"/>
    </w:rPr>
  </w:style>
  <w:style w:customStyle="1" w:styleId="OperatorTok" w:type="character">
    <w:name w:val="OperatorTok"/>
    <w:basedOn w:val="VerbatimChar"/>
    <w:qFormat/>
    <w:rPr>
      <w:b/>
      <w:color w:val="CE5C00"/>
      <w:shd w:fill="F8F8F8" w:val="clear"/>
    </w:rPr>
  </w:style>
  <w:style w:customStyle="1" w:styleId="BuiltInTok" w:type="character">
    <w:name w:val="BuiltInTok"/>
    <w:basedOn w:val="VerbatimChar"/>
    <w:qFormat/>
    <w:rPr>
      <w:shd w:fill="F8F8F8" w:val="clear"/>
    </w:rPr>
  </w:style>
  <w:style w:customStyle="1" w:styleId="ExtensionTok" w:type="character">
    <w:name w:val="ExtensionTok"/>
    <w:basedOn w:val="VerbatimChar"/>
    <w:qFormat/>
    <w:rPr>
      <w:shd w:fill="F8F8F8" w:val="clear"/>
    </w:rPr>
  </w:style>
  <w:style w:customStyle="1" w:styleId="PreprocessorTok" w:type="character">
    <w:name w:val="PreprocessorTok"/>
    <w:basedOn w:val="VerbatimChar"/>
    <w:qFormat/>
    <w:rPr>
      <w:i/>
      <w:color w:val="8F5902"/>
      <w:shd w:fill="F8F8F8" w:val="clear"/>
    </w:rPr>
  </w:style>
  <w:style w:customStyle="1" w:styleId="AttributeTok" w:type="character">
    <w:name w:val="AttributeTok"/>
    <w:basedOn w:val="VerbatimChar"/>
    <w:qFormat/>
    <w:rPr>
      <w:color w:val="C4A000"/>
      <w:shd w:fill="F8F8F8" w:val="clear"/>
    </w:rPr>
  </w:style>
  <w:style w:customStyle="1" w:styleId="RegionMarkerTok" w:type="character">
    <w:name w:val="RegionMarkerTok"/>
    <w:basedOn w:val="VerbatimChar"/>
    <w:qFormat/>
    <w:rPr>
      <w:shd w:fill="F8F8F8" w:val="clear"/>
    </w:rPr>
  </w:style>
  <w:style w:customStyle="1" w:styleId="InformationTok" w:type="character">
    <w:name w:val="InformationTok"/>
    <w:basedOn w:val="VerbatimChar"/>
    <w:qFormat/>
    <w:rPr>
      <w:b/>
      <w:i/>
      <w:color w:val="8F5902"/>
      <w:shd w:fill="F8F8F8" w:val="clear"/>
    </w:rPr>
  </w:style>
  <w:style w:customStyle="1" w:styleId="WarningTok" w:type="character">
    <w:name w:val="WarningTok"/>
    <w:basedOn w:val="VerbatimChar"/>
    <w:qFormat/>
    <w:rPr>
      <w:b/>
      <w:i/>
      <w:color w:val="8F5902"/>
      <w:shd w:fill="F8F8F8" w:val="clear"/>
    </w:rPr>
  </w:style>
  <w:style w:customStyle="1" w:styleId="AlertTok" w:type="character">
    <w:name w:val="AlertTok"/>
    <w:basedOn w:val="VerbatimChar"/>
    <w:qFormat/>
    <w:rPr>
      <w:color w:val="EF2929"/>
      <w:shd w:fill="F8F8F8" w:val="clear"/>
    </w:rPr>
  </w:style>
  <w:style w:customStyle="1" w:styleId="ErrorTok" w:type="character">
    <w:name w:val="ErrorTok"/>
    <w:basedOn w:val="VerbatimChar"/>
    <w:qFormat/>
    <w:rPr>
      <w:b/>
      <w:color w:val="A40000"/>
      <w:shd w:fill="F8F8F8" w:val="clear"/>
    </w:rPr>
  </w:style>
  <w:style w:customStyle="1" w:styleId="NormalTok" w:type="character">
    <w:name w:val="NormalTok"/>
    <w:basedOn w:val="VerbatimChar"/>
    <w:qFormat/>
    <w:rPr>
      <w:shd w:fill="F8F8F8" w:val="clear"/>
    </w:rPr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Revision" w:type="character">
    <w:name w:val="revision"/>
    <w:qFormat/>
    <w:rPr>
      <w:color w:val="C9211E"/>
    </w:rPr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TextBody"/>
    <w:pPr/>
    <w:rPr>
      <w:rFonts w:cs="Arial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Arial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spacing w:after="36" w:before="36"/>
    </w:pPr>
    <w:rPr/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/>
    </w:pPr>
    <w:rPr>
      <w:rFonts w:ascii="Calibri" w:asciiTheme="majorHAnsi" w:cs="" w:cstheme="majorBidi" w:eastAsia="" w:eastAsiaTheme="majorEastAsia" w:hAnsi="Calibri" w:hAnsiTheme="majorHAnsi"/>
      <w:bCs/>
      <w:sz w:val="20"/>
      <w:szCs w:val="20"/>
    </w:rPr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pPr>
      <w:shd w:fill="F8F8F8" w:val="clear"/>
    </w:pPr>
    <w:rPr/>
  </w:style>
  <w:style w:styleId="HeaderandFooter" w:type="paragraph">
    <w:name w:val="Header and Footer"/>
    <w:basedOn w:val="Normal"/>
    <w:qFormat/>
    <w:pPr>
      <w:suppressLineNumbers/>
      <w:tabs>
        <w:tab w:pos="720" w:val="clear"/>
        <w:tab w:leader="none" w:pos="4680" w:val="center"/>
        <w:tab w:leader="none" w:pos="9360" w:val="right"/>
      </w:tabs>
    </w:pPr>
    <w:rPr/>
  </w:style>
  <w:style w:styleId="Footer" w:type="paragraph">
    <w:name w:val="Footer"/>
    <w:basedOn w:val="HeaderandFooter"/>
    <w:pPr>
      <w:suppressLineNumbers/>
    </w:pPr>
    <w:rPr/>
  </w:style>
  <w:style w:styleId="TableContents" w:type="paragraph">
    <w:name w:val="Table Contents"/>
    <w:basedOn w:val="Normal"/>
    <w:qFormat/>
    <w:pPr>
      <w:widowControl w:val="false"/>
      <w:suppressLineNumbers/>
    </w:pPr>
    <w:rPr/>
  </w:style>
  <w:style w:styleId="TableHeading" w:type="paragraph">
    <w:name w:val="Table Heading"/>
    <w:basedOn w:val="TableContents"/>
    <w:qFormat/>
    <w:pPr>
      <w:suppressLineNumbers/>
      <w:jc w:val="left"/>
    </w:pPr>
    <w:rPr>
      <w:b/>
      <w:bCs/>
      <w:i/>
      <w:iCs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hyperlink" Id="rId53" Target="https://cran.r-project.org/package=rstatix" TargetMode="External" /><Relationship Type="http://schemas.openxmlformats.org/officeDocument/2006/relationships/hyperlink" Id="rId62" Target="https://cran.r-project.org/web/packages/flextable/index.html" TargetMode="External" /><Relationship Type="http://schemas.openxmlformats.org/officeDocument/2006/relationships/hyperlink" Id="rId55" Target="https://cran.r-project.org/web/packages/ggpubr/index.html" TargetMode="External" /><Relationship Type="http://schemas.openxmlformats.org/officeDocument/2006/relationships/hyperlink" Id="rId66" Target="https://cran.r-project.org/web/packages/knitr/index.html" TargetMode="External" /><Relationship Type="http://schemas.openxmlformats.org/officeDocument/2006/relationships/hyperlink" Id="rId51" Target="https://cran.r-project.org/web/packages/rlang/index.html" TargetMode="External" /><Relationship Type="http://schemas.openxmlformats.org/officeDocument/2006/relationships/hyperlink" Id="rId64" Target="https://cran.r-project.org/web/packages/rmarkdown/index.html" TargetMode="External" /><Relationship Type="http://schemas.openxmlformats.org/officeDocument/2006/relationships/hyperlink" Id="rId69" Target="https://doi.org/10.1016/J.CELL.2022.01.014" TargetMode="External" /><Relationship Type="http://schemas.openxmlformats.org/officeDocument/2006/relationships/hyperlink" Id="rId71" Target="https://doi.org/10.1111/j.2517-6161.1995.tb02031.x" TargetMode="External" /><Relationship Type="http://schemas.openxmlformats.org/officeDocument/2006/relationships/hyperlink" Id="rId57" Target="https://doi.org/10.18637/jss.v028.i05" TargetMode="External" /><Relationship Type="http://schemas.openxmlformats.org/officeDocument/2006/relationships/hyperlink" Id="rId49" Target="https://doi.org/10.21105/joss.01686" TargetMode="External" /><Relationship Type="http://schemas.openxmlformats.org/officeDocument/2006/relationships/hyperlink" Id="rId59" Target="https://ggplot2.tidyverse.org" TargetMode="External" /><Relationship Type="http://schemas.openxmlformats.org/officeDocument/2006/relationships/hyperlink" Id="rId21" Target="https://github.com/PiotrTymoszuk/ExDA" TargetMode="External" /><Relationship Type="http://schemas.openxmlformats.org/officeDocument/2006/relationships/hyperlink" Id="rId29" Target="https://github.com/PiotrTymoszuk/SIMMUN_validation" TargetMode="External" /><Relationship Type="http://schemas.openxmlformats.org/officeDocument/2006/relationships/hyperlink" Id="rId23" Target="https://github.com/PiotrTymoszuk/caretExtra" TargetMode="External" /><Relationship Type="http://schemas.openxmlformats.org/officeDocument/2006/relationships/hyperlink" Id="rId22" Target="https://github.com/PiotrTymoszuk/lmqc" TargetMode="External" /><Relationship Type="http://schemas.openxmlformats.org/officeDocument/2006/relationships/hyperlink" Id="rId20" Target="https://github.com/PiotrTymoszuk/traf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cran.r-project.org/package=rstatix" TargetMode="External" /><Relationship Type="http://schemas.openxmlformats.org/officeDocument/2006/relationships/hyperlink" Id="rId62" Target="https://cran.r-project.org/web/packages/flextable/index.html" TargetMode="External" /><Relationship Type="http://schemas.openxmlformats.org/officeDocument/2006/relationships/hyperlink" Id="rId55" Target="https://cran.r-project.org/web/packages/ggpubr/index.html" TargetMode="External" /><Relationship Type="http://schemas.openxmlformats.org/officeDocument/2006/relationships/hyperlink" Id="rId66" Target="https://cran.r-project.org/web/packages/knitr/index.html" TargetMode="External" /><Relationship Type="http://schemas.openxmlformats.org/officeDocument/2006/relationships/hyperlink" Id="rId51" Target="https://cran.r-project.org/web/packages/rlang/index.html" TargetMode="External" /><Relationship Type="http://schemas.openxmlformats.org/officeDocument/2006/relationships/hyperlink" Id="rId64" Target="https://cran.r-project.org/web/packages/rmarkdown/index.html" TargetMode="External" /><Relationship Type="http://schemas.openxmlformats.org/officeDocument/2006/relationships/hyperlink" Id="rId69" Target="https://doi.org/10.1016/J.CELL.2022.01.014" TargetMode="External" /><Relationship Type="http://schemas.openxmlformats.org/officeDocument/2006/relationships/hyperlink" Id="rId71" Target="https://doi.org/10.1111/j.2517-6161.1995.tb02031.x" TargetMode="External" /><Relationship Type="http://schemas.openxmlformats.org/officeDocument/2006/relationships/hyperlink" Id="rId57" Target="https://doi.org/10.18637/jss.v028.i05" TargetMode="External" /><Relationship Type="http://schemas.openxmlformats.org/officeDocument/2006/relationships/hyperlink" Id="rId49" Target="https://doi.org/10.21105/joss.01686" TargetMode="External" /><Relationship Type="http://schemas.openxmlformats.org/officeDocument/2006/relationships/hyperlink" Id="rId59" Target="https://ggplot2.tidyverse.org" TargetMode="External" /><Relationship Type="http://schemas.openxmlformats.org/officeDocument/2006/relationships/hyperlink" Id="rId21" Target="https://github.com/PiotrTymoszuk/ExDA" TargetMode="External" /><Relationship Type="http://schemas.openxmlformats.org/officeDocument/2006/relationships/hyperlink" Id="rId29" Target="https://github.com/PiotrTymoszuk/SIMMUN_validation" TargetMode="External" /><Relationship Type="http://schemas.openxmlformats.org/officeDocument/2006/relationships/hyperlink" Id="rId23" Target="https://github.com/PiotrTymoszuk/caretExtra" TargetMode="External" /><Relationship Type="http://schemas.openxmlformats.org/officeDocument/2006/relationships/hyperlink" Id="rId22" Target="https://github.com/PiotrTymoszuk/lmqc" TargetMode="External" /><Relationship Type="http://schemas.openxmlformats.org/officeDocument/2006/relationships/hyperlink" Id="rId20" Target="https://github.com/PiotrTymoszuk/traf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LibreOffice/7.0.5.2$Windows_X86_64 LibreOffice_project/64390860c6cd0aca4beafafcfd84613dd9dfb63a</Application>
  <AppVersion>15.0000</AppVersion>
  <Pages>2</Pages>
  <Words>365</Words>
  <Characters>2349</Characters>
  <CharactersWithSpaces>2696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Persistent low-grade inflammation, SARS-CoV-2 infection and mental health deterioration signs impact on systemic levels of aminoacid neurotransmitter precursors</dc:title>
  <dc:creator>PSY Team</dc:creator>
  <cp:keywords/>
  <dcterms:created xsi:type="dcterms:W3CDTF">2023-02-15T08:26:17Z</dcterms:created>
  <dcterms:modified xsi:type="dcterms:W3CDTF">2023-02-15T08:26:17Z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infl_biblio.bib</vt:lpwstr>
  </property>
  <property fmtid="{D5CDD505-2E9C-101B-9397-08002B2CF9AE}" pid="3" name="csl">
    <vt:lpwstr>frontiers-in-immunology.csl</vt:lpwstr>
  </property>
  <property fmtid="{D5CDD505-2E9C-101B-9397-08002B2CF9AE}" pid="4" name="date">
    <vt:lpwstr>2023-02-15</vt:lpwstr>
  </property>
  <property fmtid="{D5CDD505-2E9C-101B-9397-08002B2CF9AE}" pid="5" name="header-includes">
    <vt:lpwstr>  </vt:lpwstr>
  </property>
  <property fmtid="{D5CDD505-2E9C-101B-9397-08002B2CF9AE}" pid="6" name="output">
    <vt:lpwstr/>
  </property>
  <property fmtid="{D5CDD505-2E9C-101B-9397-08002B2CF9AE}" pid="7" name="subtitle">
    <vt:lpwstr>Supplementary Material</vt:lpwstr>
  </property>
</Properties>
</file>