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9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Persisting</w:t>
      </w:r>
      <w:r>
        <w:t xml:space="preserve"> </w:t>
      </w:r>
      <w:r>
        <w:t xml:space="preserve">somatic</w:t>
      </w:r>
      <w:r>
        <w:t xml:space="preserve"> </w:t>
      </w:r>
      <w:r>
        <w:t xml:space="preserve">symptoms</w:t>
      </w:r>
      <w:r>
        <w:t xml:space="preserve"> </w:t>
      </w:r>
      <w:r>
        <w:t xml:space="preserve">following</w:t>
      </w:r>
      <w:r>
        <w:t xml:space="preserve"> </w:t>
      </w:r>
      <w:r>
        <w:t xml:space="preserve">COVID-19</w:t>
      </w:r>
      <w:r>
        <w:t xml:space="preserve"> </w:t>
      </w:r>
      <w:r>
        <w:t xml:space="preserve">as</w:t>
      </w:r>
      <w:r>
        <w:t xml:space="preserve"> </w:t>
      </w:r>
      <w:r>
        <w:t xml:space="preserve">well</w:t>
      </w:r>
      <w:r>
        <w:t xml:space="preserve"> </w:t>
      </w:r>
      <w:r>
        <w:t xml:space="preserve">as</w:t>
      </w:r>
      <w:r>
        <w:t xml:space="preserve"> </w:t>
      </w:r>
      <w:r>
        <w:t xml:space="preserve">mental</w:t>
      </w:r>
      <w:r>
        <w:t xml:space="preserve"> </w:t>
      </w:r>
      <w:r>
        <w:t xml:space="preserve">health</w:t>
      </w:r>
      <w:r>
        <w:t xml:space="preserve"> </w:t>
      </w:r>
      <w:r>
        <w:t xml:space="preserve">status</w:t>
      </w:r>
      <w:r>
        <w:t xml:space="preserve"> </w:t>
      </w:r>
      <w:r>
        <w:t xml:space="preserve">are</w:t>
      </w:r>
      <w:r>
        <w:t xml:space="preserve"> </w:t>
      </w:r>
      <w:r>
        <w:t xml:space="preserve">associated</w:t>
      </w:r>
      <w:r>
        <w:t xml:space="preserve"> </w:t>
      </w:r>
      <w:r>
        <w:t xml:space="preserve">with</w:t>
      </w:r>
      <w:r>
        <w:t xml:space="preserve"> </w:t>
      </w:r>
      <w:r>
        <w:t xml:space="preserve">changes</w:t>
      </w:r>
      <w:r>
        <w:t xml:space="preserve"> </w:t>
      </w:r>
      <w:r>
        <w:t xml:space="preserve">in</w:t>
      </w:r>
      <w:r>
        <w:t xml:space="preserve"> </w:t>
      </w:r>
      <w:r>
        <w:t xml:space="preserve">neurotransmitter</w:t>
      </w:r>
      <w:r>
        <w:t xml:space="preserve"> </w:t>
      </w:r>
      <w:r>
        <w:t xml:space="preserve">precursor</w:t>
      </w:r>
      <w:r>
        <w:t xml:space="preserve"> </w:t>
      </w:r>
      <w:r>
        <w:t xml:space="preserve">amino</w:t>
      </w:r>
      <w:r>
        <w:t xml:space="preserve"> </w:t>
      </w:r>
      <w:r>
        <w:t xml:space="preserve">acid</w:t>
      </w:r>
      <w:r>
        <w:t xml:space="preserve"> </w:t>
      </w:r>
      <w:r>
        <w:t xml:space="preserve">levels</w:t>
      </w:r>
      <w:r>
        <w:t xml:space="preserve"> </w:t>
      </w:r>
      <w:r>
        <w:t xml:space="preserve">–</w:t>
      </w:r>
      <w:r>
        <w:t xml:space="preserve"> </w:t>
      </w:r>
      <w:r>
        <w:t xml:space="preserve">a</w:t>
      </w:r>
      <w:r>
        <w:t xml:space="preserve"> </w:t>
      </w:r>
      <w:r>
        <w:t xml:space="preserve">psychoneuroimmunological</w:t>
      </w:r>
      <w:r>
        <w:t xml:space="preserve"> </w:t>
      </w:r>
      <w:r>
        <w:t xml:space="preserve">study</w:t>
      </w:r>
    </w:p>
    <w:p>
      <w:pPr>
        <w:pStyle w:val="Subtitle"/>
      </w:pPr>
      <w:r>
        <w:t xml:space="preserve">Supplementary</w:t>
      </w:r>
      <w:r>
        <w:t xml:space="preserve"> </w:t>
      </w:r>
      <w:r>
        <w:t xml:space="preserve">Material</w:t>
      </w:r>
    </w:p>
    <w:p>
      <w:pPr>
        <w:pStyle w:val="Author"/>
      </w:pPr>
      <w:r>
        <w:t xml:space="preserve">PSY</w:t>
      </w:r>
      <w:r>
        <w:t xml:space="preserve"> </w:t>
      </w:r>
      <w:r>
        <w:t xml:space="preserve">Team</w:t>
      </w:r>
    </w:p>
    <w:p>
      <w:pPr>
        <w:pStyle w:val="Date"/>
      </w:pPr>
      <w:r>
        <w:t xml:space="preserve">2022-11-23</w:t>
      </w:r>
    </w:p>
    <w:p>
      <w:r>
        <w:br w:type="page"/>
      </w:r>
    </w:p>
    <w:bookmarkStart w:id="27" w:name="supplementary-methods"/>
    <w:p>
      <w:pPr>
        <w:pStyle w:val="Heading1"/>
      </w:pPr>
      <w:r>
        <w:t xml:space="preserve">Supplementary Methods</w:t>
      </w:r>
    </w:p>
    <w:bookmarkStart w:id="20" w:name="external-data-import-and-transformation"/>
    <w:p>
      <w:pPr>
        <w:pStyle w:val="Heading2"/>
      </w:pPr>
      <w:r>
        <w:t xml:space="preserve">External data import and transformation</w:t>
      </w:r>
    </w:p>
    <w:p>
      <w:pPr>
        <w:pStyle w:val="FirstParagraph"/>
      </w:pPr>
      <w:r>
        <w:t xml:space="preserve">Proteome and metabolome data in form of normalized, age- and sex-adjusted, log</w:t>
      </w:r>
      <w:r>
        <w:rPr>
          <w:vertAlign w:val="subscript"/>
        </w:rPr>
        <w:t xml:space="preserve">2</w:t>
      </w:r>
      <w:r>
        <w:t xml:space="preserve">-transformed serum levels as well as clinical information (sex, SARS-CoV-2 infection status, COVID-19 severity, timepoint, post-COVID-19 syndrome status and particular symptoms) for the INCOV cohort were extracted from supplementary tables accompanying the report by Su and colleagues</w:t>
      </w:r>
      <w:r>
        <w:t xml:space="preserve"> </w:t>
      </w:r>
      <w:r>
        <w:t xml:space="preserve">(1)</w:t>
      </w:r>
      <w:r>
        <w:t xml:space="preserve">.</w:t>
      </w:r>
    </w:p>
    <w:p>
      <w:pPr>
        <w:pStyle w:val="TextBody"/>
      </w:pPr>
      <w:r>
        <w:t xml:space="preserve">Characteristic of the INCOV cohorts is presented in</w:t>
      </w:r>
      <w:r>
        <w:t xml:space="preserve"> </w:t>
      </w:r>
      <w:r>
        <w:rPr>
          <w:bCs/>
          <w:b/>
        </w:rPr>
        <w:t xml:space="preserve">Table 2</w:t>
      </w:r>
      <w:r>
        <w:t xml:space="preserve">.</w:t>
      </w:r>
      <w:r>
        <w:t xml:space="preserve"> </w:t>
      </w:r>
      <w:r>
        <w:t xml:space="preserve">Numbers of available INCOV cohort samples and the sampling timepoints are shown in</w:t>
      </w:r>
      <w:r>
        <w:t xml:space="preserve"> </w:t>
      </w:r>
      <w:r>
        <w:rPr>
          <w:bCs/>
          <w:b/>
        </w:rPr>
        <w:t xml:space="preserve">Supplementary Table S</w:t>
      </w:r>
      <w:r>
        <w:rPr>
          <w:bCs/>
          <w:b/>
        </w:rPr>
        <w:t xml:space="preserve">1</w:t>
      </w:r>
      <w:r>
        <w:t xml:space="preserve">.</w:t>
      </w:r>
    </w:p>
    <w:bookmarkEnd w:id="20"/>
    <w:bookmarkStart w:id="23" w:name="software"/>
    <w:p>
      <w:pPr>
        <w:pStyle w:val="Heading2"/>
      </w:pPr>
      <w:r>
        <w:t xml:space="preserve">Software</w:t>
      </w:r>
    </w:p>
    <w:p>
      <w:pPr>
        <w:pStyle w:val="FirstParagraph"/>
      </w:pPr>
      <w:r>
        <w:t xml:space="preserve">Proteome and metabolome data were analyzed with R version 4.2.0.</w:t>
      </w:r>
      <w:r>
        <w:t xml:space="preserve"> </w:t>
      </w:r>
      <w:r>
        <w:t xml:space="preserve">General data transformation tasks were accomplished with the</w:t>
      </w:r>
      <w:r>
        <w:t xml:space="preserve"> </w:t>
      </w:r>
      <w:r>
        <w:rPr>
          <w:iCs/>
          <w:i/>
        </w:rPr>
        <w:t xml:space="preserve">tidyverse</w:t>
      </w:r>
      <w:r>
        <w:t xml:space="preserve"> </w:t>
      </w:r>
      <w:r>
        <w:t xml:space="preserve">package bundle</w:t>
      </w:r>
      <w:r>
        <w:t xml:space="preserve"> </w:t>
      </w:r>
      <w:r>
        <w:t xml:space="preserve">(2)</w:t>
      </w:r>
      <w:r>
        <w:t xml:space="preserve">,</w:t>
      </w:r>
      <w:r>
        <w:t xml:space="preserve"> </w:t>
      </w:r>
      <w:r>
        <w:rPr>
          <w:iCs/>
          <w:i/>
        </w:rPr>
        <w:t xml:space="preserve">rlang</w:t>
      </w:r>
      <w:r>
        <w:t xml:space="preserve"> </w:t>
      </w:r>
      <w:r>
        <w:t xml:space="preserve">(3)</w:t>
      </w:r>
      <w:r>
        <w:t xml:space="preserve"> </w:t>
      </w:r>
      <w:r>
        <w:t xml:space="preserve">and the development package</w:t>
      </w:r>
      <w:r>
        <w:t xml:space="preserve"> </w:t>
      </w:r>
      <w:r>
        <w:rPr>
          <w:iCs/>
          <w:i/>
        </w:rPr>
        <w:t xml:space="preserve">trafo</w:t>
      </w:r>
      <w:r>
        <w:t xml:space="preserve"> </w:t>
      </w:r>
      <w:r>
        <w:t xml:space="preserve">(</w:t>
      </w:r>
      <w:hyperlink r:id="rId21">
        <w:r>
          <w:rPr>
            <w:rStyle w:val="InternetLink"/>
          </w:rPr>
          <w:t xml:space="preserve">https://github.com/PiotrTymoszuk/trafo</w:t>
        </w:r>
      </w:hyperlink>
      <w:r>
        <w:t xml:space="preserve">).</w:t>
      </w:r>
      <w:r>
        <w:t xml:space="preserve"> </w:t>
      </w:r>
      <w:r>
        <w:t xml:space="preserve">Statistical data analysis was done with the packages</w:t>
      </w:r>
      <w:r>
        <w:t xml:space="preserve"> </w:t>
      </w:r>
      <w:r>
        <w:rPr>
          <w:iCs/>
          <w:i/>
        </w:rPr>
        <w:t xml:space="preserve">rstatix</w:t>
      </w:r>
      <w:r>
        <w:t xml:space="preserve"> </w:t>
      </w:r>
      <w:r>
        <w:t xml:space="preserve">(4)</w:t>
      </w:r>
      <w:r>
        <w:t xml:space="preserve">,</w:t>
      </w:r>
      <w:r>
        <w:t xml:space="preserve"> </w:t>
      </w:r>
      <w:r>
        <w:rPr>
          <w:iCs/>
          <w:i/>
        </w:rPr>
        <w:t xml:space="preserve">ggpubr</w:t>
      </w:r>
      <w:r>
        <w:t xml:space="preserve"> </w:t>
      </w:r>
      <w:r>
        <w:t xml:space="preserve">(5)</w:t>
      </w:r>
      <w:r>
        <w:t xml:space="preserve"> </w:t>
      </w:r>
      <w:r>
        <w:t xml:space="preserve">along with the development package</w:t>
      </w:r>
      <w:r>
        <w:t xml:space="preserve"> </w:t>
      </w:r>
      <w:r>
        <w:rPr>
          <w:iCs/>
          <w:i/>
        </w:rPr>
        <w:t xml:space="preserve">ExDA</w:t>
      </w:r>
      <w:r>
        <w:t xml:space="preserve"> </w:t>
      </w:r>
      <w:r>
        <w:t xml:space="preserve">(</w:t>
      </w:r>
      <w:hyperlink r:id="rId22">
        <w:r>
          <w:rPr>
            <w:rStyle w:val="InternetLink"/>
          </w:rPr>
          <w:t xml:space="preserve">https://github.com/PiotrTymoszuk/ExDA</w:t>
        </w:r>
      </w:hyperlink>
      <w:r>
        <w:t xml:space="preserve">).</w:t>
      </w:r>
      <w:r>
        <w:t xml:space="preserve"> </w:t>
      </w:r>
      <w:r>
        <w:t xml:space="preserve">Results were visualized with tools provided by the packages</w:t>
      </w:r>
      <w:r>
        <w:t xml:space="preserve"> </w:t>
      </w:r>
      <w:r>
        <w:rPr>
          <w:iCs/>
          <w:i/>
        </w:rPr>
        <w:t xml:space="preserve">ggplot2</w:t>
      </w:r>
      <w:r>
        <w:t xml:space="preserve"> </w:t>
      </w:r>
      <w:r>
        <w:t xml:space="preserve">(6)</w:t>
      </w:r>
      <w:r>
        <w:t xml:space="preserve">,</w:t>
      </w:r>
      <w:r>
        <w:t xml:space="preserve"> </w:t>
      </w:r>
      <w:r>
        <w:rPr>
          <w:iCs/>
          <w:i/>
        </w:rPr>
        <w:t xml:space="preserve">cowplot</w:t>
      </w:r>
      <w:r>
        <w:t xml:space="preserve"> </w:t>
      </w:r>
      <w:r>
        <w:t xml:space="preserve">(7)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ExDA</w:t>
      </w:r>
      <w:r>
        <w:t xml:space="preserve">.</w:t>
      </w:r>
      <w:r>
        <w:t xml:space="preserve"> </w:t>
      </w:r>
      <w:r>
        <w:t xml:space="preserve">Manuscript and supplementary tables were created with</w:t>
      </w:r>
      <w:r>
        <w:t xml:space="preserve"> </w:t>
      </w:r>
      <w:r>
        <w:rPr>
          <w:iCs/>
          <w:i/>
        </w:rPr>
        <w:t xml:space="preserve">flextable</w:t>
      </w:r>
      <w:r>
        <w:t xml:space="preserve"> </w:t>
      </w:r>
      <w:r>
        <w:t xml:space="preserve">(8)</w:t>
      </w:r>
      <w:r>
        <w:t xml:space="preserve">.</w:t>
      </w:r>
      <w:r>
        <w:t xml:space="preserve"> </w:t>
      </w:r>
      <w:r>
        <w:t xml:space="preserve">Supplementary Material file was written in the</w:t>
      </w:r>
      <w:r>
        <w:t xml:space="preserve"> </w:t>
      </w:r>
      <w:r>
        <w:rPr>
          <w:iCs/>
          <w:i/>
        </w:rPr>
        <w:t xml:space="preserve">rmarkdown</w:t>
      </w:r>
      <w:r>
        <w:t xml:space="preserve"> </w:t>
      </w:r>
      <w:r>
        <w:t xml:space="preserve">environment</w:t>
      </w:r>
      <w:r>
        <w:t xml:space="preserve"> </w:t>
      </w:r>
      <w:r>
        <w:t xml:space="preserve">(9)</w:t>
      </w:r>
      <w:r>
        <w:t xml:space="preserve"> </w:t>
      </w:r>
      <w:r>
        <w:t xml:space="preserve">and rendered with the</w:t>
      </w:r>
      <w:r>
        <w:t xml:space="preserve"> </w:t>
      </w:r>
      <w:r>
        <w:rPr>
          <w:iCs/>
          <w:i/>
        </w:rPr>
        <w:t xml:space="preserve">knitr</w:t>
      </w:r>
      <w:r>
        <w:t xml:space="preserve"> </w:t>
      </w:r>
      <w:r>
        <w:t xml:space="preserve">(10)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booksdown</w:t>
      </w:r>
      <w:r>
        <w:t xml:space="preserve"> </w:t>
      </w:r>
      <w:r>
        <w:t xml:space="preserve">(11)</w:t>
      </w:r>
      <w:r>
        <w:t xml:space="preserve"> </w:t>
      </w:r>
      <w:r>
        <w:t xml:space="preserve">packages.</w:t>
      </w:r>
    </w:p>
    <w:bookmarkEnd w:id="23"/>
    <w:bookmarkStart w:id="24" w:name="X23201bd2a1b1b7bdb197307b27395634a40ab7d"/>
    <w:p>
      <w:pPr>
        <w:pStyle w:val="Heading2"/>
      </w:pPr>
      <w:r>
        <w:t xml:space="preserve">Statistical analysis of the cytokine and metabolite INCOV cohort data</w:t>
      </w:r>
    </w:p>
    <w:p>
      <w:pPr>
        <w:pStyle w:val="FirstParagraph"/>
      </w:pPr>
      <w:r>
        <w:t xml:space="preserve">Distribution normality and homogeneity of normalized cytokine and metabolite serum levels was assessed by Shapiro-Wilk and Levene tests, respectively.</w:t>
      </w:r>
      <w:r>
        <w:t xml:space="preserve"> </w:t>
      </w:r>
      <w:r>
        <w:t xml:space="preserve">Comparison of normalized serum cytokine and metabolite levels between healthy controls and COVID-19 individuals at consecutive timepoints after symptom onset was done with Kruskal-Wallis test.</w:t>
      </w:r>
      <w:r>
        <w:t xml:space="preserve"> </w:t>
      </w:r>
      <w:r>
        <w:t xml:space="preserve">Differences between healthy controls and consecutive timepoints of COVID-19 were investigated with Mann-Whitney U test corrected for multiple testing with Benjamini-Hochberg method</w:t>
      </w:r>
      <w:r>
        <w:t xml:space="preserve"> </w:t>
      </w:r>
      <w:r>
        <w:t xml:space="preserve">(12)</w:t>
      </w:r>
      <w:r>
        <w:t xml:space="preserve">.</w:t>
      </w:r>
      <w:r>
        <w:t xml:space="preserve"> </w:t>
      </w:r>
      <w:r>
        <w:t xml:space="preserve">Correlation of serum cytokine and metabolite levels in healthy controls and COVID-19 individuals at consecutive timepoints was analyzed with Spearman test.</w:t>
      </w:r>
      <w:r>
        <w:t xml:space="preserve"> </w:t>
      </w:r>
      <w:r>
        <w:t xml:space="preserve">For comparison of normalized serum levels of cytokines and metabolites during COVID-19 convalescence between healthy controls, COVID-19 individuals without persistent symptoms, COVID-19 individuals with persistent putative psychiatric symptoms (depression, anxiety or sleep disorders) and COVID-19 individuals with other persistent symptoms Kruskal-Wallis test with Mann-Whitney post-hoc test was employed.</w:t>
      </w:r>
    </w:p>
    <w:bookmarkEnd w:id="24"/>
    <w:bookmarkStart w:id="26" w:name="data-and-code-availability"/>
    <w:p>
      <w:pPr>
        <w:pStyle w:val="Heading2"/>
      </w:pPr>
      <w:r>
        <w:t xml:space="preserve">Data and code availability</w:t>
      </w:r>
    </w:p>
    <w:p>
      <w:pPr>
        <w:pStyle w:val="FirstParagraph"/>
      </w:pPr>
      <w:r>
        <w:t xml:space="preserve">Anonymized local cohort data will be made available upon request to the corresponding author.</w:t>
      </w:r>
      <w:r>
        <w:t xml:space="preserve"> </w:t>
      </w:r>
      <w:r>
        <w:t xml:space="preserve">The INCOV cohort data are publicly available.</w:t>
      </w:r>
      <w:r>
        <w:t xml:space="preserve"> </w:t>
      </w:r>
      <w:r>
        <w:t xml:space="preserve">The study pipeline code is available at</w:t>
      </w:r>
      <w:r>
        <w:t xml:space="preserve"> </w:t>
      </w:r>
      <w:hyperlink r:id="rId25">
        <w:r>
          <w:rPr>
            <w:rStyle w:val="InternetLink"/>
          </w:rPr>
          <w:t xml:space="preserve">https://github.com/PiotrTymoszuk/stigma_validation</w:t>
        </w:r>
      </w:hyperlink>
      <w:r>
        <w:t xml:space="preserve">.</w:t>
      </w:r>
    </w:p>
    <w:p>
      <w:r>
        <w:br w:type="page"/>
      </w:r>
    </w:p>
    <w:bookmarkEnd w:id="26"/>
    <w:bookmarkEnd w:id="27"/>
    <w:bookmarkStart w:id="28" w:name="supplementary-tables"/>
    <w:p>
      <w:pPr>
        <w:pStyle w:val="Heading1"/>
      </w:pPr>
      <w:r>
        <w:t xml:space="preserve">Supplementary Tables</w:t>
      </w:r>
    </w:p>
    <w:p>
      <w:pPr>
        <w:pStyle w:val="TableHeading"/>
      </w:pPr>
      <w:r>
        <w:t xml:space="preserve">Table 1: Number of available samples and sampling timepoints in the INCOV cohort.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268"/>
        <w:gridCol w:w="3402"/>
        <w:gridCol w:w="2268"/>
      </w:tblGrid>
      <w:tr>
        <w:trPr>
          <w:cantSplit/>
          <w:trHeight w:val="360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Time point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Days post infection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true"/>
                <w:u w:val="none"/>
                <w:vertAlign w:val="superscript"/>
                <w:sz w:val="20"/>
                <w:szCs w:val="20"/>
                <w:color w:val="000000"/>
              </w:rPr>
              <w:t xml:space="preserve">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Sample number</w:t>
            </w:r>
          </w:p>
        </w:tc>
      </w:tr>
      <w:tr>
        <w:trPr>
          <w:cantSplit/>
          <w:trHeight w:val="360" w:hRule="auto"/>
        </w:trPr>
        body1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healthy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440</w:t>
            </w:r>
          </w:p>
        </w:tc>
      </w:tr>
      <w:tr>
        <w:trPr>
          <w:cantSplit/>
          <w:trHeight w:val="360" w:hRule="auto"/>
        </w:trPr>
        body2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acute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 [7.9 - 16]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205</w:t>
            </w:r>
          </w:p>
        </w:tc>
      </w:tr>
      <w:tr>
        <w:trPr>
          <w:cantSplit/>
          <w:trHeight w:val="360" w:hRule="auto"/>
        </w:trPr>
        body3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sub-acute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 [12 - 23]</w:t>
            </w:r>
          </w:p>
        </w:tc>
        <w:tc>
          <w:tcPr>
            <w:tcBorders>
              <w:bottom w:val="single" w:sz="4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187</w:t>
            </w:r>
          </w:p>
        </w:tc>
      </w:tr>
      <w:tr>
        <w:trPr>
          <w:cantSplit/>
          <w:trHeight w:val="360" w:hRule="auto"/>
        </w:trPr>
        body4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recovery</w:t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 [53 - 90]</w:t>
            </w:r>
          </w:p>
        </w:tc>
        <w:tc>
          <w:tcPr>
            <w:tcBorders>
              <w:bottom w:val="single" w:sz="16" w:space="0" w:color="666666"/>
              <w:top w:val="single" w:sz="4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127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single" w:sz="4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vertAlign w:val="superscript"/>
                <w:sz w:val="20"/>
                <w:szCs w:val="20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mbria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Median with interquartile range, days after symptom onset.</w:t>
            </w:r>
          </w:p>
        </w:tc>
      </w:tr>
    </w:tbl>
    <w:p>
      <w:r>
        <w:br w:type="page"/>
      </w:r>
    </w:p>
    <w:bookmarkEnd w:id="28"/>
    <w:bookmarkStart w:id="35" w:name="supplementary-figures"/>
    <w:p>
      <w:pPr>
        <w:pStyle w:val="Heading1"/>
      </w:pPr>
      <w:r>
        <w:t xml:space="preserve">Supplementary Figures</w:t>
      </w:r>
    </w:p>
    <w:p>
      <w:pPr>
        <w:pStyle w:val="CaptionedFigure"/>
      </w:pPr>
      <w:r>
        <w:drawing>
          <wp:inline>
            <wp:extent cx="5943600" cy="5448649"/>
            <wp:effectExtent b="0" l="0" r="0" t="0"/>
            <wp:docPr descr="Figure 1: Serum levels of cytokines in healthy controls, complete COVID-19 recovery, non-neurological and neurological persistent symptoms in the INCOV cohort." title="" id="30" name="Picture"/>
            <a:graphic>
              <a:graphicData uri="http://schemas.openxmlformats.org/drawingml/2006/picture">
                <pic:pic>
                  <pic:nvPicPr>
                    <pic:cNvPr descr="C:\Users\piotr\Desktop\stigma%20validation\paper\supplementary_material_files/figure-docx/fig-incov-neuro-cyto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Serum levels of cytokines in healthy controls, complete COVID-19 recovery, non-neurological and neurological persistent symptoms in the INCOV cohort.</w:t>
      </w:r>
    </w:p>
    <w:p>
      <w:pPr>
        <w:pStyle w:val="TextBody"/>
      </w:pP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1</w:t>
      </w:r>
      <w:r>
        <w:rPr>
          <w:bCs/>
          <w:b/>
        </w:rPr>
        <w:t xml:space="preserve">. Serum levels of cytokines in healthy controls, complete COVID-19 recovery, non-neurological and neurological persistent symptoms in the INCOV cohort.</w:t>
      </w:r>
      <w:r>
        <w:t xml:space="preserve"> </w:t>
      </w:r>
      <w:r>
        <w:rPr>
          <w:iCs/>
          <w:i/>
        </w:rPr>
        <w:t xml:space="preserve">Normalized serum levels of IL6, IL10, TNF-alpha (TNF), IFN-gamma (IFNG) were extracted from the INCOV study data for healthy controls and COVID-19 participants during convalescence (median: 64 days after symptom onset). The serum levels were compared between healthy controls, COVID-19 subjects without persistent symptoms, COVID-19 subjects with putative neurological persistent symptoms (self-reported neurological symptoms, blurry vision, dizziness, feet or hand pain, smell or taste disorders) and COVID-19 subjects with other non-neurological persistent symptoms with Kruskal-Wallis test. Pairwise comparisons between the groups were done with Benjamini-Hochberg-corrected Mann-Whitney post-hoc test. Each point in the plots represent a single sample, boxes depict medians with interquartile ranges (IQR), whiskers span over 150% IQR. Kruskal-Wallis test p values are displayed in the plot captions. Significant and near-significant (p &lt; 0.1) post-hoc test results are indicated in the plots. Numbers of complete observations are shown below the plots.</w:t>
      </w:r>
    </w:p>
    <w:p>
      <w:r>
        <w:br w:type="page"/>
      </w:r>
    </w:p>
    <w:p>
      <w:pPr>
        <w:pStyle w:val="CaptionedFigure"/>
      </w:pPr>
      <w:r>
        <w:drawing>
          <wp:inline>
            <wp:extent cx="5943600" cy="5448649"/>
            <wp:effectExtent b="0" l="0" r="0" t="0"/>
            <wp:docPr descr="Figure 2: Serum levels of TRP degradation products in healthy controls, complete COVID-19 recovery, non-neurological and neurological persistent symptoms in the INCOV cohort." title="" id="33" name="Picture"/>
            <a:graphic>
              <a:graphicData uri="http://schemas.openxmlformats.org/drawingml/2006/picture">
                <pic:pic>
                  <pic:nvPicPr>
                    <pic:cNvPr descr="C:\Users\piotr\Desktop\stigma%20validation\paper\supplementary_material_files/figure-docx/fig-incov-neuro-trp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Serum levels of TRP degradation products in healthy controls, complete COVID-19 recovery, non-neurological and neurological persistent symptoms in the INCOV cohort.</w:t>
      </w:r>
    </w:p>
    <w:p>
      <w:pPr>
        <w:pStyle w:val="TextBody"/>
      </w:pPr>
      <w:r>
        <w:rPr>
          <w:bCs/>
          <w:b/>
        </w:rPr>
        <w:t xml:space="preserve">Figure</w:t>
      </w:r>
      <w:r>
        <w:rPr>
          <w:bCs/>
          <w:b/>
        </w:rPr>
        <w:t xml:space="preserve"> </w:t>
      </w:r>
      <w:r>
        <w:rPr>
          <w:bCs/>
          <w:b/>
        </w:rPr>
        <w:t xml:space="preserve">2</w:t>
      </w:r>
      <w:r>
        <w:rPr>
          <w:bCs/>
          <w:b/>
        </w:rPr>
        <w:t xml:space="preserve">. Serum levels of TRP degradation products in healthy controls, complete COVID-19 recovery, non-neurological and neurological persistent symptoms in the INCOV cohort.</w:t>
      </w:r>
      <w:r>
        <w:t xml:space="preserve"> </w:t>
      </w:r>
      <w:r>
        <w:rPr>
          <w:iCs/>
          <w:i/>
        </w:rPr>
        <w:t xml:space="preserve">Normalized serum levels of tryptophan (TRP), serotonin (5-HT), kynurenine (KYN) and quinolinic acid (QUIN) were extracted from the INCOV study data for healthy controls and COVID-19 participants during convalescence (median: 64 days after symptom onset). The serum levels were compared between healthy controls, COVID-19 subjects without persistent symptoms, COVID-19 subjects with putative neurological persistent symptoms (self-reported neurological symptoms, blurry vision, dizziness, feet or hand pain, smell or taste disorders) and COVID-19 subjects with other non-neurological persistent symptoms with Kruskal-Wallis test. Pairwise comparisons between the groups were done with Benjamini-Hochberg-corrected Mann-Whitney post-hoc test. Each point in the plots represent a single sample, boxes depict medians with interquartile ranges (IQR), whiskers span over 150% IQR. Kruskal-Wallis test p values are displayed in the plot captions. Significant and near-significant (p &lt; 0.1) post-hoc test results are indicated in the plots. Numbers of complete observations are shown below the plots.</w:t>
      </w:r>
    </w:p>
    <w:p>
      <w:r>
        <w:br w:type="page"/>
      </w:r>
    </w:p>
    <w:bookmarkEnd w:id="35"/>
    <w:bookmarkStart w:id="59" w:name="references"/>
    <w:p>
      <w:pPr>
        <w:pStyle w:val="Heading1"/>
      </w:pPr>
      <w:r>
        <w:t xml:space="preserve">References</w:t>
      </w:r>
    </w:p>
    <w:bookmarkStart w:id="58" w:name="refs"/>
    <w:bookmarkStart w:id="37" w:name="ref-Su2022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Su Y, Yuan D, Chen DG, Ng RH, Wang K, Choi J, Li S, Hong S, Zhang R, Xie J, et al.</w:t>
      </w:r>
      <w:r>
        <w:t xml:space="preserve"> </w:t>
      </w:r>
      <w:r>
        <w:t xml:space="preserve">Multiple early factors anticipate post-acute COVID-19 sequelae</w:t>
      </w:r>
      <w:r>
        <w:t xml:space="preserve">.</w:t>
      </w:r>
      <w:r>
        <w:t xml:space="preserve"> </w:t>
      </w:r>
      <w:r>
        <w:rPr>
          <w:iCs/>
          <w:i/>
        </w:rPr>
        <w:t xml:space="preserve">Cell</w:t>
      </w:r>
      <w:r>
        <w:t xml:space="preserve"> (2022) 185:881–895.e20. doi:</w:t>
      </w:r>
      <w:r>
        <w:t xml:space="preserve"> </w:t>
      </w:r>
      <w:hyperlink r:id="rId36">
        <w:r>
          <w:rPr>
            <w:rStyle w:val="InternetLink"/>
          </w:rPr>
          <w:t xml:space="preserve">10.1016/J.CELL.2022.01.014</w:t>
        </w:r>
      </w:hyperlink>
    </w:p>
    <w:bookmarkEnd w:id="37"/>
    <w:bookmarkStart w:id="39" w:name="ref-Wickham2019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Wickham H, Averick M, Bryan J, Chang W, McGowan L, François R, Grolemund G, Hayes A, Henry L, Hester J, et al.</w:t>
      </w:r>
      <w:r>
        <w:t xml:space="preserve"> </w:t>
      </w:r>
      <w:r>
        <w:t xml:space="preserve">Welcome to the Tidyverse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Open Source Software</w:t>
      </w:r>
      <w:r>
        <w:t xml:space="preserve"> (2019) 4:1686. doi:</w:t>
      </w:r>
      <w:r>
        <w:t xml:space="preserve"> </w:t>
      </w:r>
      <w:hyperlink r:id="rId38">
        <w:r>
          <w:rPr>
            <w:rStyle w:val="InternetLink"/>
          </w:rPr>
          <w:t xml:space="preserve">10.21105/joss.01686</w:t>
        </w:r>
      </w:hyperlink>
    </w:p>
    <w:bookmarkEnd w:id="39"/>
    <w:bookmarkStart w:id="41" w:name="ref-Henry2022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Henry L, Wickham Hadley.</w:t>
      </w:r>
      <w:r>
        <w:t xml:space="preserve"> </w:t>
      </w:r>
      <w:r>
        <w:t xml:space="preserve">rlang: Functions for Base Types and Core R and ’Tidyverse’ Features</w:t>
      </w:r>
      <w:r>
        <w:t xml:space="preserve">. (2022)</w:t>
      </w:r>
      <w:r>
        <w:t xml:space="preserve"> </w:t>
      </w:r>
      <w:hyperlink r:id="rId40">
        <w:r>
          <w:rPr>
            <w:rStyle w:val="InternetLink"/>
          </w:rPr>
          <w:t xml:space="preserve">https://cran.r-project.org/web/packages/rlang/index.html</w:t>
        </w:r>
      </w:hyperlink>
    </w:p>
    <w:bookmarkEnd w:id="41"/>
    <w:bookmarkStart w:id="43" w:name="ref-Kassambara2021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Kassambara A.</w:t>
      </w:r>
      <w:r>
        <w:t xml:space="preserve"> </w:t>
      </w:r>
      <w:r>
        <w:t xml:space="preserve">rstatix: Pipe-Friendly Framework for Basic Statistical Tests</w:t>
      </w:r>
      <w:r>
        <w:t xml:space="preserve">. (2021)</w:t>
      </w:r>
      <w:r>
        <w:t xml:space="preserve"> </w:t>
      </w:r>
      <w:hyperlink r:id="rId42">
        <w:r>
          <w:rPr>
            <w:rStyle w:val="InternetLink"/>
          </w:rPr>
          <w:t xml:space="preserve">https://cran.r-project.org/package=rstatix</w:t>
        </w:r>
      </w:hyperlink>
    </w:p>
    <w:bookmarkEnd w:id="43"/>
    <w:bookmarkStart w:id="45" w:name="ref-Kassambara2020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Kassambara A, Mundt F.</w:t>
      </w:r>
      <w:r>
        <w:t xml:space="preserve"> </w:t>
      </w:r>
      <w:r>
        <w:t xml:space="preserve">factoextra: Extract and Visualize the Results of Multivariate Data Analyses</w:t>
      </w:r>
      <w:r>
        <w:t xml:space="preserve">. (2020)</w:t>
      </w:r>
      <w:r>
        <w:t xml:space="preserve"> </w:t>
      </w:r>
      <w:hyperlink r:id="rId44">
        <w:r>
          <w:rPr>
            <w:rStyle w:val="InternetLink"/>
          </w:rPr>
          <w:t xml:space="preserve">https://cran.r-project.org/web/packages/factoextra/index.html</w:t>
        </w:r>
      </w:hyperlink>
    </w:p>
    <w:bookmarkEnd w:id="45"/>
    <w:bookmarkStart w:id="47" w:name="ref-Wickham2016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Wickham Hadley.</w:t>
      </w:r>
      <w:r>
        <w:t xml:space="preserve"> </w:t>
      </w:r>
      <w:r>
        <w:rPr>
          <w:iCs/>
          <w:i/>
        </w:rPr>
        <w:t xml:space="preserve">ggplot2: Elegant Graphics for Data Analysis</w:t>
      </w:r>
      <w:r>
        <w:t xml:space="preserve">. 1st ed. New York: Springer-Verlag (2016).</w:t>
      </w:r>
      <w:r>
        <w:t xml:space="preserve"> </w:t>
      </w:r>
      <w:hyperlink r:id="rId46">
        <w:r>
          <w:rPr>
            <w:rStyle w:val="InternetLink"/>
          </w:rPr>
          <w:t xml:space="preserve">https://ggplot2.tidyverse.org</w:t>
        </w:r>
      </w:hyperlink>
    </w:p>
    <w:bookmarkEnd w:id="47"/>
    <w:bookmarkStart w:id="48" w:name="ref-Wilke2019"/>
    <w:p>
      <w:pPr>
        <w:pStyle w:val="Bibliography"/>
      </w:pPr>
      <w:r>
        <w:t xml:space="preserve">7.</w:t>
      </w:r>
      <w:r>
        <w:t xml:space="preserve"> </w:t>
      </w:r>
      <w:r>
        <w:t xml:space="preserve">	</w:t>
      </w:r>
      <w:r>
        <w:t xml:space="preserve">Wilke CO.</w:t>
      </w:r>
      <w:r>
        <w:t xml:space="preserve"> </w:t>
      </w:r>
      <w:r>
        <w:rPr>
          <w:iCs/>
          <w:i/>
        </w:rPr>
        <w:t xml:space="preserve">Fundamentals of Data Visualization: A Primer on Making Informative and Compelling Figures</w:t>
      </w:r>
      <w:r>
        <w:t xml:space="preserve">. 1st ed. Sebastopol: O’Reilly Media (2019).</w:t>
      </w:r>
    </w:p>
    <w:bookmarkEnd w:id="48"/>
    <w:bookmarkStart w:id="50" w:name="ref-Gohel2022"/>
    <w:p>
      <w:pPr>
        <w:pStyle w:val="Bibliography"/>
      </w:pPr>
      <w:r>
        <w:t xml:space="preserve">8.</w:t>
      </w:r>
      <w:r>
        <w:t xml:space="preserve"> </w:t>
      </w:r>
      <w:r>
        <w:t xml:space="preserve">	</w:t>
      </w:r>
      <w:r>
        <w:t xml:space="preserve">Gohel D.</w:t>
      </w:r>
      <w:r>
        <w:t xml:space="preserve"> </w:t>
      </w:r>
      <w:r>
        <w:t xml:space="preserve">flextable: Functions for Tabular Reporting</w:t>
      </w:r>
      <w:r>
        <w:t xml:space="preserve">. (2022)</w:t>
      </w:r>
      <w:r>
        <w:t xml:space="preserve"> </w:t>
      </w:r>
      <w:hyperlink r:id="rId49">
        <w:r>
          <w:rPr>
            <w:rStyle w:val="InternetLink"/>
          </w:rPr>
          <w:t xml:space="preserve">https://cran.r-project.org/web/packages/flextable/index.html</w:t>
        </w:r>
      </w:hyperlink>
    </w:p>
    <w:bookmarkEnd w:id="50"/>
    <w:bookmarkStart w:id="52" w:name="ref-Allaire2022"/>
    <w:p>
      <w:pPr>
        <w:pStyle w:val="Bibliography"/>
      </w:pPr>
      <w:r>
        <w:t xml:space="preserve">9.</w:t>
      </w:r>
      <w:r>
        <w:t xml:space="preserve"> </w:t>
      </w:r>
      <w:r>
        <w:t xml:space="preserve">	</w:t>
      </w:r>
      <w:r>
        <w:t xml:space="preserve">Allaire J, Xie Y, McPherson J, Luraschi J, Ushey K, Atkins A, Wickham H, Cheng J.</w:t>
      </w:r>
      <w:r>
        <w:t xml:space="preserve"> </w:t>
      </w:r>
      <w:r>
        <w:t xml:space="preserve">rmarkdown: Dynamic Documents for R</w:t>
      </w:r>
      <w:r>
        <w:t xml:space="preserve">. (2022)</w:t>
      </w:r>
      <w:r>
        <w:t xml:space="preserve"> </w:t>
      </w:r>
      <w:hyperlink r:id="rId51">
        <w:r>
          <w:rPr>
            <w:rStyle w:val="InternetLink"/>
          </w:rPr>
          <w:t xml:space="preserve">https://cran.r-project.org/web/packages/rmarkdown/index.html</w:t>
        </w:r>
      </w:hyperlink>
    </w:p>
    <w:bookmarkEnd w:id="52"/>
    <w:bookmarkStart w:id="54" w:name="ref-Xie2022"/>
    <w:p>
      <w:pPr>
        <w:pStyle w:val="Bibliography"/>
      </w:pPr>
      <w:r>
        <w:t xml:space="preserve">10.</w:t>
      </w:r>
      <w:r>
        <w:t xml:space="preserve"> </w:t>
      </w:r>
      <w:r>
        <w:t xml:space="preserve">	</w:t>
      </w:r>
      <w:r>
        <w:t xml:space="preserve">Xie Y.</w:t>
      </w:r>
      <w:r>
        <w:t xml:space="preserve"> </w:t>
      </w:r>
      <w:r>
        <w:t xml:space="preserve">knitr: A General-Purpose Package for Dynamic Report Generation in R</w:t>
      </w:r>
      <w:r>
        <w:t xml:space="preserve">. (2022)</w:t>
      </w:r>
      <w:r>
        <w:t xml:space="preserve"> </w:t>
      </w:r>
      <w:hyperlink r:id="rId53">
        <w:r>
          <w:rPr>
            <w:rStyle w:val="InternetLink"/>
          </w:rPr>
          <w:t xml:space="preserve">https://cran.r-project.org/web/packages/knitr/index.html</w:t>
        </w:r>
      </w:hyperlink>
    </w:p>
    <w:bookmarkEnd w:id="54"/>
    <w:bookmarkStart w:id="55" w:name="ref-Xie2016"/>
    <w:p>
      <w:pPr>
        <w:pStyle w:val="Bibliography"/>
      </w:pPr>
      <w:r>
        <w:t xml:space="preserve">11.</w:t>
      </w:r>
      <w:r>
        <w:t xml:space="preserve"> </w:t>
      </w:r>
      <w:r>
        <w:t xml:space="preserve">	</w:t>
      </w:r>
      <w:r>
        <w:t xml:space="preserve">Xie Y.</w:t>
      </w:r>
      <w:r>
        <w:t xml:space="preserve"> </w:t>
      </w:r>
      <w:r>
        <w:rPr>
          <w:iCs/>
          <w:i/>
        </w:rPr>
        <w:t xml:space="preserve">Bookdown : authoring books and technical documents with R Markdown</w:t>
      </w:r>
      <w:r>
        <w:t xml:space="preserve">. (2016).</w:t>
      </w:r>
    </w:p>
    <w:bookmarkEnd w:id="55"/>
    <w:bookmarkStart w:id="57" w:name="ref-Benjamini1995"/>
    <w:p>
      <w:pPr>
        <w:pStyle w:val="Bibliography"/>
      </w:pPr>
      <w:r>
        <w:t xml:space="preserve">12.</w:t>
      </w:r>
      <w:r>
        <w:t xml:space="preserve"> </w:t>
      </w:r>
      <w:r>
        <w:t xml:space="preserve">	</w:t>
      </w:r>
      <w:r>
        <w:t xml:space="preserve">Benjamini Y, Hochberg Y.</w:t>
      </w:r>
      <w:r>
        <w:t xml:space="preserve"> </w:t>
      </w:r>
      <w:r>
        <w:t xml:space="preserve">Controlling the False Discovery Rate: A Practical and Powerful Approach to Multiple Testing</w:t>
      </w:r>
      <w:r>
        <w:t xml:space="preserve">.</w:t>
      </w:r>
      <w:r>
        <w:t xml:space="preserve"> </w:t>
      </w:r>
      <w:r>
        <w:rPr>
          <w:iCs/>
          <w:i/>
        </w:rPr>
        <w:t xml:space="preserve">Journal of the Royal Statistical Society: Series B (Methodological)</w:t>
      </w:r>
      <w:r>
        <w:t xml:space="preserve"> (1995) 57:289–300. doi:</w:t>
      </w:r>
      <w:r>
        <w:t xml:space="preserve"> </w:t>
      </w:r>
      <w:hyperlink r:id="rId56">
        <w:r>
          <w:rPr>
            <w:rStyle w:val="InternetLink"/>
          </w:rPr>
          <w:t xml:space="preserve">10.1111/j.2517-6161.1995.tb02031.x</w:t>
        </w:r>
      </w:hyperlink>
    </w:p>
    <w:bookmarkEnd w:id="57"/>
    <w:bookmarkEnd w:id="58"/>
    <w:bookmarkEnd w:id="59"/>
    <w:sectPr>
      <w:footerReference r:id="rId9" w:type="default"/>
      <w:footnotePr>
        <w:numFmt w:val="decimal"/>
      </w:footnotePr>
      <w:type w:val="nextPage"/>
      <w:pgSz w:h="15840" w:w="12240"/>
      <w:pgMar w:bottom="2204" w:footer="1440" w:gutter="0" w:header="0" w:left="1440" w:right="144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spacing w:before="0" w:after="200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90"/>
  <w:embedSystemFonts/>
  <w:defaultTabStop w:val="720"/>
  <w:autoHyphenation w:val="true"/>
  <w:compat>
    <w:compatSetting w:name="compatibilityMode" w:uri="http://schemas.microsoft.com/office/word" w:val="12"/>
  </w:compat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 w:val="24"/>
        <w:szCs w:val="24"/>
        <w:lang w:bidi="ar-SA" w:eastAsia="en-US" w:val="en-US"/>
      </w:rPr>
    </w:rPrDefault>
    <w:pPrDefault>
      <w:pPr>
        <w:suppressAutoHyphens w:val="true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suppressAutoHyphens w:val="true"/>
      <w:bidi w:val="0"/>
      <w:spacing w:after="200" w:before="0"/>
      <w:jc w:val="left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Heading1" w:type="paragraph">
    <w:name w:val="Heading 1"/>
    <w:basedOn w:val="Normal"/>
    <w:next w:val="TextBody"/>
    <w:uiPriority w:val="9"/>
    <w:qFormat/>
    <w:pPr>
      <w:keepNext w:val="true"/>
      <w:keepLines/>
      <w:spacing w:after="202" w:before="475" w:line="360" w:lineRule="auto"/>
      <w:outlineLvl w:val="0"/>
    </w:pPr>
    <w:rPr>
      <w:rFonts w:ascii="Calibri" w:asciiTheme="majorHAnsi" w:cs="" w:cstheme="majorBidi" w:eastAsia="" w:eastAsiaTheme="majorEastAsia" w:hAnsi="Calibri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TextBody"/>
    <w:uiPriority w:val="9"/>
    <w:unhideWhenUsed/>
    <w:qFormat/>
    <w:pPr>
      <w:keepNext w:val="true"/>
      <w:keepLines/>
      <w:spacing w:after="202" w:before="202" w:line="360" w:lineRule="auto"/>
      <w:outlineLvl w:val="1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TextBody"/>
    <w:uiPriority w:val="9"/>
    <w:unhideWhenUsed/>
    <w:qFormat/>
    <w:pPr>
      <w:keepNext w:val="true"/>
      <w:keepLines/>
      <w:spacing w:after="202" w:before="202" w:line="360" w:lineRule="auto"/>
      <w:outlineLvl w:val="2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TextBody"/>
    <w:uiPriority w:val="9"/>
    <w:unhideWhenUsed/>
    <w:qFormat/>
    <w:pPr>
      <w:keepNext w:val="true"/>
      <w:keepLines/>
      <w:spacing w:after="0" w:before="200"/>
      <w:outlineLvl w:val="3"/>
    </w:pPr>
    <w:rPr>
      <w:rFonts w:ascii="Calibri" w:asciiTheme="majorHAnsi" w:cs="" w:cstheme="majorBidi" w:eastAsia="" w:eastAsiaTheme="majorEastAsia" w:hAnsi="Calibri" w:hAnsiTheme="majorHAnsi"/>
      <w:b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TextBody"/>
    <w:uiPriority w:val="9"/>
    <w:unhideWhenUsed/>
    <w:qFormat/>
    <w:pPr>
      <w:keepNext w:val="true"/>
      <w:keepLines/>
      <w:spacing w:after="0" w:before="200"/>
      <w:outlineLvl w:val="4"/>
    </w:pPr>
    <w:rPr>
      <w:rFonts w:ascii="Calibri" w:asciiTheme="majorHAnsi" w:cs="" w:cstheme="majorBidi" w:eastAsia="" w:eastAsiaTheme="majorEastAsia" w:hAnsi="Calibri" w:hAnsiTheme="majorHAnsi"/>
      <w:i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TextBody"/>
    <w:uiPriority w:val="9"/>
    <w:unhideWhenUsed/>
    <w:qFormat/>
    <w:pPr>
      <w:keepNext w:val="true"/>
      <w:keepLines/>
      <w:spacing w:after="0" w:before="200"/>
      <w:outlineLvl w:val="5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TextBody"/>
    <w:uiPriority w:val="9"/>
    <w:unhideWhenUsed/>
    <w:qFormat/>
    <w:pPr>
      <w:keepNext w:val="true"/>
      <w:keepLines/>
      <w:spacing w:after="0" w:before="200"/>
      <w:outlineLvl w:val="6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TextBody"/>
    <w:uiPriority w:val="9"/>
    <w:unhideWhenUsed/>
    <w:qFormat/>
    <w:pPr>
      <w:keepNext w:val="true"/>
      <w:keepLines/>
      <w:spacing w:after="0" w:before="200"/>
      <w:outlineLvl w:val="7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TextBody"/>
    <w:uiPriority w:val="9"/>
    <w:unhideWhenUsed/>
    <w:qFormat/>
    <w:pPr>
      <w:keepNext w:val="true"/>
      <w:keepLines/>
      <w:spacing w:after="0" w:before="200"/>
      <w:outlineLvl w:val="8"/>
    </w:pPr>
    <w:rPr>
      <w:rFonts w:ascii="Calibri" w:asciiTheme="majorHAnsi" w:cs="" w:cstheme="majorBidi" w:eastAsia="" w:eastAsiaTheme="majorEastAsia" w:hAnsi="Calibri" w:hAnsiTheme="majorHAnsi"/>
      <w:color w:themeColor="accent1" w:val="4F81BD"/>
      <w:sz w:val="24"/>
      <w:szCs w:val="24"/>
    </w:rPr>
  </w:style>
  <w:style w:default="1" w:styleId="DefaultParagraphFont" w:type="character">
    <w:name w:val="Default Paragraph Font"/>
    <w:semiHidden/>
    <w:unhideWhenUsed/>
    <w:qFormat/>
    <w:rPr/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nsolas" w:hAnsi="Consolas"/>
      <w:sz w:val="22"/>
    </w:rPr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Hyperlink"/>
    <w:basedOn w:val="BodyTextChar"/>
    <w:rPr>
      <w:color w:themeColor="accent1" w:val="4F81BD"/>
    </w:rPr>
  </w:style>
  <w:style w:customStyle="1" w:styleId="KeywordTok" w:type="character">
    <w:name w:val="KeywordTok"/>
    <w:basedOn w:val="VerbatimChar"/>
    <w:qFormat/>
    <w:rPr>
      <w:b/>
      <w:color w:val="204A87"/>
      <w:shd w:fill="F8F8F8" w:val="clear"/>
    </w:rPr>
  </w:style>
  <w:style w:customStyle="1" w:styleId="DataTypeTok" w:type="character">
    <w:name w:val="DataTypeTok"/>
    <w:basedOn w:val="VerbatimChar"/>
    <w:qFormat/>
    <w:rPr>
      <w:color w:val="204A87"/>
      <w:shd w:fill="F8F8F8" w:val="clear"/>
    </w:rPr>
  </w:style>
  <w:style w:customStyle="1" w:styleId="DecValTok" w:type="character">
    <w:name w:val="DecValTok"/>
    <w:basedOn w:val="VerbatimChar"/>
    <w:qFormat/>
    <w:rPr>
      <w:color w:val="0000CF"/>
      <w:shd w:fill="F8F8F8" w:val="clear"/>
    </w:rPr>
  </w:style>
  <w:style w:customStyle="1" w:styleId="BaseNTok" w:type="character">
    <w:name w:val="BaseNTok"/>
    <w:basedOn w:val="VerbatimChar"/>
    <w:qFormat/>
    <w:rPr>
      <w:color w:val="0000CF"/>
      <w:shd w:fill="F8F8F8" w:val="clear"/>
    </w:rPr>
  </w:style>
  <w:style w:customStyle="1" w:styleId="FloatTok" w:type="character">
    <w:name w:val="FloatTok"/>
    <w:basedOn w:val="VerbatimChar"/>
    <w:qFormat/>
    <w:rPr>
      <w:color w:val="0000CF"/>
      <w:shd w:fill="F8F8F8" w:val="clear"/>
    </w:rPr>
  </w:style>
  <w:style w:customStyle="1" w:styleId="ConstantTok" w:type="character">
    <w:name w:val="ConstantTok"/>
    <w:basedOn w:val="VerbatimChar"/>
    <w:qFormat/>
    <w:rPr>
      <w:color w:val="000000"/>
      <w:shd w:fill="F8F8F8" w:val="clear"/>
    </w:rPr>
  </w:style>
  <w:style w:customStyle="1" w:styleId="CharTok" w:type="character">
    <w:name w:val="CharTok"/>
    <w:basedOn w:val="VerbatimChar"/>
    <w:qFormat/>
    <w:rPr>
      <w:color w:val="4E9A06"/>
      <w:shd w:fill="F8F8F8" w:val="clear"/>
    </w:rPr>
  </w:style>
  <w:style w:customStyle="1" w:styleId="SpecialCharTok" w:type="character">
    <w:name w:val="SpecialCharTok"/>
    <w:basedOn w:val="VerbatimChar"/>
    <w:qFormat/>
    <w:rPr>
      <w:color w:val="000000"/>
      <w:shd w:fill="F8F8F8" w:val="clear"/>
    </w:rPr>
  </w:style>
  <w:style w:customStyle="1" w:styleId="StringTok" w:type="character">
    <w:name w:val="StringTok"/>
    <w:basedOn w:val="VerbatimChar"/>
    <w:qFormat/>
    <w:rPr>
      <w:color w:val="4E9A06"/>
      <w:shd w:fill="F8F8F8" w:val="clear"/>
    </w:rPr>
  </w:style>
  <w:style w:customStyle="1" w:styleId="VerbatimStringTok" w:type="character">
    <w:name w:val="VerbatimStringTok"/>
    <w:basedOn w:val="VerbatimChar"/>
    <w:qFormat/>
    <w:rPr>
      <w:color w:val="4E9A06"/>
      <w:shd w:fill="F8F8F8" w:val="clear"/>
    </w:rPr>
  </w:style>
  <w:style w:customStyle="1" w:styleId="SpecialStringTok" w:type="character">
    <w:name w:val="SpecialStringTok"/>
    <w:basedOn w:val="VerbatimChar"/>
    <w:qFormat/>
    <w:rPr>
      <w:color w:val="4E9A06"/>
      <w:shd w:fill="F8F8F8" w:val="clear"/>
    </w:rPr>
  </w:style>
  <w:style w:customStyle="1" w:styleId="ImportTok" w:type="character">
    <w:name w:val="ImportTok"/>
    <w:basedOn w:val="VerbatimChar"/>
    <w:qFormat/>
    <w:rPr>
      <w:shd w:fill="F8F8F8" w:val="clear"/>
    </w:rPr>
  </w:style>
  <w:style w:customStyle="1" w:styleId="CommentTok" w:type="character">
    <w:name w:val="CommentTok"/>
    <w:basedOn w:val="VerbatimChar"/>
    <w:qFormat/>
    <w:rPr>
      <w:i/>
      <w:color w:val="8F5902"/>
      <w:shd w:fill="F8F8F8" w:val="clear"/>
    </w:rPr>
  </w:style>
  <w:style w:customStyle="1" w:styleId="DocumentationTok" w:type="character">
    <w:name w:val="DocumentationTok"/>
    <w:basedOn w:val="VerbatimChar"/>
    <w:qFormat/>
    <w:rPr>
      <w:b/>
      <w:i/>
      <w:color w:val="8F5902"/>
      <w:shd w:fill="F8F8F8" w:val="clear"/>
    </w:rPr>
  </w:style>
  <w:style w:customStyle="1" w:styleId="AnnotationTok" w:type="character">
    <w:name w:val="AnnotationTok"/>
    <w:basedOn w:val="VerbatimChar"/>
    <w:qFormat/>
    <w:rPr>
      <w:b/>
      <w:i/>
      <w:color w:val="8F5902"/>
      <w:shd w:fill="F8F8F8" w:val="clear"/>
    </w:rPr>
  </w:style>
  <w:style w:customStyle="1" w:styleId="CommentVarTok" w:type="character">
    <w:name w:val="CommentVarTok"/>
    <w:basedOn w:val="VerbatimChar"/>
    <w:qFormat/>
    <w:rPr>
      <w:b/>
      <w:i/>
      <w:color w:val="8F5902"/>
      <w:shd w:fill="F8F8F8" w:val="clear"/>
    </w:rPr>
  </w:style>
  <w:style w:customStyle="1" w:styleId="OtherTok" w:type="character">
    <w:name w:val="OtherTok"/>
    <w:basedOn w:val="VerbatimChar"/>
    <w:qFormat/>
    <w:rPr>
      <w:color w:val="8F5902"/>
      <w:shd w:fill="F8F8F8" w:val="clear"/>
    </w:rPr>
  </w:style>
  <w:style w:customStyle="1" w:styleId="FunctionTok" w:type="character">
    <w:name w:val="FunctionTok"/>
    <w:basedOn w:val="VerbatimChar"/>
    <w:qFormat/>
    <w:rPr>
      <w:color w:val="000000"/>
      <w:shd w:fill="F8F8F8" w:val="clear"/>
    </w:rPr>
  </w:style>
  <w:style w:customStyle="1" w:styleId="VariableTok" w:type="character">
    <w:name w:val="VariableTok"/>
    <w:basedOn w:val="VerbatimChar"/>
    <w:qFormat/>
    <w:rPr>
      <w:color w:val="000000"/>
      <w:shd w:fill="F8F8F8" w:val="clear"/>
    </w:rPr>
  </w:style>
  <w:style w:customStyle="1" w:styleId="ControlFlowTok" w:type="character">
    <w:name w:val="ControlFlowTok"/>
    <w:basedOn w:val="VerbatimChar"/>
    <w:qFormat/>
    <w:rPr>
      <w:b/>
      <w:color w:val="204A87"/>
      <w:shd w:fill="F8F8F8" w:val="clear"/>
    </w:rPr>
  </w:style>
  <w:style w:customStyle="1" w:styleId="OperatorTok" w:type="character">
    <w:name w:val="OperatorTok"/>
    <w:basedOn w:val="VerbatimChar"/>
    <w:qFormat/>
    <w:rPr>
      <w:b/>
      <w:color w:val="CE5C00"/>
      <w:shd w:fill="F8F8F8" w:val="clear"/>
    </w:rPr>
  </w:style>
  <w:style w:customStyle="1" w:styleId="BuiltInTok" w:type="character">
    <w:name w:val="BuiltInTok"/>
    <w:basedOn w:val="VerbatimChar"/>
    <w:qFormat/>
    <w:rPr>
      <w:shd w:fill="F8F8F8" w:val="clear"/>
    </w:rPr>
  </w:style>
  <w:style w:customStyle="1" w:styleId="ExtensionTok" w:type="character">
    <w:name w:val="ExtensionTok"/>
    <w:basedOn w:val="VerbatimChar"/>
    <w:qFormat/>
    <w:rPr>
      <w:shd w:fill="F8F8F8" w:val="clear"/>
    </w:rPr>
  </w:style>
  <w:style w:customStyle="1" w:styleId="PreprocessorTok" w:type="character">
    <w:name w:val="PreprocessorTok"/>
    <w:basedOn w:val="VerbatimChar"/>
    <w:qFormat/>
    <w:rPr>
      <w:i/>
      <w:color w:val="8F5902"/>
      <w:shd w:fill="F8F8F8" w:val="clear"/>
    </w:rPr>
  </w:style>
  <w:style w:customStyle="1" w:styleId="AttributeTok" w:type="character">
    <w:name w:val="AttributeTok"/>
    <w:basedOn w:val="VerbatimChar"/>
    <w:qFormat/>
    <w:rPr>
      <w:color w:val="C4A000"/>
      <w:shd w:fill="F8F8F8" w:val="clear"/>
    </w:rPr>
  </w:style>
  <w:style w:customStyle="1" w:styleId="RegionMarkerTok" w:type="character">
    <w:name w:val="RegionMarkerTok"/>
    <w:basedOn w:val="VerbatimChar"/>
    <w:qFormat/>
    <w:rPr>
      <w:shd w:fill="F8F8F8" w:val="clear"/>
    </w:rPr>
  </w:style>
  <w:style w:customStyle="1" w:styleId="InformationTok" w:type="character">
    <w:name w:val="InformationTok"/>
    <w:basedOn w:val="VerbatimChar"/>
    <w:qFormat/>
    <w:rPr>
      <w:b/>
      <w:i/>
      <w:color w:val="8F5902"/>
      <w:shd w:fill="F8F8F8" w:val="clear"/>
    </w:rPr>
  </w:style>
  <w:style w:customStyle="1" w:styleId="WarningTok" w:type="character">
    <w:name w:val="WarningTok"/>
    <w:basedOn w:val="VerbatimChar"/>
    <w:qFormat/>
    <w:rPr>
      <w:b/>
      <w:i/>
      <w:color w:val="8F5902"/>
      <w:shd w:fill="F8F8F8" w:val="clear"/>
    </w:rPr>
  </w:style>
  <w:style w:customStyle="1" w:styleId="AlertTok" w:type="character">
    <w:name w:val="AlertTok"/>
    <w:basedOn w:val="VerbatimChar"/>
    <w:qFormat/>
    <w:rPr>
      <w:color w:val="EF2929"/>
      <w:shd w:fill="F8F8F8" w:val="clear"/>
    </w:rPr>
  </w:style>
  <w:style w:customStyle="1" w:styleId="ErrorTok" w:type="character">
    <w:name w:val="ErrorTok"/>
    <w:basedOn w:val="VerbatimChar"/>
    <w:qFormat/>
    <w:rPr>
      <w:b/>
      <w:color w:val="A40000"/>
      <w:shd w:fill="F8F8F8" w:val="clear"/>
    </w:rPr>
  </w:style>
  <w:style w:customStyle="1" w:styleId="NormalTok" w:type="character">
    <w:name w:val="NormalTok"/>
    <w:basedOn w:val="VerbatimChar"/>
    <w:qFormat/>
    <w:rPr>
      <w:shd w:fill="F8F8F8" w:val="clear"/>
    </w:rPr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Revision" w:type="character">
    <w:name w:val="revision"/>
    <w:qFormat/>
    <w:rPr>
      <w:color w:val="C9211E"/>
    </w:rPr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180" w:before="180"/>
    </w:pPr>
    <w:rPr/>
  </w:style>
  <w:style w:styleId="List" w:type="paragraph">
    <w:name w:val="List"/>
    <w:basedOn w:val="TextBody"/>
    <w:pPr/>
    <w:rPr>
      <w:rFonts w:cs="Arial"/>
    </w:rPr>
  </w:style>
  <w:style w:styleId="Caption" w:type="paragraph">
    <w:name w:val="Caption"/>
    <w:basedOn w:val="Normal"/>
    <w:link w:val="BodyTextChar"/>
    <w:qFormat/>
    <w:pPr>
      <w:spacing w:after="120" w:before="0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Arial"/>
    </w:rPr>
  </w:style>
  <w:style w:customStyle="1" w:styleId="FirstParagraph" w:type="paragraph">
    <w:name w:val="First Paragraph"/>
    <w:basedOn w:val="TextBody"/>
    <w:next w:val="TextBody"/>
    <w:qFormat/>
    <w:pPr/>
    <w:rPr/>
  </w:style>
  <w:style w:customStyle="1" w:styleId="Compact" w:type="paragraph">
    <w:name w:val="Compact"/>
    <w:basedOn w:val="TextBody"/>
    <w:qFormat/>
    <w:pPr>
      <w:spacing w:after="36" w:before="36"/>
    </w:pPr>
    <w:rPr/>
  </w:style>
  <w:style w:styleId="Title" w:type="paragraph">
    <w:name w:val="Title"/>
    <w:basedOn w:val="Normal"/>
    <w:next w:val="TextBody"/>
    <w:qFormat/>
    <w:pPr>
      <w:keepNext w:val="true"/>
      <w:keepLines/>
      <w:spacing w:after="240" w:before="480"/>
      <w:jc w:val="center"/>
    </w:pPr>
    <w:rPr>
      <w:rFonts w:ascii="Calibri" w:asciiTheme="majorHAnsi" w:cs="" w:cstheme="majorBidi" w:eastAsia="" w:eastAsiaTheme="majorEastAsia" w:hAnsi="Calibri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TextBody"/>
    <w:qFormat/>
    <w:pPr>
      <w:keepNext w:val="true"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TextBody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Date" w:type="paragraph">
    <w:name w:val="Date"/>
    <w:next w:val="TextBody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customStyle="1" w:styleId="Abstract" w:type="paragraph">
    <w:name w:val="Abstract"/>
    <w:basedOn w:val="Normal"/>
    <w:next w:val="TextBody"/>
    <w:qFormat/>
    <w:pPr>
      <w:keepNext w:val="true"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next w:val="TextBody"/>
    <w:uiPriority w:val="9"/>
    <w:unhideWhenUsed/>
    <w:qFormat/>
    <w:pPr>
      <w:spacing w:after="100" w:before="100"/>
      <w:ind w:hanging="0"/>
    </w:pPr>
    <w:rPr>
      <w:rFonts w:ascii="Calibri" w:asciiTheme="majorHAnsi" w:cs="" w:cstheme="majorBidi" w:eastAsia="" w:eastAsiaTheme="majorEastAsia" w:hAnsi="Calibri" w:hAnsiTheme="majorHAnsi"/>
      <w:bCs/>
      <w:sz w:val="20"/>
      <w:szCs w:val="20"/>
    </w:rPr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next w:val="Definition"/>
    <w:qFormat/>
    <w:pPr>
      <w:keepNext w:val="true"/>
      <w:keepLines/>
      <w:spacing w:after="0" w:before="0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</w:pPr>
    <w:rPr/>
  </w:style>
  <w:style w:customStyle="1" w:styleId="ImageCaption" w:type="paragraph">
    <w:name w:val="Image Caption"/>
    <w:basedOn w:val="Caption"/>
    <w:qFormat/>
    <w:pPr/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next w:val="TextBody"/>
    <w:uiPriority w:val="39"/>
    <w:unhideWhenUsed/>
    <w:qFormat/>
    <w:pPr>
      <w:spacing w:after="0" w:before="240" w:line="259" w:lineRule="auto"/>
    </w:pPr>
    <w:rPr>
      <w:rFonts w:ascii="Calibri" w:asciiTheme="majorHAnsi" w:cs="" w:cstheme="majorBidi" w:eastAsia="" w:eastAsiaTheme="majorEastAsia" w:hAnsi="Calibri" w:hAnsiTheme="majorHAnsi"/>
      <w:b w:val="false"/>
      <w:bCs w:val="false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qFormat/>
    <w:pPr>
      <w:shd w:fill="F8F8F8" w:val="clear"/>
    </w:pPr>
    <w:rPr/>
  </w:style>
  <w:style w:styleId="HeaderandFooter" w:type="paragraph">
    <w:name w:val="Header and Footer"/>
    <w:basedOn w:val="Normal"/>
    <w:qFormat/>
    <w:pPr>
      <w:suppressLineNumbers/>
      <w:tabs>
        <w:tab w:pos="720" w:val="clear"/>
        <w:tab w:leader="none" w:pos="4680" w:val="center"/>
        <w:tab w:leader="none" w:pos="9360" w:val="right"/>
      </w:tabs>
    </w:pPr>
    <w:rPr/>
  </w:style>
  <w:style w:styleId="Footer" w:type="paragraph">
    <w:name w:val="Footer"/>
    <w:basedOn w:val="HeaderandFooter"/>
    <w:pPr>
      <w:suppressLineNumbers/>
    </w:pPr>
    <w:rPr/>
  </w:style>
  <w:style w:styleId="TableContents" w:type="paragraph">
    <w:name w:val="Table Contents"/>
    <w:basedOn w:val="Normal"/>
    <w:qFormat/>
    <w:pPr>
      <w:widowControl w:val="false"/>
      <w:suppressLineNumbers/>
    </w:pPr>
    <w:rPr/>
  </w:style>
  <w:style w:styleId="TableHeading" w:type="paragraph">
    <w:name w:val="Table Heading"/>
    <w:basedOn w:val="TableContents"/>
    <w:qFormat/>
    <w:pPr>
      <w:suppressLineNumbers/>
      <w:jc w:val="left"/>
    </w:pPr>
    <w:rPr>
      <w:b/>
      <w:bCs/>
      <w:i/>
      <w:iCs/>
    </w:rPr>
  </w:style>
  <w:style w:default="1" w:styleId="Table" w:type="table">
    <w:name w:val="Table"/>
    <w:basedOn w:val="TableNormal"/>
    <w:semiHidden/>
    <w:unhideWhenUsed/>
    <w:qFormat/>
    <w:tblPr>
      <w:tblCellMar>
        <w:top w:type="dxa" w:w="0"/>
        <w:left w:type="dxa" w:w="108"/>
        <w:bottom w:type="dxa" w:w="0"/>
        <w:right w:type="dxa" w:w="108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hyperlink" Id="rId42" Target="https://cran.r-project.org/package=rstatix" TargetMode="External" /><Relationship Type="http://schemas.openxmlformats.org/officeDocument/2006/relationships/hyperlink" Id="rId44" Target="https://cran.r-project.org/web/packages/factoextra/index.html" TargetMode="External" /><Relationship Type="http://schemas.openxmlformats.org/officeDocument/2006/relationships/hyperlink" Id="rId49" Target="https://cran.r-project.org/web/packages/flextable/index.html" TargetMode="External" /><Relationship Type="http://schemas.openxmlformats.org/officeDocument/2006/relationships/hyperlink" Id="rId53" Target="https://cran.r-project.org/web/packages/knitr/index.html" TargetMode="External" /><Relationship Type="http://schemas.openxmlformats.org/officeDocument/2006/relationships/hyperlink" Id="rId40" Target="https://cran.r-project.org/web/packages/rlang/index.html" TargetMode="External" /><Relationship Type="http://schemas.openxmlformats.org/officeDocument/2006/relationships/hyperlink" Id="rId51" Target="https://cran.r-project.org/web/packages/rmarkdown/index.html" TargetMode="External" /><Relationship Type="http://schemas.openxmlformats.org/officeDocument/2006/relationships/hyperlink" Id="rId36" Target="https://doi.org/10.1016/J.CELL.2022.01.014" TargetMode="External" /><Relationship Type="http://schemas.openxmlformats.org/officeDocument/2006/relationships/hyperlink" Id="rId56" Target="https://doi.org/10.1111/j.2517-6161.1995.tb02031.x" TargetMode="External" /><Relationship Type="http://schemas.openxmlformats.org/officeDocument/2006/relationships/hyperlink" Id="rId38" Target="https://doi.org/10.21105/joss.01686" TargetMode="External" /><Relationship Type="http://schemas.openxmlformats.org/officeDocument/2006/relationships/hyperlink" Id="rId46" Target="https://ggplot2.tidyverse.org" TargetMode="External" /><Relationship Type="http://schemas.openxmlformats.org/officeDocument/2006/relationships/hyperlink" Id="rId22" Target="https://github.com/PiotrTymoszuk/ExDA" TargetMode="External" /><Relationship Type="http://schemas.openxmlformats.org/officeDocument/2006/relationships/hyperlink" Id="rId25" Target="https://github.com/PiotrTymoszuk/stigma_validation" TargetMode="External" /><Relationship Type="http://schemas.openxmlformats.org/officeDocument/2006/relationships/hyperlink" Id="rId21" Target="https://github.com/PiotrTymoszuk/trafo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cran.r-project.org/package=rstatix" TargetMode="External" /><Relationship Type="http://schemas.openxmlformats.org/officeDocument/2006/relationships/hyperlink" Id="rId44" Target="https://cran.r-project.org/web/packages/factoextra/index.html" TargetMode="External" /><Relationship Type="http://schemas.openxmlformats.org/officeDocument/2006/relationships/hyperlink" Id="rId49" Target="https://cran.r-project.org/web/packages/flextable/index.html" TargetMode="External" /><Relationship Type="http://schemas.openxmlformats.org/officeDocument/2006/relationships/hyperlink" Id="rId53" Target="https://cran.r-project.org/web/packages/knitr/index.html" TargetMode="External" /><Relationship Type="http://schemas.openxmlformats.org/officeDocument/2006/relationships/hyperlink" Id="rId40" Target="https://cran.r-project.org/web/packages/rlang/index.html" TargetMode="External" /><Relationship Type="http://schemas.openxmlformats.org/officeDocument/2006/relationships/hyperlink" Id="rId51" Target="https://cran.r-project.org/web/packages/rmarkdown/index.html" TargetMode="External" /><Relationship Type="http://schemas.openxmlformats.org/officeDocument/2006/relationships/hyperlink" Id="rId36" Target="https://doi.org/10.1016/J.CELL.2022.01.014" TargetMode="External" /><Relationship Type="http://schemas.openxmlformats.org/officeDocument/2006/relationships/hyperlink" Id="rId56" Target="https://doi.org/10.1111/j.2517-6161.1995.tb02031.x" TargetMode="External" /><Relationship Type="http://schemas.openxmlformats.org/officeDocument/2006/relationships/hyperlink" Id="rId38" Target="https://doi.org/10.21105/joss.01686" TargetMode="External" /><Relationship Type="http://schemas.openxmlformats.org/officeDocument/2006/relationships/hyperlink" Id="rId46" Target="https://ggplot2.tidyverse.org" TargetMode="External" /><Relationship Type="http://schemas.openxmlformats.org/officeDocument/2006/relationships/hyperlink" Id="rId22" Target="https://github.com/PiotrTymoszuk/ExDA" TargetMode="External" /><Relationship Type="http://schemas.openxmlformats.org/officeDocument/2006/relationships/hyperlink" Id="rId25" Target="https://github.com/PiotrTymoszuk/stigma_validation" TargetMode="External" /><Relationship Type="http://schemas.openxmlformats.org/officeDocument/2006/relationships/hyperlink" Id="rId21" Target="https://github.com/PiotrTymoszuk/traf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LibreOffice/7.0.5.2$Windows_X86_64 LibreOffice_project/64390860c6cd0aca4beafafcfd84613dd9dfb63a</Application>
  <AppVersion>15.0000</AppVersion>
  <Pages>2</Pages>
  <Words>365</Words>
  <Characters>2349</Characters>
  <CharactersWithSpaces>2696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Persisting somatic symptoms following COVID-19 as well as mental health status are associated with changes in neurotransmitter precursor amino acid levels – a psychoneuroimmunological study</dc:title>
  <dc:creator>PSY Team</dc:creator>
  <cp:keywords/>
  <dcterms:created xsi:type="dcterms:W3CDTF">2022-11-23T15:05:48Z</dcterms:created>
  <dcterms:modified xsi:type="dcterms:W3CDTF">2022-11-23T15:05:48Z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infl_biblio.bib</vt:lpwstr>
  </property>
  <property fmtid="{D5CDD505-2E9C-101B-9397-08002B2CF9AE}" pid="3" name="csl">
    <vt:lpwstr>frontiers-in-immunology.csl</vt:lpwstr>
  </property>
  <property fmtid="{D5CDD505-2E9C-101B-9397-08002B2CF9AE}" pid="4" name="date">
    <vt:lpwstr>2022-11-23</vt:lpwstr>
  </property>
  <property fmtid="{D5CDD505-2E9C-101B-9397-08002B2CF9AE}" pid="5" name="header-includes">
    <vt:lpwstr>  </vt:lpwstr>
  </property>
  <property fmtid="{D5CDD505-2E9C-101B-9397-08002B2CF9AE}" pid="6" name="output">
    <vt:lpwstr/>
  </property>
  <property fmtid="{D5CDD505-2E9C-101B-9397-08002B2CF9AE}" pid="7" name="subtitle">
    <vt:lpwstr>Supplementary Material</vt:lpwstr>
  </property>
</Properties>
</file>