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StudioTitle"/>
        <w:jc w:val="center"/>
      </w:pPr>
      <w:r>
        <w:t xml:space="preserve">Raport z oceny dojrzałości cyfrowej</w:t>
      </w:r>
    </w:p>
    <w:p>
      <w:pPr>
        <w:pBdr>
          <w:bottom w:val="single" w:color="1D9E75" w:sz="18" w:space="1"/>
        </w:pBdr>
        <w:spacing w:after="160"/>
        <w:jc w:val="center"/>
      </w:pPr>
      <w:r>
        <w:t xml:space="preserve"/>
      </w:r>
    </w:p>
    <w:p>
      <w:pPr>
        <w:pStyle w:val="Subtitle"/>
        <w:jc w:val="center"/>
      </w:pPr>
      <w:r>
        <w:t xml:space="preserve">client final report · PL · comprehensive · poufne dla klienta</w:t>
      </w:r>
    </w:p>
    <w:p>
      <w:pPr>
        <w:pStyle w:val="Subtitle"/>
        <w:jc w:val="center"/>
      </w:pPr>
      <w:r>
        <w:t xml:space="preserve">Odbiorcy: Metalpol Sp. z o.o.</w:t>
      </w:r>
    </w:p>
    <w:p>
      <w:pPr>
        <w:pStyle w:val="Subtitle"/>
        <w:jc w:val="center"/>
      </w:pPr>
      <w:r>
        <w:t xml:space="preserve">Wygenerowano: 2026-08-27</w:t>
      </w:r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Caption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— Profil dojrzałości DRD</w:t>
      </w:r>
    </w:p>
    <w:p>
      <w:pPr>
        <w:pStyle w:val="Caption"/>
      </w:pPr>
      <w:r>
        <w:rPr>
          <w:i/>
          <w:iCs/>
        </w:rPr>
        <w:t xml:space="preserve">Rys.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39%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64%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33%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39%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71%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78%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33%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78%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Table 1 — Tab.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3 — Kontrola procesu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MES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Kontrola stanowiska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Automatyzacja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4 — Automatyzacja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6 — ERP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Kontrola stanowiska</w:t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Kontrola procesu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 · Średni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3 (Kontrola procesu) · Poziom docelowy: 5 (MES)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Obszar pominięty w ocenie — kod: wiele kodów.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2 (Kontrola stanowiska) · Poziom docelowy: 4 (Automatyzacja)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4 (Automatyzacja) · Poziom docelowy: 6 (ERP)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2 (Kontrola stanowiska) · Poziom docelowy: 3 (Kontrola procesu) · Luka: 1 · Priorytet: Średni · Dowody: niepełne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3</w:t>
      </w:r>
    </w:p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Podstawowy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Średniozaawansowany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Interaktywny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Średniozaawansowany</w:t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</w:tr>
    </w:tbl>
    <w:p>
      <w:pPr>
        <w:pStyle w:val="Caption"/>
      </w:pPr>
      <w:r>
        <w:t xml:space="preserve">Table 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1 (Podstawowy) · Poziom docelowy: 3 (Zaawansowany) · Luka: 2 · Priorytet: Wysoki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2 (Średniozaawansowany) · Poziom docelowy: 4 (Interaktywny)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2 (Średniozaawansowany) · Poziom docelowy: 3 (Zaawansowany) · Luka: 1 · Priorytet: Średni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5</w:t>
      </w:r>
    </w:p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Intermediate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Advanced Personalization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Basic</w:t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 — Intermediate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Basic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Advanced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</w:tbl>
    <w:p>
      <w:pPr>
        <w:pStyle w:val="Caption"/>
      </w:pPr>
      <w:r>
        <w:t xml:space="preserve">Table 6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2 (Intermediate) · Poziom docelowy: 4 (Advanced Personalization)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Obszar pominięty w ocenie — kod: wiele kodów.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1 (Basic) · Poziom docelowy: 2 (Intermediate) · Luka: 1 · Priorytet: Średni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1 (Basic) · Poziom docelowy: 3 (Advanced) · Luka: 2 · Priorytet: Wysoki · Dowody: niepełne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7</w:t>
      </w:r>
    </w:p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4 — Data from Machines and Devices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6 — Data from Physical Objects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Graphic Symbols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Mobile Data Collection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· Krytyczny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3 — Advanced Technological Solutions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Mobile Data Collection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Graphic Symbols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Data from Machines and Devices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8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4 (Data from Machines and Devices) · Poziom docelowy: 6 (Data from Physical Objects)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2 (Graphic Symbols) · Poziom docelowy: 5 (Mobile Data Collection) · Luka: 3 · Priorytet: Krytyczny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3 (Advanced Technological Solutions) · Poziom docelowy: 5 (Mobile Data Collection)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2 (Graphic Symbols) · Poziom docelowy: 4 (Data from Machines and Devices) · Luka: 2 · Priorytet: Wysoki · Dowody: niepełne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Pominięte pytania: 4E-L1 — odroczone_do_kolejnej_rewizji; 4E-L2 — odroczone_do_kolejnej_rewizji.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9</w:t>
      </w:r>
    </w:p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4 — Wspierający</w:t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Innowator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 · Średni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3 — Dyrektywny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Innowator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Autokratyczny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Wspierający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10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4 (Wspierający) · Poziom docelowy: 5 (Innowator) · Luka: 1 · Priorytet: Średni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3 (Dyrektywny) · Poziom docelowy: 5 (Innowator)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2 (Autokratyczny) · Poziom docelowy: 4 (Wspierający) · Luka: 2 · Priorytet: Wysoki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Pominięte pytania: 5D-L1 — poza_zakresem_zlecenia; 5D-L2 — poza_modelem_operacyjnym.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11</w:t>
      </w:r>
    </w:p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Analiza ryzyka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HR w strategii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· Krytyczny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3 — Plan działań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HR w strategii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· 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Brak strategii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Polityki bezpieczeństwa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· Krytyczny</w:t>
            </w:r>
          </w:p>
        </w:tc>
      </w:tr>
    </w:tbl>
    <w:p>
      <w:pPr>
        <w:pStyle w:val="Caption"/>
      </w:pPr>
      <w:r>
        <w:t xml:space="preserve">Table 12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2 (Analiza ryzyka) · Poziom docelowy: 5 (HR w strategii) · Luka: 3 · Priorytet: Krytyczny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Obszar pominięty w ocenie — kod: wiele kodów.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3 (Plan działań) · Poziom docelowy: 5 (HR w strategii)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1 (Brak strategii) · Poziom docelowy: 4 (Polityki bezpieczeństwa) · Luka: 3 · Priorytet: Krytyczny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13</w:t>
      </w:r>
    </w:p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 — Structured Data in Silos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Fully AI-Ready Data Architecture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Fragmented Data, No AI Readiness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Centralized Data &amp; Initial AI Readiness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tcPr>
            <w:shd w:fill="0C447C"/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1 — Fragmented Data, No AI Readiness</w:t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BFE4D8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Centralized Data &amp; Initial AI Readiness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</w:tbl>
    <w:p>
      <w:pPr>
        <w:pStyle w:val="Caption"/>
      </w:pPr>
      <w:r>
        <w:t xml:space="preserve">Table 14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2 (Structured Data in Silos) · Poziom docelowy: 4 (Fully AI-Ready Data Architecture) · Luka: 2 · Priorytet: Wysoki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1 (Fragmented Data, No AI Readiness) · Poziom docelowy: 3 (Centralized Data &amp; Initial AI Readiness) · Luka: 2 · Priorytet: Wysoki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Pominięte pytania: 7C-L1 — odroczone_do_kolejnej_rewizji.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1 (Fragmented Data, No AI Readiness) · Poziom docelowy: 3 (Centralized Data &amp; Initial AI Readiness) · Luka: 2 · Priorytet: Wysoki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15</w:t>
      </w:r>
    </w:p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16</w:t>
      </w:r>
    </w:p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Poziom docelowy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4B Metodologia Przechowywania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Mobile Data Collection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6E Plany awaryjne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Polityki bezpieczeństwa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6A 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HR w strategii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1E Procesy Logistyczne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Automatyzacja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1F Procesy Produkcyjne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 — ERP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1A 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MES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2D Dopasowanie Produktu do Oczekiwań Klienta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Interaktywny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2A 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3A 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Advanced Personalization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3E Modele Monetyzacji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Advanced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4D Analiza Big Data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Data from Machines and Devices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4C Komunikacja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Mobile Data Collection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4A 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 — Data from Physical Objects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5C Ciągły rozwój kompetencji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Wspierający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5B Gotowość na zmianę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Innowator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6C Ochrona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HR w strategii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7A Dane i Fundamenty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Fully AI-Ready Data Architecture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7E Kompetencje i Kultura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Centralized Data &amp; Initial AI Readiness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7B Procesy Wspierane przez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Centralized Data &amp; Initial AI Readiness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1G Procesy Jakości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Kontrola procesu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2E Skalowalność Produktu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3C Model As-a-Service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 — Intermediate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5A 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Średni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Innowator</w:t>
            </w:r>
          </w:p>
        </w:tc>
      </w:tr>
    </w:tbl>
    <w:p>
      <w:pPr>
        <w:pStyle w:val="Caption"/>
      </w:pPr>
      <w:r>
        <w:t xml:space="preserve">Table 17 — Rejestr luk posortowany malejąco według wielkości luki.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4A3B8"/>
        <w:sz w:val="16"/>
        <w:szCs w:val="16"/>
      </w:rPr>
      <w:t xml:space="preserve">Poufne — Metalpol Sp. z o.o.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poufne — tylko dla klienta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Strona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z 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65bfd41b8ccf0e873919414049a07ac6fa330726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2026-08-27T03:45:16.877Z</dcterms:created>
  <dcterms:modified xsi:type="dcterms:W3CDTF">2026-08-27T03:45:16.877Z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