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rPr>
          <w:color w:val="85182F"/>
        </w:rPr>
        <w:t xml:space="preserve">● </w:t>
      </w:r>
      <w:r>
        <w:rPr>
          <w:color w:val="85182F"/>
        </w:rPr>
        <w:t xml:space="preserve">C O N S U L T I F Y</w:t>
      </w:r>
    </w:p>
    <w:p>
      <w:pPr>
        <w:pStyle w:val="Kicker"/>
      </w:pPr>
      <w:r>
        <w:rPr>
          <w:color w:val="1D9E75"/>
        </w:rPr>
        <w:t xml:space="preserve">OCENA DOJRZAŁOŚCI CYFROWEJ · DIGITAL PATHFINDER</w:t>
      </w:r>
    </w:p>
    <w:p>
      <w:pPr>
        <w:pStyle w:val="DocStudioTitle"/>
      </w:pPr>
      <w:r>
        <w:t xml:space="preserve">Raport z oceny dojrzałości cyfrowej</w:t>
      </w:r>
    </w:p>
    <w:p>
      <w:pPr>
        <w:pStyle w:val="Subtitle"/>
      </w:pPr>
      <w:r>
        <w:t xml:space="preserve">[Nazwa klienta do uzupełnienia]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Klient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[Nazwa klienta do uzupełnienia]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Profil działalności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Produkcja przemysłowa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Zatrudnienie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Okres oceny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4 września 2026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Oceniający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Anna Pomiarowa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Sponsor po stronie klienta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Metodyka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Digital Pathfinder — metodyka oceny dojrzałości cyfrowej DRD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Sygnatura sesji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DRD-2026-0904-NZW-3D7B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Data wydania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4 września 2026</w:t>
            </w:r>
          </w:p>
        </w:tc>
      </w:tr>
    </w:tbl>
    <w:p>
      <w:r>
        <w:br w:type="page"/>
      </w:r>
    </w:p>
    <w:p>
      <w:pPr>
        <w:pStyle w:val="Kicker"/>
        <w:pageBreakBefore/>
      </w:pPr>
      <w:r>
        <w:t xml:space="preserve">NAWIGACJA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Kicker"/>
        <w:keepNext/>
      </w:pPr>
      <w:r>
        <w:t xml:space="preserve">STRESZCZENIE</w:t>
      </w:r>
    </w:p>
    <w:p>
      <w:pPr>
        <w:pStyle w:val="Heading1"/>
        <w:pStyle w:val="Heading1"/>
        <w:keepNext/>
      </w:pPr>
      <w:r>
        <w:t xml:space="preserve">Streszczenie zarządcze</w:t>
      </w:r>
    </w:p>
    <w:p>
      <w:pPr>
        <w:pStyle w:val="Podpis"/>
      </w:pPr>
      <w:r>
        <w:t xml:space="preserve">Sekcja do uzupełnienia — limit 120–150 słów.</w:t>
      </w:r>
    </w:p>
    <w:p>
      <w:pPr>
        <w:pStyle w:val="Caption"/>
        <w:jc w:val="center"/>
      </w:pPr>
      <w:r>
        <w:drawing>
          <wp:inline distT="0" distB="0" distL="0" distR="0">
            <wp:extent cx="57721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Rysunek 1. Profil dojrzałości cyfrowej według siedmiu osi DRD.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Obecny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Docelowy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Luki krytyczne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pStyle w:val="Caption"/>
      </w:pPr>
      <w:r>
        <w:t xml:space="preserve">Tabela 1. Zestawienie siedmiu osi DRD.</w:t>
      </w:r>
    </w:p>
    <w:p>
      <w:pPr>
        <w:pStyle w:val="Heading2"/>
        <w:pStyle w:val="Heading2"/>
      </w:pPr>
      <w:r>
        <w:t xml:space="preserve">Luki krytyczne i rekomendacja główna</w:t>
      </w:r>
    </w:p>
    <w:p>
      <w:pPr>
        <w:pStyle w:val="Podpis"/>
      </w:pPr>
      <w:r>
        <w:t xml:space="preserve">Sekcja do uzupełnienia — limit 120–150 słów.</w:t>
      </w:r>
    </w:p>
    <w:p>
      <w:pPr>
        <w:pStyle w:val="Kicker"/>
        <w:keepNext/>
        <w:pageBreakBefore/>
      </w:pPr>
      <w:r>
        <w:t xml:space="preserve">Rozdział 1 z 7 · oś 1 struktury DRD</w:t>
      </w:r>
    </w:p>
    <w:p>
      <w:pPr>
        <w:pStyle w:val="Heading1"/>
        <w:pStyle w:val="Heading1"/>
        <w:keepNext/>
      </w:pPr>
      <w:r>
        <w:t xml:space="preserve">1. Procesy Cyfrowe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Sprzedaży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Marketingowe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Technologia Procesowa i R&amp;D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Zakupowe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Logistyczne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Produkcyjne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Jakości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Finansami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HR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2. Tabela obejmuje 9 obszarów osi 1. Kolumny poziomów pokazują skalę od 1 do 7; Luka jest różnicą między poziomem docelowym i obecnym, a Priorytet wynika z wielkości luki. Źródłem jest zamrożony Output z dnia 2026-09-04.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1A Procesy Sprzedaży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1A nie oceniono — brak danych źródłowych.</w:t>
      </w:r>
    </w:p>
    <w:p>
      <w:pPr>
        <w:pStyle w:val="Heading3"/>
        <w:pStyle w:val="Heading3"/>
      </w:pPr>
      <w:r>
        <w:t xml:space="preserve">1B Procesy Marketingowe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1B nie oceniono — brak danych źródłowych.</w:t>
      </w:r>
    </w:p>
    <w:p>
      <w:pPr>
        <w:pStyle w:val="Heading3"/>
        <w:pStyle w:val="Heading3"/>
      </w:pPr>
      <w:r>
        <w:t xml:space="preserve">1C Technologia Procesowa i R&amp;D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1C nie oceniono — brak danych źródłowych.</w:t>
      </w:r>
    </w:p>
    <w:p>
      <w:pPr>
        <w:pStyle w:val="Heading3"/>
        <w:pStyle w:val="Heading3"/>
      </w:pPr>
      <w:r>
        <w:t xml:space="preserve">1D Procesy Zakupowe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1D nie oceniono — brak danych źródłowych.</w:t>
      </w:r>
    </w:p>
    <w:p>
      <w:pPr>
        <w:pStyle w:val="Heading3"/>
        <w:pStyle w:val="Heading3"/>
      </w:pPr>
      <w:r>
        <w:t xml:space="preserve">1E Procesy Logistyczne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1E nie oceniono — brak danych źródłowych.</w:t>
      </w:r>
    </w:p>
    <w:p>
      <w:pPr>
        <w:pStyle w:val="Heading3"/>
        <w:pStyle w:val="Heading3"/>
      </w:pPr>
      <w:r>
        <w:t xml:space="preserve">1F Procesy Produkcyjne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1F nie oceniono — brak danych źródłowych.</w:t>
      </w:r>
    </w:p>
    <w:p>
      <w:pPr>
        <w:pStyle w:val="Heading3"/>
        <w:pStyle w:val="Heading3"/>
      </w:pPr>
      <w:r>
        <w:t xml:space="preserve">1G Procesy Jakości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1G nie oceniono — brak danych źródłowych.</w:t>
      </w:r>
    </w:p>
    <w:p>
      <w:pPr>
        <w:pStyle w:val="Heading3"/>
        <w:pStyle w:val="Heading3"/>
      </w:pPr>
      <w:r>
        <w:t xml:space="preserve">1H Zarządzanie Finansami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1H nie oceniono — brak danych źródłowych.</w:t>
      </w:r>
    </w:p>
    <w:p>
      <w:pPr>
        <w:pStyle w:val="Heading3"/>
        <w:pStyle w:val="Heading3"/>
      </w:pPr>
      <w:r>
        <w:t xml:space="preserve">1I Procesy HR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1I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2 z 7 · oś 2 struktury DRD</w:t>
      </w:r>
    </w:p>
    <w:p>
      <w:pPr>
        <w:pStyle w:val="Heading1"/>
        <w:pStyle w:val="Heading1"/>
        <w:keepNext/>
      </w:pPr>
      <w:r>
        <w:t xml:space="preserve">2. Produkty Cyfrowe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Społecznościowe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ICT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Dopasowanie Produktu do Oczekiwań Klienta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Skalowalność Produktu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4. Tabela obejmuje 5 obszarów osi 2. Kolumny poziomów pokazują skalę od 1 do 5; Luka jest różnicą między poziomem docelowym i obecnym, a Priorytet wynika z wielkości luki. Źródłem jest zamrożony Output z dnia 2026-09-04.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2A Produkty Cyfrowe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2A nie oceniono — brak danych źródłowych.</w:t>
      </w:r>
    </w:p>
    <w:p>
      <w:pPr>
        <w:pStyle w:val="Heading3"/>
        <w:pStyle w:val="Heading3"/>
      </w:pPr>
      <w:r>
        <w:t xml:space="preserve">2B Produkty Społecznościowe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2B nie oceniono — brak danych źródłowych.</w:t>
      </w:r>
    </w:p>
    <w:p>
      <w:pPr>
        <w:pStyle w:val="Heading3"/>
        <w:pStyle w:val="Heading3"/>
      </w:pPr>
      <w:r>
        <w:t xml:space="preserve">2C Produkty ICT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2C nie oceniono — brak danych źródłowych.</w:t>
      </w:r>
    </w:p>
    <w:p>
      <w:pPr>
        <w:pStyle w:val="Heading3"/>
        <w:pStyle w:val="Heading3"/>
      </w:pPr>
      <w:r>
        <w:t xml:space="preserve">2D Dopasowanie Produktu do Oczekiwań Klienta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2D nie oceniono — brak danych źródłowych.</w:t>
      </w:r>
    </w:p>
    <w:p>
      <w:pPr>
        <w:pStyle w:val="Heading3"/>
        <w:pStyle w:val="Heading3"/>
      </w:pPr>
      <w:r>
        <w:t xml:space="preserve">2E Skalowalność Produktu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3 z 7 · oś 3 struktury DRD</w:t>
      </w:r>
    </w:p>
    <w:p>
      <w:pPr>
        <w:pStyle w:val="Heading1"/>
        <w:pStyle w:val="Heading1"/>
        <w:keepNext/>
      </w:pPr>
      <w:r>
        <w:t xml:space="preserve">3. Cyfrowe Modele Biznesowe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E-commerce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Rozwiązania Platformowe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 As-a-Service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Współdzielenia Zasobów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Monetyzacji Danych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6. Tabela obejmuje 5 obszarów osi 3. Kolumny poziomów pokazują skalę od 1 do 5; Luka jest różnicą między poziomem docelowym i obecnym, a Priorytet wynika z wielkości luki. Źródłem jest zamrożony Output z dnia 2026-09-04.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3A Modele E-commerce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3A nie oceniono — brak danych źródłowych.</w:t>
      </w:r>
    </w:p>
    <w:p>
      <w:pPr>
        <w:pStyle w:val="Heading3"/>
        <w:pStyle w:val="Heading3"/>
      </w:pPr>
      <w:r>
        <w:t xml:space="preserve">3B Rozwiązania Platformowe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3B nie oceniono — brak danych źródłowych.</w:t>
      </w:r>
    </w:p>
    <w:p>
      <w:pPr>
        <w:pStyle w:val="Heading3"/>
        <w:pStyle w:val="Heading3"/>
      </w:pPr>
      <w:r>
        <w:t xml:space="preserve">3C Model As-a-Service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3C nie oceniono — brak danych źródłowych.</w:t>
      </w:r>
    </w:p>
    <w:p>
      <w:pPr>
        <w:pStyle w:val="Heading3"/>
        <w:pStyle w:val="Heading3"/>
      </w:pPr>
      <w:r>
        <w:t xml:space="preserve">3D Modele Współdzielenia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3D nie oceniono — brak danych źródłowych.</w:t>
      </w:r>
    </w:p>
    <w:p>
      <w:pPr>
        <w:pStyle w:val="Heading3"/>
        <w:pStyle w:val="Heading3"/>
      </w:pPr>
      <w:r>
        <w:t xml:space="preserve">3E Modele Monetyzacji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4 z 7 · oś 4 struktury DRD</w:t>
      </w:r>
    </w:p>
    <w:p>
      <w:pPr>
        <w:pStyle w:val="Heading1"/>
        <w:pStyle w:val="Heading1"/>
        <w:keepNext/>
      </w:pPr>
      <w:r>
        <w:t xml:space="preserve">4. Zarządzanie Danymi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Zbieranie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Metodologia Przechowywania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Komunikacja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Analiza Big Data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Przetwarzanie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8. Tabela obejmuje 5 obszarów osi 4. Kolumny poziomów pokazują skalę od 1 do 7; Luka jest różnicą między poziomem docelowym i obecnym, a Priorytet wynika z wielkości luki. Źródłem jest zamrożony Output z dnia 2026-09-04.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4A Zbieranie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4A nie oceniono — brak danych źródłowych.</w:t>
      </w:r>
    </w:p>
    <w:p>
      <w:pPr>
        <w:pStyle w:val="Heading3"/>
        <w:pStyle w:val="Heading3"/>
      </w:pPr>
      <w:r>
        <w:t xml:space="preserve">4B Metodologia Przechowywania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4B nie oceniono — brak danych źródłowych.</w:t>
      </w:r>
    </w:p>
    <w:p>
      <w:pPr>
        <w:pStyle w:val="Heading3"/>
        <w:pStyle w:val="Heading3"/>
      </w:pPr>
      <w:r>
        <w:t xml:space="preserve">4C Komunikacja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4C nie oceniono — brak danych źródłowych.</w:t>
      </w:r>
    </w:p>
    <w:p>
      <w:pPr>
        <w:pStyle w:val="Heading3"/>
        <w:pStyle w:val="Heading3"/>
      </w:pPr>
      <w:r>
        <w:t xml:space="preserve">4D Analiza Big Data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4D nie oceniono — brak danych źródłowych.</w:t>
      </w:r>
    </w:p>
    <w:p>
      <w:pPr>
        <w:pStyle w:val="Heading3"/>
        <w:pStyle w:val="Heading3"/>
      </w:pPr>
      <w:r>
        <w:t xml:space="preserve">4E Przetwarzanie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5 z 7 · oś 5 struktury DRD</w:t>
      </w:r>
    </w:p>
    <w:p>
      <w:pPr>
        <w:pStyle w:val="Heading1"/>
        <w:pStyle w:val="Heading1"/>
        <w:keepNext/>
      </w:pPr>
      <w:r>
        <w:t xml:space="preserve">5. Kultura Transformacji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Postawy przywódcze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Gotowość na zmianę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Ciągły rozwój kompetencji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innowacji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Dostępność zasobów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10. Tabela obejmuje 5 obszarów osi 5. Kolumny poziomów pokazują skalę od 1 do 6; Luka jest różnicą między poziomem docelowym i obecnym, a Priorytet wynika z wielkości luki. Źródłem jest zamrożony Output z dnia 2026-09-04.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5A Postawy przywódcze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5A nie oceniono — brak danych źródłowych.</w:t>
      </w:r>
    </w:p>
    <w:p>
      <w:pPr>
        <w:pStyle w:val="Heading3"/>
        <w:pStyle w:val="Heading3"/>
      </w:pPr>
      <w:r>
        <w:t xml:space="preserve">5B Gotowość na zmianę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5B nie oceniono — brak danych źródłowych.</w:t>
      </w:r>
    </w:p>
    <w:p>
      <w:pPr>
        <w:pStyle w:val="Heading3"/>
        <w:pStyle w:val="Heading3"/>
      </w:pPr>
      <w:r>
        <w:t xml:space="preserve">5C Ciągły rozwój kompetencji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5C nie oceniono — brak danych źródłowych.</w:t>
      </w:r>
    </w:p>
    <w:p>
      <w:pPr>
        <w:pStyle w:val="Heading3"/>
        <w:pStyle w:val="Heading3"/>
      </w:pPr>
      <w:r>
        <w:t xml:space="preserve">5D Kultura innowacji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5D nie oceniono — brak danych źródłowych.</w:t>
      </w:r>
    </w:p>
    <w:p>
      <w:pPr>
        <w:pStyle w:val="Heading3"/>
        <w:pStyle w:val="Heading3"/>
      </w:pPr>
      <w:r>
        <w:t xml:space="preserve">5E Dostępność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6 z 7 · oś 6 struktury DRD</w:t>
      </w:r>
    </w:p>
    <w:p>
      <w:pPr>
        <w:pStyle w:val="Heading1"/>
        <w:pStyle w:val="Heading1"/>
        <w:keepNext/>
      </w:pPr>
      <w:r>
        <w:t xml:space="preserve">6. Cyberbezpieczeństwo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Strategia i zarządzanie ryzykiem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sieci i 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danych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Edukacja i jakość 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Plany awaryjne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12. Tabela obejmuje 5 obszarów osi 6. Kolumny poziomów pokazują skalę od 1 do 6; Luka jest różnicą między poziomem docelowym i obecnym, a Priorytet wynika z wielkości luki. Źródłem jest zamrożony Output z dnia 2026-09-04.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6A Strategia i zarządzanie ryzykiem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6A nie oceniono — brak danych źródłowych.</w:t>
      </w:r>
    </w:p>
    <w:p>
      <w:pPr>
        <w:pStyle w:val="Heading3"/>
        <w:pStyle w:val="Heading3"/>
      </w:pPr>
      <w:r>
        <w:t xml:space="preserve">6B Ochrona sieci i 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6B nie oceniono — brak danych źródłowych.</w:t>
      </w:r>
    </w:p>
    <w:p>
      <w:pPr>
        <w:pStyle w:val="Heading3"/>
        <w:pStyle w:val="Heading3"/>
      </w:pPr>
      <w:r>
        <w:t xml:space="preserve">6C Ochrona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6C nie oceniono — brak danych źródłowych.</w:t>
      </w:r>
    </w:p>
    <w:p>
      <w:pPr>
        <w:pStyle w:val="Heading3"/>
        <w:pStyle w:val="Heading3"/>
      </w:pPr>
      <w:r>
        <w:t xml:space="preserve">6D Edukacja i jakość 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6D nie oceniono — brak danych źródłowych.</w:t>
      </w:r>
    </w:p>
    <w:p>
      <w:pPr>
        <w:pStyle w:val="Heading3"/>
        <w:pStyle w:val="Heading3"/>
      </w:pPr>
      <w:r>
        <w:t xml:space="preserve">6E Plany awaryjne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7 z 7 · oś 7 struktury DRD</w:t>
      </w:r>
    </w:p>
    <w:p>
      <w:pPr>
        <w:pStyle w:val="Heading1"/>
        <w:pStyle w:val="Heading1"/>
        <w:keepNext/>
      </w:pPr>
      <w:r>
        <w:t xml:space="preserve">7. Dojrzałość AI</w:t>
      </w:r>
    </w:p>
    <w:p>
      <w:pPr>
        <w:pStyle w:val="Podpis"/>
      </w:pPr>
      <w:r>
        <w:t xml:space="preserve">Oś nie została oceniona. 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Dane i Fundamenty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Wspierane przez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AI w Produktach i Usługach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Governance, Bezpieczeństwo i Etyka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Kompetencje i Kultura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14. Tabela obejmuje 5 obszarów osi 7. Kolumny poziomów pokazują skalę od 1 do 5; Luka jest różnicą między poziomem docelowym i obecnym, a Priorytet wynika z wielkości luki. Źródłem jest zamrożony Output z dnia 2026-09-04.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7A Dane i Fundamenty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7A nie oceniono — brak danych źródłowych.</w:t>
      </w:r>
    </w:p>
    <w:p>
      <w:pPr>
        <w:pStyle w:val="Heading3"/>
        <w:pStyle w:val="Heading3"/>
      </w:pPr>
      <w:r>
        <w:t xml:space="preserve">7B Procesy Wspierane przez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7B nie oceniono — brak danych źródłowych.</w:t>
      </w:r>
    </w:p>
    <w:p>
      <w:pPr>
        <w:pStyle w:val="Heading3"/>
        <w:pStyle w:val="Heading3"/>
      </w:pPr>
      <w:r>
        <w:t xml:space="preserve">7C AI w Produktach i Usługach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7C nie oceniono — brak danych źródłowych.</w:t>
      </w:r>
    </w:p>
    <w:p>
      <w:pPr>
        <w:pStyle w:val="Heading3"/>
        <w:pStyle w:val="Heading3"/>
      </w:pPr>
      <w:r>
        <w:t xml:space="preserve">7D Governance, Bezpieczeństwo i Etyka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7D nie oceniono — brak danych źródłowych.</w:t>
      </w:r>
    </w:p>
    <w:p>
      <w:pPr>
        <w:pStyle w:val="Heading3"/>
        <w:pStyle w:val="Heading3"/>
      </w:pPr>
      <w:r>
        <w:t xml:space="preserve">7E Kompetencje i Kultura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SYNTEZA</w:t>
      </w:r>
    </w:p>
    <w:p>
      <w:pPr>
        <w:pStyle w:val="Heading1"/>
        <w:pStyle w:val="Heading1"/>
        <w:keepNext/>
      </w:pPr>
      <w:r>
        <w:t xml:space="preserve">8. Wnioski końcowe</w:t>
      </w:r>
    </w:p>
    <w:p>
      <w:pPr>
        <w:pStyle w:val="Podpis"/>
      </w:pPr>
      <w:r>
        <w:t xml:space="preserve">Sekcja do uzupełnienia — limit 250–300 słów.</w:t>
      </w:r>
    </w:p>
    <w:p>
      <w:pPr>
        <w:pStyle w:val="Heading2"/>
        <w:pStyle w:val="Heading2"/>
      </w:pPr>
      <w:r>
        <w:t xml:space="preserve">Linia decyzyjna programu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ZAŁĄCZNIK</w:t>
      </w:r>
    </w:p>
    <w:p>
      <w:pPr>
        <w:pStyle w:val="Heading1"/>
        <w:pStyle w:val="Heading1"/>
        <w:keepNext/>
      </w:pPr>
      <w:r>
        <w:t xml:space="preserve">Załącznik A. Rejestr luk</w:t>
      </w:r>
    </w:p>
    <w:p>
      <w:pPr>
        <w:pStyle w:val="Heading1"/>
        <w:pStyle w:val="Heading1"/>
      </w:pPr>
      <w:r>
        <w:t xml:space="preserve">Źródła i identyfikowalność</w:t>
      </w:r>
    </w:p>
    <w:p>
      <w:pPr>
        <w:pStyle w:val="AssumptionBody"/>
      </w:pPr>
      <w:r>
        <w:t xml:space="preserve">Nie dołączono źródeł. Merytoryczne bloki treści oznaczono jako założenia i przed dystrybucją do klienta wymagają pakietu źródłowego.</w:t>
      </w:r>
    </w:p>
    <w:sectPr>
      <w:footerReference w:type="default" r:id="rId6"/>
      <w:footerReference w:type="first" r:id="rId7"/>
      <w:pgSz w:w="11906" w:h="16838" w:orient="portrait"/>
      <w:pgMar w:top="1247" w:right="1247" w:bottom="1134" w:left="1247" w:header="708" w:footer="62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FE8" w:sz="2" w:space="6"/>
      </w:pBdr>
      <w:tabs>
        <w:tab w:val="center" w:pos="4706"/>
        <w:tab w:val="right" w:pos="9412"/>
      </w:tabs>
      <w:jc w:val="left"/>
    </w:pPr>
    <w:r>
      <w:rPr>
        <w:color w:val="6B7280"/>
        <w:sz w:val="16"/>
        <w:szCs w:val="16"/>
      </w:rPr>
      <w:t xml:space="preserve">Poufne — [Nazwa klienta do uzupełnienia]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Strona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z 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sz w:val="16"/>
        <w:szCs w:val="16"/>
      </w:rPr>
      <w:t xml:space="preserve">	</w:t>
    </w:r>
    <w:r>
      <w:rPr>
        <w:color w:val="85182F"/>
        <w:sz w:val="16"/>
        <w:szCs w:val="16"/>
      </w:rPr>
      <w:t xml:space="preserve">● </w:t>
    </w:r>
    <w:r>
      <w:rPr>
        <w:color w:val="6B7280"/>
        <w:sz w:val="16"/>
        <w:szCs w:val="16"/>
      </w:rPr>
      <w:t xml:space="preserve">Consultify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pl-PL" w:eastAsia="pl-PL" w:bidi="pl-P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before="600" w:after="200"/>
      <w:jc w:val="center"/>
    </w:pPr>
    <w:rPr>
      <w:rFonts w:ascii="Calibri Light" w:cs="Calibri Light" w:eastAsia="Calibri Light" w:hAnsi="Calibri Light"/>
      <w:b/>
      <w:bCs/>
      <w:color w:val="0A2F57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Calibri" w:cs="Calibri" w:eastAsia="Calibri" w:hAnsi="Calibri"/>
      <w:i/>
      <w:iCs/>
      <w:color w:val="475569"/>
      <w:sz w:val="26"/>
      <w:szCs w:val="26"/>
    </w:rPr>
  </w:style>
  <w:style w:type="paragraph" w:styleId="Heading1">
    <w:name w:val="Heading 1"/>
    <w:basedOn w:val="Normal"/>
    <w:next w:val="BodyText"/>
    <w:qFormat/>
    <w:pPr>
      <w:pBdr>
        <w:bottom w:val="single" w:color="1D9E75" w:sz="8" w:space="6"/>
      </w:pBd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BodyText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BodyText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20"/>
    </w:pPr>
    <w:rPr>
      <w:rFonts w:ascii="Calibri" w:cs="Calibri" w:eastAsia="Calibri" w:hAnsi="Calibri"/>
      <w:color w:val="1F2933"/>
      <w:sz w:val="22"/>
      <w:szCs w:val="22"/>
    </w:rPr>
  </w:style>
  <w:style w:type="paragraph" w:styleId="BlockQuote">
    <w:name w:val="Block Quote"/>
    <w:basedOn w:val="BodyText"/>
    <w:next w:val="BodyText"/>
    <w:pPr>
      <w:pBdr>
        <w:left w:val="single" w:color="0C447C" w:sz="18" w:space="12"/>
      </w:pBdr>
      <w:spacing w:before="80" w:after="120"/>
      <w:ind w:left="360"/>
    </w:pPr>
    <w:rPr>
      <w:rFonts w:ascii="Calibri" w:cs="Calibri" w:eastAsia="Calibri" w:hAnsi="Calibri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before="60" w:after="120"/>
    </w:pPr>
    <w:rPr>
      <w:rFonts w:ascii="Calibri" w:cs="Calibri" w:eastAsia="Calibri" w:hAnsi="Calibri"/>
      <w:i/>
      <w:iCs/>
      <w:color w:val="64748B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Calibri" w:cs="Calibri" w:eastAsia="Calibri" w:hAnsi="Calibri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Calibri" w:cs="Calibri" w:eastAsia="Calibri" w:hAnsi="Calibri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pBdr>
        <w:left w:val="single" w:color="1D9E75" w:sz="24" w:space="12"/>
      </w:pBdr>
      <w:shd w:fill="F5F8FC" w:val="clear"/>
      <w:spacing w:before="80" w:after="120"/>
      <w:ind w:left="240"/>
    </w:pPr>
    <w:rPr>
      <w:rFonts w:ascii="Calibri" w:cs="Calibri" w:eastAsia="Calibri" w:hAnsi="Calibri"/>
      <w:color w:val="1F2933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Calibri" w:cs="Calibri" w:eastAsia="Calibri" w:hAnsi="Calibri"/>
      <w:color w:val="1F2933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Tresc">
    <w:name w:val="Treść"/>
    <w:basedOn w:val="Normal"/>
    <w:next w:val="Tresc"/>
    <w:qFormat/>
    <w:pPr>
      <w:spacing w:line="312" w:after="120"/>
    </w:pPr>
    <w:rPr>
      <w:rFonts w:ascii="Calibri" w:cs="Calibri" w:eastAsia="Calibri" w:hAnsi="Calibri"/>
      <w:color w:val="1F2937"/>
      <w:sz w:val="22"/>
      <w:szCs w:val="22"/>
    </w:rPr>
  </w:style>
  <w:style w:type="paragraph" w:styleId="Lead">
    <w:name w:val="Lead"/>
    <w:basedOn w:val="Tresc"/>
    <w:next w:val="Tresc"/>
    <w:pPr>
      <w:spacing w:line="336" w:after="160"/>
    </w:pPr>
    <w:rPr>
      <w:rFonts w:ascii="Calibri" w:cs="Calibri" w:eastAsia="Calibri" w:hAnsi="Calibri"/>
      <w:color w:val="1F2937"/>
      <w:sz w:val="24"/>
      <w:szCs w:val="24"/>
    </w:rPr>
  </w:style>
  <w:style w:type="paragraph" w:styleId="Kicker">
    <w:name w:val="Kicker"/>
    <w:basedOn w:val="Normal"/>
    <w:next w:val="Heading1"/>
    <w:pPr>
      <w:spacing w:after="80"/>
    </w:pPr>
    <w:rPr>
      <w:rFonts w:ascii="Calibri" w:cs="Calibri" w:eastAsia="Calibri" w:hAnsi="Calibri"/>
      <w:b/>
      <w:bCs/>
      <w:color w:val="1D9E75"/>
      <w:sz w:val="18"/>
      <w:szCs w:val="18"/>
    </w:rPr>
  </w:style>
  <w:style w:type="paragraph" w:styleId="Podpis">
    <w:name w:val="Podpis"/>
    <w:basedOn w:val="Tresc"/>
    <w:next w:val="Tresc"/>
    <w:pPr>
      <w:spacing w:before="60" w:after="12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Sygnatura">
    <w:name w:val="Sygnatura"/>
    <w:basedOn w:val="Tresc"/>
    <w:next w:val="Tresc"/>
    <w:pPr>
      <w:pBdr>
        <w:left w:val="single" w:color="1D9E75" w:sz="18" w:space="10"/>
      </w:pBdr>
      <w:shd w:fill="E2E9EF" w:val="clear"/>
      <w:spacing w:before="80" w:after="100"/>
      <w:ind w:left="180"/>
    </w:pPr>
    <w:rPr>
      <w:rFonts w:ascii="Calibri" w:cs="Calibri" w:eastAsia="Calibri" w:hAnsi="Calibri"/>
      <w:color w:val="1F2937"/>
      <w:sz w:val="19"/>
      <w:szCs w:val="19"/>
    </w:rPr>
  </w:style>
  <w:style w:type="paragraph" w:styleId="TOC1">
    <w:name w:val="TOC 1"/>
    <w:basedOn w:val="Tresc"/>
    <w:next w:val="TOC1"/>
    <w:pPr>
      <w:spacing w:after="70"/>
    </w:pPr>
    <w:rPr>
      <w:rFonts w:ascii="Calibri" w:cs="Calibri" w:eastAsia="Calibri" w:hAnsi="Calibri"/>
      <w:color w:val="083152"/>
      <w:sz w:val="20"/>
      <w:szCs w:val="20"/>
    </w:rPr>
  </w:style>
  <w:style w:type="paragraph" w:styleId="TOC2">
    <w:name w:val="TOC 2"/>
    <w:basedOn w:val="Tresc"/>
    <w:next w:val="TOC2"/>
    <w:pPr>
      <w:spacing w:after="50"/>
      <w:ind w:left="360"/>
    </w:pPr>
    <w:rPr>
      <w:rFonts w:ascii="Calibri" w:cs="Calibri" w:eastAsia="Calibri" w:hAnsi="Calibri"/>
      <w:color w:val="6B7280"/>
      <w:sz w:val="18"/>
      <w:szCs w:val="18"/>
    </w:rPr>
  </w:style>
  <w:style w:type="paragraph" w:styleId="NaglowekBezNumeru">
    <w:name w:val="Nagłówek bez numeru"/>
    <w:basedOn w:val="Heading1"/>
    <w:next w:val="Tresc"/>
    <w:qFormat/>
    <w:pPr>
      <w:spacing w:before="240" w:after="120"/>
    </w:pPr>
    <w:rPr>
      <w:rFonts w:ascii="Calibri Light" w:cs="Calibri Light" w:eastAsia="Calibri Light" w:hAnsi="Calibri Light"/>
      <w:color w:val="0C447C"/>
      <w:sz w:val="40"/>
      <w:szCs w:val="40"/>
    </w:rPr>
  </w:style>
  <w:style w:type="paragraph" w:styleId="NaglowekBezNumeru2">
    <w:name w:val="Nagłówek sekcji bez spisu"/>
    <w:basedOn w:val="Heading2"/>
    <w:next w:val="Tresc"/>
    <w:pPr>
      <w:spacing w:before="200" w:after="100"/>
    </w:pPr>
    <w:rPr>
      <w:rFonts w:ascii="Calibri Light" w:cs="Calibri Light" w:eastAsia="Calibri Light" w:hAnsi="Calibri Light"/>
      <w:b/>
      <w:bCs/>
      <w:color w:val="08315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424d5ae901c93d8856cc485a9e8c96c83e57aad8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oceny dojrzałości cyfrowej</dc:title>
  <dc:creator>Consultify Document Studio</dc:creator>
  <dc:description>Consultify Document Studio · client_final_report · executive</dc:description>
  <cp:lastModifiedBy>Un-named</cp:lastModifiedBy>
  <cp:revision>1</cp:revision>
  <dcterms:created xsi:type="dcterms:W3CDTF">2026-09-04T10:59:38.349Z</dcterms:created>
  <dcterms:modified xsi:type="dcterms:W3CDTF">2026-09-04T10:59:38.349Z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