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90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60"/>
          <w:sz w:val="17"/>
          <w:szCs w:val="17"/>
        </w:rPr>
        <w:t xml:space="preserve">CONSULTIFY · DBR77</w:t>
      </w:r>
    </w:p>
    <w:p>
      <w:pPr>
        <w:keepLines/>
        <w:widowControl/>
        <w:spacing w:before="0" w:after="140" w:line="38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0F172A"/>
          <w:sz w:val="56"/>
          <w:szCs w:val="56"/>
        </w:rPr>
        <w:t xml:space="preserve">Raport z Oceny Dojrzałości Cyfrowej</w:t>
      </w:r>
    </w:p>
    <w:p>
      <w:pPr>
        <w:keepLines/>
        <w:widowControl/>
        <w:spacing w:before="0" w:after="7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4"/>
          <w:szCs w:val="24"/>
        </w:rPr>
        <w:t xml:space="preserve">Digital Readiness Diagnosis (DRD) — 7 osi, 39 obszarów</w:t>
      </w:r>
    </w:p>
    <w:tbl>
      <w:tblPr>
        <w:tblW w:type="pct" w:w="100%"/>
        <w:tblBorders>
          <w:top w:val="single" w:color="0F172A" w:sz="12"/>
          <w:left w:val="none"/>
          <w:bottom w:val="single" w:color="E6E9ED" w:sz="2"/>
          <w:right w:val="none"/>
          <w:insideH w:val="none"/>
          <w:insideV w:val="none"/>
        </w:tblBorders>
      </w:tblPr>
      <w:tblGrid>
        <w:gridCol w:w="9637"/>
      </w:tblGrid>
      <w:tr>
        <w:tc>
          <w:tcPr>
            <w:tcMar>
              <w:top w:type="dxa" w:w="220"/>
              <w:left w:type="dxa" w:w="95"/>
              <w:bottom w:type="dxa" w:w="220"/>
              <w:right w:type="dxa" w:w="95"/>
            </w:tcMar>
            <w:vAlign w:val="top"/>
          </w:tcPr>
          <w:p>
            <w:pPr>
              <w:keepLines/>
              <w:widowControl/>
              <w:spacing w:before="0" w:after="80" w:line="264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aps w:val="false"/>
                <w:color w:val="0F172A"/>
                <w:sz w:val="30"/>
                <w:szCs w:val="30"/>
              </w:rPr>
              <w:t xml:space="preserve">TechProd Manufacturing Sp. z o.o.</w:t>
            </w:r>
          </w:p>
          <w:p>
            <w:pPr>
              <w:keepLines/>
              <w:widowControl/>
              <w:spacing w:before="0" w:after="0" w:line="26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8"/>
                <w:szCs w:val="18"/>
              </w:rPr>
              <w:t xml:space="preserve">producent podzespołów elektronicznych (EMS) dla motoryzacji i automatyki przemysłowej · 468 osób · 3 zakłady (Wrocław, Mielec, Ostrawa) · przychód 312 mln PLN (2025)</w:t>
            </w:r>
          </w:p>
        </w:tc>
      </w:tr>
    </w:tbl>
    <w:p>
      <w:pPr>
        <w:spacing w:before="0" w:after="90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E6E9ED" w:sz="2"/>
          <w:insideV w:val="none"/>
        </w:tblBorders>
        <w:tblLayout w:type="fixed"/>
      </w:tblPr>
      <w:tblGrid>
        <w:gridCol w:w="2891"/>
        <w:gridCol w:w="6746"/>
      </w:tblGrid>
      <w:tr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7"/>
                <w:szCs w:val="17"/>
              </w:rPr>
              <w:t xml:space="preserve">Data raportu</w:t>
            </w:r>
          </w:p>
        </w:tc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3 września 2026</w:t>
            </w:r>
          </w:p>
        </w:tc>
      </w:tr>
      <w:tr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7"/>
                <w:szCs w:val="17"/>
              </w:rPr>
              <w:t xml:space="preserve">Okres badania</w:t>
            </w:r>
          </w:p>
        </w:tc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11–27 sierpnia 2026</w:t>
            </w:r>
          </w:p>
        </w:tc>
      </w:tr>
      <w:tr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7"/>
                <w:szCs w:val="17"/>
              </w:rPr>
              <w:t xml:space="preserve">Wersja</w:t>
            </w:r>
          </w:p>
        </w:tc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Wersja 1.0 · dokument zatwierdzony przez partnera prowadzącego</w:t>
            </w:r>
          </w:p>
        </w:tc>
      </w:tr>
      <w:tr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7"/>
                <w:szCs w:val="17"/>
              </w:rPr>
              <w:t xml:space="preserve">Partner prowadzący</w:t>
            </w:r>
          </w:p>
        </w:tc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dr Piotr Wiśniewski — partner prowadzący, autor metodyki DRD</w:t>
            </w:r>
          </w:p>
        </w:tc>
      </w:tr>
      <w:tr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7"/>
                <w:szCs w:val="17"/>
              </w:rPr>
              <w:t xml:space="preserve">Wynik ogólny</w:t>
            </w:r>
          </w:p>
        </w:tc>
        <w:tc>
          <w:tcPr>
            <w:tcMar>
              <w:top w:type="dxa" w:w="100"/>
              <w:left w:type="dxa" w:w="95"/>
              <w:bottom w:type="dxa" w:w="10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4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6,6% skali · Benchmark branżowy (produkcja, Polska): 46% skali</w:t>
            </w:r>
          </w:p>
        </w:tc>
      </w:tr>
    </w:tbl>
    <w:p>
      <w:pPr>
        <w:spacing w:before="0" w:after="40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64748B"/>
          <w:sz w:val="16"/>
          <w:szCs w:val="16"/>
        </w:rPr>
        <w:t xml:space="preserve">Dokument poufny. Przeznaczony wyłącznie dla zarządu TechProd Manufacturing Sp. z o.o. oraz wskazanych przez zarząd odbiorców wewnętrznych.</w:t>
      </w:r>
    </w:p>
    <w:p>
      <w:pPr>
        <w:sectPr>
          <w:pgSz w:w="11906" w:h="16838" w:orient="portrait"/>
          <w:pgMar w:top="1360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Rozdział wstępny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Wstęp</w:t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Cel oceny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Zarząd TechProd Manufacturing zlecił ocenę dojrzałości cyfrowej, żeby odpowiedzieć na jedno pytanie: czy pieniądze wydawane na cyfryzację trafiają tam, gdzie firma ma największą lukę. Ocena ma dostarczyć podstawy do decyzji budżetowej na lata 2027–2028, a nie katalogu życzeń technologicznych.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Raport odpowiada na trzy pytania: gdzie organizacja jest dzisiaj (stan AS-IS, potwierdzony dowodem), dokąd powinna dojść w horyzoncie 24 miesięcy (stan TO-BE, uzgodniony z zarządem) oraz w jakiej kolejności należy działać, żeby kolejne kroki nie blokowały się nawzajem.</w:t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Zakres i sposób prowadzenia badania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Badanie objęło całą organizację w siedmiu osiach metodyki DRD i 39 obszarach szczegółowych. Podstawą oceny są dowody — dokumenty, zrzuty z systemów, eksporty danych i obserwacja na miejscu. Wypowiedź bez artefaktu jest w tym raporcie oznaczana jako deklaracja i jako taka wchodzi do oceny z niższą wagą.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2120"/>
        <w:gridCol w:w="751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Termin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Działanie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11–22.08.2026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18 wywiadów strukturyzowanych (kadra zarządzająca, kierownicy, specjaliści)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14.08.2026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wizyta w zakładzie Wrocław — linie SMT, montaż końcowy, magazyny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19.08.2026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przegląd systemów: ERP, MES, WMS, CRM, narzędzia HR, infrastruktura sieciowa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21.08.2026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przegląd dokumentacji: polityki SZBI, certyfikat ISO 27001, raporty KPI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27.08.2026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warsztat walidacyjny — potwierdzenie poziomów AS-IS i uzgodnienie TO-BE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03.09.2026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wydanie raportu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Metodyka DRD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Digital Readiness Diagnosis to metodyka oceny dojrzałości cyfrowej opisana w książce „Digital Pathfinder" dr. Piotra Wiśniewskiego. Łączy doradztwo strategiczne z reorganizacją operacyjną: najpierw ustala stan faktyczny, potem definiuje inicjatywy transformacyjne, a na końcu układa je w spójną sekwencję z efektami ekonomicznymi. Metodyka wymaga, żeby zdolności warunkujące powstały przed rozwiązaniami zaawansowanymi — dlatego mapa drogowa w tym raporcie ma wymuszoną kolejność, a nie listę priorytetów do dowolnego wyboru.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964"/>
        <w:gridCol w:w="5589"/>
        <w:gridCol w:w="1542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Oś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Nazwa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Obszary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Skala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Cyfrowe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1–7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Produkty Cyfrowe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1–5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Cyfrowe Modele Biznesowe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1–5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Zarządzanie Danymi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1–7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Kultura Transformacji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1–6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Cyberbezpieczeństwo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1–6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Dojrzałość AI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1–5</w:t>
            </w:r>
          </w:p>
        </w:tc>
      </w:tr>
    </w:tbl>
    <w:p>
      <w:pPr>
        <w:spacing w:before="0" w:after="1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Jak czytać poziomy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Osie mają różne skale, bo mierzą różne rzeczy. Procesy cyfrowe i zarządzanie danymi mają siedem poziomów, kultura i cyberbezpieczeństwo sześć, pozostałe pięć. Poziom 4 na osi produktów nie znaczy tego samego co poziom 4 na osi procesów.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Dlatego porównania między osiami prowadzimy w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procencie skali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 (poziom osiągnięty podzielony przez maksimum danej osi), a wewnątrz osi — w poziomach natywnych. Wynik ogólny w tym raporcie to średnia z procentów skali siedmiu osi, liczona z równą wagą.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334155" w:color="auto" w:val="clear"/>
            <w:tcMar>
              <w:top w:type="dxa" w:w="0"/>
              <w:left w:type="dxa" w:w="95"/>
              <w:bottom w:type="dxa" w:w="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8FAFC" w:color="auto" w:val="clear"/>
            <w:tcMar>
              <w:top w:type="dxa" w:w="120"/>
              <w:left w:type="dxa" w:w="95"/>
              <w:bottom w:type="dxa" w:w="120"/>
              <w:right w:type="dxa" w:w="95"/>
            </w:tcMar>
            <w:vAlign w:val="top"/>
          </w:tcPr>
          <w:p>
            <w:pPr>
              <w:keepLines/>
              <w:widowControl/>
              <w:spacing w:before="0" w:after="70" w:line="264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Wyższy poziom nie jest automatycznie lepszy.</w:t>
            </w:r>
          </w:p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20"/>
                <w:szCs w:val="20"/>
              </w:rPr>
              <w:t xml:space="preserve">Metodyka DRD nie zakłada, że każda oś ma dojść do maksimum. Poziom docelowy wynika ze znaczenia strategicznego obszaru, zależności między osiami, kosztu, zdolności wykonawczej i ryzyka. W trzech osiach tego raportu rekomendujemy świadomie sufit poniżej maksimum skali i podajemy uzasadnienie w rozdziale każdej z nich.</w:t>
            </w:r>
          </w:p>
        </w:tc>
      </w:tr>
    </w:tbl>
    <w:p>
      <w:pPr>
        <w:spacing w:before="0" w:after="1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Każdy rozdział osi ma tę samą budowę: werdykt jednym zdaniem, wskaźnik poziomu, co zbadano, odpowiedzi klienta, dowody, tabela obszarów, wnioski, rekomendacje i linia decyzyjna. Kolejność jest stała we wszystkich siedmiu rozdziałach, żeby dało się je porównywać.</w:t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Skład zespołu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3662"/>
        <w:gridCol w:w="5975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Zespół doradczy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Rola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dr Piotr Wiśniewski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partner prowadzący, autor metodyki DRD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Anna Kowal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konsultant wiodący, prowadzenie wywiadów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Marek Lis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analityk danych, weryfikacja dowodów systemowych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3662"/>
        <w:gridCol w:w="5975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Zespół klienta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Rola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Jacek Andrzejewski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Prezes Zarządu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Ewa Roman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Operacyjny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Tomasz Bielak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Finansowy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Rafał Nowicki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Grzegorz Sowa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Produkcji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Katarzyna Wilk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Sprzedaży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Michał Duda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Logistyki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Iwona Lech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HR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1247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Oś 1 z 7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Procesy Cyfrowe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334155" w:color="auto" w:val="clear"/>
            <w:tcMar>
              <w:top w:type="dxa" w:w="0"/>
              <w:left w:type="dxa" w:w="95"/>
              <w:bottom w:type="dxa" w:w="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8FAFC" w:color="auto" w:val="clear"/>
            <w:tcMar>
              <w:top w:type="dxa" w:w="120"/>
              <w:left w:type="dxa" w:w="95"/>
              <w:bottom w:type="dxa" w:w="12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8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Produkcja i finanse pracują na zintegrowanym ERP, ale logistyka i HR pozostały poza obiegiem danych i hamują cały łańcuch.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Poziom dojrzałości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7</w:t>
            </w:r>
          </w:p>
        </w:tc>
      </w:tr>
    </w:tbl>
    <w:p>
      <w:pPr>
        <w:spacing w:before="0" w:after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Stan obecny (AS-IS): 0,22 z 7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   ·   Cel uzgodniony (TO-BE): 2,22 z 7   ·   3,2% skali   ·   9 obszarów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64748B"/>
          <w:sz w:val="15"/>
          <w:szCs w:val="15"/>
        </w:rPr>
        <w:t xml:space="preserve">Pola ciemne — poziomy osiągnięte. Pola szare — zakres do celu uzgodnionego. Pola jasne — poza zakresem tej mapy drogowej.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Zakres oceny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Oś ocenia stopień ucyfrowienia dziewięciu procesów podstawowych: sprzedaży, marketingu, technologii i R&amp;D, zakupów, logistyki, produkcji, jakości, finansów oraz HR. Skala 1–7 prowadzi od rejestracji danych, przez kontrolę i automatyzację, po MES, ERP i wsparcie algorytmiczne.</w:t>
      </w:r>
    </w:p>
    <w:p>
      <w:pPr>
        <w:spacing w:before="0"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tbl>
      <w:tblPr>
        <w:tblW w:type="pct" w:w="100%"/>
        <w:tblBorders>
          <w:top w:val="single" w:color="E6E9ED" w:sz="2"/>
          <w:left w:val="none"/>
          <w:bottom w:val="single" w:color="E6E9ED" w:sz="2"/>
          <w:right w:val="none"/>
          <w:insideH w:val="single" w:color="E6E9ED" w:sz="2"/>
          <w:insideV w:val="single" w:color="E6E9ED" w:sz="2"/>
        </w:tblBorders>
        <w:tblLayout w:type="fixed"/>
      </w:tblPr>
      <w:tblGrid>
        <w:gridCol w:w="4240"/>
        <w:gridCol w:w="539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Co zbadano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Odpowiedzi klienta w skrócie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Pokażcie ostatnie 10 zamówień w systemie — jak szybko od podpisania umowy trafił do niego wpis: tego samego dnia, kilka dni później, czy na koniec miesiąca?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Jak przebiega kontrola budżetu: system ostrzega o przekroczeniu planu w czasie rzeczywistym, czy dowiadujecie się po miesiącu z raportu?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Które linie raportują wykonanie automatycznie, a gdzie ktoś przepisuje wynik do arkusza? Pokażcie oba przypadki na danych z sierpnia.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Gdzie zapisana jest informacja o kompetencjach pracownika i kto ją aktualizuje?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Zamówienia trafiają do ERP tego samego dnia — eksport dziesięciu ostatnich zleceń potwierdził 10/10 wpisów w ciągu 24 godzin.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Budżet sprzedaży jest prowadzony w ERP z alertem przekroczenia; plan zakupowy nadal powstaje w arkuszu kontrolera i jest wprowadzany do systemu raz w miesiącu.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Dwie z trzech linii SMT raportują OEE do MES co zmianę. Montaż końcowy raportuje ręcznie — kierownik przepisuje wynik do arkusza następnego dnia rano.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Magazyn wyrobów gotowych obsługuje WMS; magazyn komponentów prowadzony jest na etykietach papierowych i inwentaryzacji kwartalnej.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Kompetencje pracowników nie są zapisane w żadnym systemie. Rekrutacja i ewidencja czasu pracy działają w dwóch niepowiązanych narzędziach.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Dowody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5589"/>
        <w:gridCol w:w="2506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Źródło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Stan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Eksport 10 zleceń sprzedaży z ERP (12.08.2026): 10/10 wpisanych ≤ 24 h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ERP, dział sprzedaży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Zrzut pulpitu OEE linii SMT-1 i SMT-2 z 14.08.2026, dane co zmianę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MES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Arkusz raportowania montażu końcowego, sierpień 2026 (wpisy ręczne, opóźnienie 1 dzień)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Kierownik produkcji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Obieg zamówień zakupowych i miejsce planu zakupowego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Wywiad — Dyrektor Logistyki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Kartoteka kompetencji pracowników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Brak dowodu</w:t>
            </w:r>
          </w:p>
        </w:tc>
      </w:tr>
    </w:tbl>
    <w:p>
      <w:r>
        <w:br w:type="pag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Obszary osi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675"/>
        <w:gridCol w:w="4144"/>
        <w:gridCol w:w="1156"/>
        <w:gridCol w:w="1156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/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Obszar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AS-IS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TO-BE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Luka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Sprzedaży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1B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Marketingowe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1C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Technologia Procesowa i R&amp;D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1D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Zakupowe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Logistyczne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+3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1F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Produkcyjne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1G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Jakości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1H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Zarządzanie Finansami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HR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Niepełny</w:t>
            </w:r>
          </w:p>
        </w:tc>
      </w:tr>
    </w:tbl>
    <w:p>
      <w:pPr>
        <w:spacing w:before="0" w:after="13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Wnioski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Oś 1 jest najmocniejszym filarem organizacji i jednocześnie mieści jej najgłębszą pojedynczą lukę. Rdzeń wytwórczy — produkcja, jakość, finanse, sprzedaż — pracuje na poziomie 4–5, czyli na realnie zintegrowanych systemach, a nie na deklaracjach: dane z linii SMT i z ERP dały się okazać na miejscu, w bieżących datach.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Poza tym rdzeniem organizacja pracuje tak, jak przed wdrożeniem ERP. Logistyka komponentów (1E, poziom 3 przy celu 6) i HR (1I, poziom 3) nie zasilają wspólnego obiegu danych. To nie jest kwestia wygody: brak stanów magazynowych w czasie rzeczywistym jest dziś pierwszym powodem przestojów planistycznych zgłaszanych przez produkcję, a brak kartoteki kompetencji uniemożliwia zaplanowanie jakiegokolwiek programu rozwoju z osi 5.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Montaż końcowy poza MES tworzy jednodniowe opóźnienie w obrazie wykonania. Przy dwóch liniach raportujących automatycznie koszt domknięcia trzeciej jest niski, a efekt — spójny obraz produkcji — natychmiastowy.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Rekomendacje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19"/>
        <w:gridCol w:w="1253"/>
        <w:gridCol w:w="1349"/>
        <w:gridCol w:w="221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Rekomendacja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Horyzont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Objąć magazyn komponentów tym samym WMS co wyroby gotowe (kody kreskowe, terminale, inwentaryzacja ciągła)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Logistyki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Wpiąć montaż końcowy do MES na tych samych wskaźnikach co linie SMT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 kwartał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Produkcji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Uruchomić jedną ewidencję kompetencji w systemie HR — warunek wstępny dla osi 5 i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HR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2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18"/>
          <w:szCs w:val="18"/>
        </w:rPr>
        <w:t xml:space="preserve">Sufit rekomendowany.  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Poziom 7 (wsparcie algorytmiczne) nie jest rekomendowany dla żadnego obszaru osi 1 w horyzoncie 24 miesięcy. Warunkiem wejścia jest kompletność danych procesowych, której dziś nie ma w logistyce i w HR — algorytm na niekompletnych danych pogłębi błąd, zamiast go usunąć.</w:t>
      </w:r>
    </w:p>
    <w:tbl>
      <w:tblPr>
        <w:tblW w:type="pct" w:w="100%"/>
        <w:tblBorders>
          <w:top w:val="single" w:color="0F172A" w:sz="8"/>
          <w:left w:val="none"/>
          <w:bottom w:val="single" w:color="0F172A" w:sz="8"/>
          <w:right w:val="none"/>
          <w:insideH w:val="none"/>
          <w:insideV w:val="single" w:color="E6E9ED" w:sz="2"/>
        </w:tblBorders>
        <w:tblLayout w:type="fixed"/>
      </w:tblPr>
      <w:tblGrid>
        <w:gridCol w:w="3277"/>
        <w:gridCol w:w="1542"/>
        <w:gridCol w:w="1446"/>
        <w:gridCol w:w="3373"/>
      </w:tblGrid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Rekomendowany kierunek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Priorytet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Horyzont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Warunek powodzenia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Domknięcie obiegu danych procesowych poza rdzeniem wytwórczym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Priorytet 2 z 7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12 miesięcy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Jeden właściciel danych magazynowych po stronie operacji</w:t>
            </w:r>
          </w:p>
        </w:tc>
      </w:tr>
    </w:tbl>
    <w:p>
      <w:pPr>
        <w:sectPr>
          <w:headerReference w:type="default" r:id="rId8"/>
          <w:footerReference w:type="default" r:id="rId9"/>
          <w:pgSz w:w="11906" w:h="16838" w:orient="portrait"/>
          <w:pgMar w:top="1247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Oś 2 z 7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Produkty Cyfrowe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334155" w:color="auto" w:val="clear"/>
            <w:tcMar>
              <w:top w:type="dxa" w:w="0"/>
              <w:left w:type="dxa" w:w="95"/>
              <w:bottom w:type="dxa" w:w="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8FAFC" w:color="auto" w:val="clear"/>
            <w:tcMar>
              <w:top w:type="dxa" w:w="120"/>
              <w:left w:type="dxa" w:w="95"/>
              <w:bottom w:type="dxa" w:w="12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8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Sterowniki z łącznością są realną przewagą, ale klient nie ma żadnego kanału cyfrowego, w którym mógłby z niej skorzystać.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Poziom dojrzałości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5</w:t>
            </w:r>
          </w:p>
        </w:tc>
      </w:tr>
    </w:tbl>
    <w:p>
      <w:pPr>
        <w:spacing w:before="0" w:after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Stan obecny (AS-IS): 0,4 z 5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   ·   Cel uzgodniony (TO-BE): 2,4 z 5   ·   8,0% skali   ·   5 obszarów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64748B"/>
          <w:sz w:val="15"/>
          <w:szCs w:val="15"/>
        </w:rPr>
        <w:t xml:space="preserve">Pola ciemne — poziomy osiągnięte. Pola szare — zakres do celu uzgodnionego. Pola jasne — poza zakresem tej mapy drogowej.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Zakres oceny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Oś ocenia, ile wartości produktu powstaje cyfrowo: funkcje dostępne wyłącznie w warstwie software, społeczność wokół produktu, komponent ICT, dopasowanie do oczekiwań klienta i skalowalność. Skala 1–5, od produktu wyłącznie fizycznego po produkt, którego rozwój jest sterowany danymi z eksploatacji.</w:t>
      </w:r>
    </w:p>
    <w:p>
      <w:pPr>
        <w:spacing w:before="0"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tbl>
      <w:tblPr>
        <w:tblW w:type="pct" w:w="100%"/>
        <w:tblBorders>
          <w:top w:val="single" w:color="E6E9ED" w:sz="2"/>
          <w:left w:val="none"/>
          <w:bottom w:val="single" w:color="E6E9ED" w:sz="2"/>
          <w:right w:val="none"/>
          <w:insideH w:val="single" w:color="E6E9ED" w:sz="2"/>
          <w:insideV w:val="single" w:color="E6E9ED" w:sz="2"/>
        </w:tblBorders>
        <w:tblLayout w:type="fixed"/>
      </w:tblPr>
      <w:tblGrid>
        <w:gridCol w:w="4240"/>
        <w:gridCol w:w="539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Co zbadano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Odpowiedzi klienta w skrócie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Który z Waszych produktów ma funkcję dostępną wyłącznie cyfrowo? Pokażcie ją na żywo.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Ilu klientów korzystało z tej funkcji w ostatnim miesiącu i skąd znacie tę liczbę?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Kiedy ostatnio zmieniliście produkt na podstawie danych z jego użytkowania, a nie z rozmowy z klientem?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Moduły sterujące serii TP-40 mają łączność i raportują telemetrię — ale do chmury odbiorcy OEM, nie do TechProd. Firma nie widzi, jak jej produkt pracuje u klienta.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Nie istnieje portal klienta. Zgłoszenia serwisowe wpływają mailem i telefonicznie, rejestrowane są w CRM ręcznie.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Zmiany konstrukcyjne wynikają z reklamacji i rozmów handlowych. Nie ma pętli danych z eksploatacji.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Konfigurator produktu istnieje, ale wyłącznie w wersji wewnętrznej dla handlowców.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Dowody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5589"/>
        <w:gridCol w:w="2506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Źródło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Stan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Demonstracja telemetrii modułu TP-40 na stanowisku testowym (14.08.2026)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Dział R&amp;D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Brak portalu klienta — sprawdzone na stronie i w CRM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Inspekcja własna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Liczba aktywnych użytkowników funkcji cyfrowych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Brak pomiaru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Konfigurator wewnętrzny — pokaz na koncie handlowca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Dział Sprzedaży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</w:tbl>
    <w:p>
      <w:r>
        <w:br w:type="pag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Obszary osi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675"/>
        <w:gridCol w:w="4144"/>
        <w:gridCol w:w="1156"/>
        <w:gridCol w:w="1156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/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Obszar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AS-IS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TO-BE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Luka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Produkty Cyfrowe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2B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Produkty Społecznościowe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2C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Produkty ICT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2D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Dopasowanie Produktu do Oczekiwań Klienta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Skalowalność Produktu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</w:tbl>
    <w:p>
      <w:pPr>
        <w:spacing w:before="0" w:after="13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Wnioski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Komponent ICT produktu jest mocny (2C, poziom 4) i to jest realny kapitał: elektronika TechProd już dziś generuje dane. Problem polega na tym, że cała ta wartość wypływa do odbiorcy OEM, a producent nie zatrzymuje z niej niczego — ani wiedzy o awaryjności, ani podstawy do usługi.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Brak kanału cyfrowego do klienta końcowego (2A/2B) blokuje jednocześnie oś 3: nie da się uruchomić modelu usługowego bez miejsca, w którym klient tę usługę odbiera. To zależność, nie osobne zadanie.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Dopasowanie produktu (2D) i skalowalność (2E) oparte są dziś na deklaracjach — nie ma pomiaru, który by je potwierdził. Do czasu uruchomienia zbierania telemetrii po stronie TechProd oceny 3 w tych obszarach należy traktować jako ostrożne, nie jako ustalone.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Rekomendacje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19"/>
        <w:gridCol w:w="1253"/>
        <w:gridCol w:w="1349"/>
        <w:gridCol w:w="221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Rekomendacja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Horyzont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Zapewnić własny odbiór telemetrii TP-40 (kanał równoległy do OEM, zgoda kontraktowa)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R&amp;D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Uruchomić portal klienta: dokumentacja, zgłoszenia serwisowe, historia urządzenia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kwartały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Sprzedaży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Wprowadzić jeden mierzalny wskaźnik użycia funkcji cyfrowych i raportować go miesięcznie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 kwartał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R&amp;D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2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18"/>
          <w:szCs w:val="18"/>
        </w:rPr>
        <w:t xml:space="preserve">Sufit rekomendowany.  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Poziom 5 (produkt sterowany danymi, ekspercki) nie jest rekomendowany. Przy modelu B2B z ograniczoną liczbą odbiorców OEM koszt budowy pełnej platformy produktowej nie zwraca się w horyzoncie 24 miesięcy. Rekomendowany sufit dla tej osi to poziom 4.</w:t>
      </w:r>
    </w:p>
    <w:tbl>
      <w:tblPr>
        <w:tblW w:type="pct" w:w="100%"/>
        <w:tblBorders>
          <w:top w:val="single" w:color="0F172A" w:sz="8"/>
          <w:left w:val="none"/>
          <w:bottom w:val="single" w:color="0F172A" w:sz="8"/>
          <w:right w:val="none"/>
          <w:insideH w:val="none"/>
          <w:insideV w:val="single" w:color="E6E9ED" w:sz="2"/>
        </w:tblBorders>
        <w:tblLayout w:type="fixed"/>
      </w:tblPr>
      <w:tblGrid>
        <w:gridCol w:w="3277"/>
        <w:gridCol w:w="1542"/>
        <w:gridCol w:w="1446"/>
        <w:gridCol w:w="3373"/>
      </w:tblGrid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Rekomendowany kierunek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Priorytet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Horyzont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Warunek powodzenia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Odzyskanie danych z eksploatacji własnego produktu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Priorytet 4 z 7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18 miesięcy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Zgoda kontraktowa odbiorców OEM na równoległy kanał telemetrii</w:t>
            </w:r>
          </w:p>
        </w:tc>
      </w:tr>
    </w:tbl>
    <w:p>
      <w:pPr>
        <w:sectPr>
          <w:headerReference w:type="default" r:id="rId10"/>
          <w:footerReference w:type="default" r:id="rId11"/>
          <w:pgSz w:w="11906" w:h="16838" w:orient="portrait"/>
          <w:pgMar w:top="1247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Oś 3 z 7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Cyfrowe Modele Biznesowe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334155" w:color="auto" w:val="clear"/>
            <w:tcMar>
              <w:top w:type="dxa" w:w="0"/>
              <w:left w:type="dxa" w:w="95"/>
              <w:bottom w:type="dxa" w:w="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8FAFC" w:color="auto" w:val="clear"/>
            <w:tcMar>
              <w:top w:type="dxa" w:w="120"/>
              <w:left w:type="dxa" w:w="95"/>
              <w:bottom w:type="dxa" w:w="12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8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Firma sprzedaje wyłącznie sztuki i godziny. Żaden przychód nie pochodzi z modelu cyfrowego, choć dane do tego już istnieją.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Poziom dojrzałości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5</w:t>
            </w:r>
          </w:p>
        </w:tc>
      </w:tr>
    </w:tbl>
    <w:p>
      <w:pPr>
        <w:spacing w:before="0" w:after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Stan obecny (AS-IS): 0,4 z 5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   ·   Cel uzgodniony (TO-BE): 2,4 z 5   ·   8,0% skali   ·   5 obszarów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64748B"/>
          <w:sz w:val="15"/>
          <w:szCs w:val="15"/>
        </w:rPr>
        <w:t xml:space="preserve">Pola ciemne — poziomy osiągnięte. Pola szare — zakres do celu uzgodnionego. Pola jasne — poza zakresem tej mapy drogowej.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Zakres oceny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Oś ocenia, czy organizacja zarabia w sposób umożliwiony przez cyfryzację: e-commerce, rozwiązania platformowe, model usługowy (as-a-service), współdzielenie zasobów i monetyzacja danych. Skala 1–5.</w:t>
      </w:r>
    </w:p>
    <w:p>
      <w:pPr>
        <w:spacing w:before="0"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tbl>
      <w:tblPr>
        <w:tblW w:type="pct" w:w="100%"/>
        <w:tblBorders>
          <w:top w:val="single" w:color="E6E9ED" w:sz="2"/>
          <w:left w:val="none"/>
          <w:bottom w:val="single" w:color="E6E9ED" w:sz="2"/>
          <w:right w:val="none"/>
          <w:insideH w:val="single" w:color="E6E9ED" w:sz="2"/>
          <w:insideV w:val="single" w:color="E6E9ED" w:sz="2"/>
        </w:tblBorders>
        <w:tblLayout w:type="fixed"/>
      </w:tblPr>
      <w:tblGrid>
        <w:gridCol w:w="4240"/>
        <w:gridCol w:w="539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Co zbadano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Odpowiedzi klienta w skrócie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Jaka część przychodu 2025 pochodzi ze źródła, które nie istniałoby bez cyfryzacji? Pokażcie tę pozycję w rachunku.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Czy jakikolwiek klient płaci Wam cyklicznie za dostępność, a nie za sztukę?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Kto w firmie odpowiada za rozwój nowych modeli przychodowych i ile czasu na to poświęca?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Cały przychód 2025 pochodzi ze sprzedaży wyrobu i usług inżynierskich rozliczanych roboczogodzinowo. Pozycji cyfrowej w rachunku nie ma.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Nie ma żadnej umowy abonamentowej ani rozliczanej za dostępność. Serwis rozliczany jest za zdarzenie.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Nikt nie ma tego w zakresie obowiązków. Temat pojawia się na zarządzie raz na kwartał jako punkt informacyjny.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Sklep internetowy dla części zamiennych istnieje, ale realizuje mniej niż 2% wartości sprzedaży części.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Dowody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5589"/>
        <w:gridCol w:w="2506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Źródło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Stan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Struktura przychodu 2025 — zestawienie z systemu finansowo-księgowego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Finansowy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Sklep części zamiennych — raport sprzedaży 01–07/2026 (1,8% wartości)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Dział Sprzedaży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Brak umów abonamentowych — przegląd rejestru umów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Dział Prawny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Rozmowy z dwoma odbiorcami o modelu dostępnościowym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Wywiad — Dyrektor Sprzedaży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</w:tbl>
    <w:p>
      <w:r>
        <w:br w:type="pag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Obszary osi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675"/>
        <w:gridCol w:w="4144"/>
        <w:gridCol w:w="1156"/>
        <w:gridCol w:w="1156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/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Obszar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AS-IS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TO-BE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Luka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Modele E-commerce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3B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Rozwiązania Platformowe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3C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Model As-a-Service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3D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Modele Współdzielenia Zasobów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Modele Monetyzacji Danych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Niepełny</w:t>
            </w:r>
          </w:p>
        </w:tc>
      </w:tr>
    </w:tbl>
    <w:p>
      <w:pPr>
        <w:spacing w:before="0" w:after="13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Wnioski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To druga najniższa oś w badaniu i jedyna, w której niska ocena nie wynika z braku technologii. Firma ma czujniki w produkcie, ma MES na liniach i ma dane serwisowe — brakuje wyłącznie decyzji, że ktoś ma za te modele odpowiadać i za nie rozliczać.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Ocena 3 w obszarze monetyzacji danych (3E) opiera się na materiale niepełnym: rozmowy z odbiorcami o odpłatnym dostępie do danych jakościowych toczyły się, ale nie zakończyły ofertą. Traktujemy to jako sygnał gotowości rynku, nie jako zdolność organizacji.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Kolejność ma znaczenie: model usługowy (3C) wymaga wcześniej portalu klienta z osi 2 i danych telemetrycznych po stronie TechProd. Uruchamianie 3C przed tymi dwoma warunkami skończy się usługą obsługiwaną ręcznie, czyli droższą od sprzedaży wyrobu.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Rekomendacje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19"/>
        <w:gridCol w:w="1253"/>
        <w:gridCol w:w="1349"/>
        <w:gridCol w:w="221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Rekomendacja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Horyzont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Wskazać właściciela nowych modeli przychodowych na poziomie zarządu (rola, nie projekt)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 kwartał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Prezes Zarządu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Przygotować studium wykonalności Equipment-as-a-Service dla jednego odbiorcy pilotażowego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kwartały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Sprzedaży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Rozszerzyć sklep części zamiennych o zamówienia B2B z rabatem kontraktowym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Sprzedaży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2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18"/>
          <w:szCs w:val="18"/>
        </w:rPr>
        <w:t xml:space="preserve">Sufit rekomendowany.  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Poziom 5 (model ekspercki, platformowy) nie jest rekomendowany dla żadnego obszaru tej osi. Skala firmy i struktura odbiorców nie uzasadniają ekonomicznie roli operatora platformy. Wartość leży w poziomie 4 — powtarzalnym przychodzie usługowym przy istniejącej bazie klientów.</w:t>
      </w:r>
    </w:p>
    <w:tbl>
      <w:tblPr>
        <w:tblW w:type="pct" w:w="100%"/>
        <w:tblBorders>
          <w:top w:val="single" w:color="0F172A" w:sz="8"/>
          <w:left w:val="none"/>
          <w:bottom w:val="single" w:color="0F172A" w:sz="8"/>
          <w:right w:val="none"/>
          <w:insideH w:val="none"/>
          <w:insideV w:val="single" w:color="E6E9ED" w:sz="2"/>
        </w:tblBorders>
        <w:tblLayout w:type="fixed"/>
      </w:tblPr>
      <w:tblGrid>
        <w:gridCol w:w="3277"/>
        <w:gridCol w:w="1542"/>
        <w:gridCol w:w="1446"/>
        <w:gridCol w:w="3373"/>
      </w:tblGrid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Rekomendowany kierunek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Priorytet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Horyzont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Warunek powodzenia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Jedno powtarzalne źródło przychodu obok sprzedaży wyrobu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Priorytet 5 z 7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24 miesiące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Właściciel tematu z mandatem zarządu; start dopiero po osi 2</w:t>
            </w:r>
          </w:p>
        </w:tc>
      </w:tr>
    </w:tbl>
    <w:p>
      <w:pPr>
        <w:sectPr>
          <w:headerReference w:type="default" r:id="rId12"/>
          <w:footerReference w:type="default" r:id="rId13"/>
          <w:pgSz w:w="11906" w:h="16838" w:orient="portrait"/>
          <w:pgMar w:top="1247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Oś 4 z 7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Zarządzanie Danymi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334155" w:color="auto" w:val="clear"/>
            <w:tcMar>
              <w:top w:type="dxa" w:w="0"/>
              <w:left w:type="dxa" w:w="95"/>
              <w:bottom w:type="dxa" w:w="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8FAFC" w:color="auto" w:val="clear"/>
            <w:tcMar>
              <w:top w:type="dxa" w:w="120"/>
              <w:left w:type="dxa" w:w="95"/>
              <w:bottom w:type="dxa" w:w="12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8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Dane są zbierane szeroko i przechowywane porządnie, ale analiza kończy się na raporcie opisowym — nikt w firmie nie przewiduje.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Poziom dojrzałości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7</w:t>
            </w:r>
          </w:p>
        </w:tc>
      </w:tr>
    </w:tbl>
    <w:p>
      <w:pPr>
        <w:spacing w:before="0" w:after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Stan obecny (AS-IS): 0,4 z 7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   ·   Cel uzgodniony (TO-BE): 2,4 z 7   ·   5,7% skali   ·   5 obszarów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64748B"/>
          <w:sz w:val="15"/>
          <w:szCs w:val="15"/>
        </w:rPr>
        <w:t xml:space="preserve">Pola ciemne — poziomy osiągnięte. Pola szare — zakres do celu uzgodnionego. Pola jasne — poza zakresem tej mapy drogowej.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Zakres oceny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Oś ocenia cały cykl życia danych: zbieranie, metodologię przechowywania, komunikację między systemami, analizę wielkich zbiorów i moc obliczeniową. Skala 1–7 prowadzi od zbierania ręcznego po pełną kontrolę optyczną i przetwarzanie na brzegu sieci.</w:t>
      </w:r>
    </w:p>
    <w:p>
      <w:pPr>
        <w:spacing w:before="0"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tbl>
      <w:tblPr>
        <w:tblW w:type="pct" w:w="100%"/>
        <w:tblBorders>
          <w:top w:val="single" w:color="E6E9ED" w:sz="2"/>
          <w:left w:val="none"/>
          <w:bottom w:val="single" w:color="E6E9ED" w:sz="2"/>
          <w:right w:val="none"/>
          <w:insideH w:val="single" w:color="E6E9ED" w:sz="2"/>
          <w:insideV w:val="single" w:color="E6E9ED" w:sz="2"/>
        </w:tblBorders>
        <w:tblLayout w:type="fixed"/>
      </w:tblPr>
      <w:tblGrid>
        <w:gridCol w:w="4240"/>
        <w:gridCol w:w="539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Co zbadano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Odpowiedzi klienta w skrócie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Skąd pochodzą dane, na podstawie których zarząd podejmuje decyzje operacyjne, i jak są aktualne w momencie decyzji?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Kiedy ostatnio ktoś użył danych historycznych do prognozy, a nie do opisu przeszłości? Pokażcie ten materiał.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Ile ręcznych scaleń danych trzeba wykonać, żeby powstał miesięczny raport zarządczy?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Dane produkcyjne płyną z MES automatycznie; dane magazynowe i HR wprowadzane są ręcznie. Raport zarządczy powstaje z czterech eksportów scalanych w arkuszu przez kontrolera.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Nie ma prognozy opartej o dane historyczne. Planowanie produkcji opiera się na zamówieniach potwierdzonych i doświadczeniu planisty.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Hurtownia danych nie istnieje. Dane historyczne z MES są dostępne 18 miesięcy wstecz, potem są archiwizowane bez indeksu.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Środowisko hybrydowe (serwerownia zakładowa + chmura publiczna) działa stabilnie; retencja i kopie zapasowe są udokumentowane.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Dowody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5589"/>
        <w:gridCol w:w="2506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Źródło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Stan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Instrukcja przygotowania raportu zarządczego (4 eksporty, scalanie w arkuszu)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Kontroling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Polityka retencji i harmonogram kopii zapasowych, przegląd z 19.08.2026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Brak hurtowni danych i katalogu danych — sprawdzone w inwentarzu systemów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Inspekcja własna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Dostępność danych MES 18 miesięcy wstecz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Wywiad — administrator MES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</w:tbl>
    <w:p>
      <w:r>
        <w:br w:type="pag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Obszary osi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675"/>
        <w:gridCol w:w="4144"/>
        <w:gridCol w:w="1156"/>
        <w:gridCol w:w="1156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/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Obszar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AS-IS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TO-BE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Luka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Zbieranie Danych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4B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Metodologia Przechowywania Danych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4C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Komunikacja Danych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4D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Analiza Big Data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 / 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+3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Przetwarzanie Danych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</w:tbl>
    <w:p>
      <w:pPr>
        <w:spacing w:before="0" w:after="13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Wnioski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Fundament jest zbudowany prawidłowo: dane są zbierane z maszyn (4A, poziom 5), przechowywane według opisanej metodyki i wymieniane między systemami. To rzadkie w firmach tej wielkości i stanowi realny kapitał.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Kapitał ten nie pracuje. Analiza (4D, poziom 3 przy celu 6) to najgłębsza luka w całej ocenie, obok logistyki i governance AI. Organizacja opisuje przeszłość i nie prognozuje przyszłości — mimo że ma osiemnaście miesięcy danych produkcyjnych o jakości wystarczającej do modelu predykcyjnego.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Cztery ręczne scalenia w miesięcznym raporcie zarządczym to nie tylko koszt pracy kontrolera. To także punkt, w którym liczba przestaje mieć jednoznaczne źródło — a od tego zaczyna się nieufność do danych na poziomie zarządu.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Oś 4 jest warunkiem wstępnym osi 7. Bez hurtowni i katalogu danych żaden model AI nie wyjdzie poza pilotaż na kopii pliku.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Rekomendacje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19"/>
        <w:gridCol w:w="1253"/>
        <w:gridCol w:w="1349"/>
        <w:gridCol w:w="221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Rekomendacja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Horyzont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Zbudować hurtownię danych obejmującą MES, ERP i WMS, z katalogiem i jednoznacznym właścicielem każdego zbioru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Zautomatyzować miesięczny raport zarządczy — zero ręcznych scaleń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kwartały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Kontroling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Uruchomić pierwszy model prognostyczny na danych MES (predykcja awarii lub wydajności linii)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2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18"/>
          <w:szCs w:val="18"/>
        </w:rPr>
        <w:t xml:space="preserve">Sufit rekomendowany.  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Poziom 7 (kontrola optyczna) rekomendujemy wyłącznie dla obszaru zbierania danych i dopiero po domknięciu 4D. W obszarze przetwarzania (4E) cel 5 jest wystarczający: przetwarzanie brzegowe ma sens przy zastosowaniach czasu rzeczywistego, których TechProd dziś nie ma.</w:t>
      </w:r>
    </w:p>
    <w:tbl>
      <w:tblPr>
        <w:tblW w:type="pct" w:w="100%"/>
        <w:tblBorders>
          <w:top w:val="single" w:color="0F172A" w:sz="8"/>
          <w:left w:val="none"/>
          <w:bottom w:val="single" w:color="0F172A" w:sz="8"/>
          <w:right w:val="none"/>
          <w:insideH w:val="none"/>
          <w:insideV w:val="single" w:color="E6E9ED" w:sz="2"/>
        </w:tblBorders>
        <w:tblLayout w:type="fixed"/>
      </w:tblPr>
      <w:tblGrid>
        <w:gridCol w:w="3277"/>
        <w:gridCol w:w="1542"/>
        <w:gridCol w:w="1446"/>
        <w:gridCol w:w="3373"/>
      </w:tblGrid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Rekomendowany kierunek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Priorytet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Horyzont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Warunek powodzenia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Od opisu przeszłości do prognozy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Priorytet 3 z 7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18 miesięcy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Hurtownia danych z właścicielem biznesowym, nie tylko technicznym</w:t>
            </w:r>
          </w:p>
        </w:tc>
      </w:tr>
    </w:tbl>
    <w:p>
      <w:pPr>
        <w:sectPr>
          <w:headerReference w:type="default" r:id="rId14"/>
          <w:footerReference w:type="default" r:id="rId15"/>
          <w:pgSz w:w="11906" w:h="16838" w:orient="portrait"/>
          <w:pgMar w:top="1247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Oś 5 z 7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Kultura Transformacji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334155" w:color="auto" w:val="clear"/>
            <w:tcMar>
              <w:top w:type="dxa" w:w="0"/>
              <w:left w:type="dxa" w:w="95"/>
              <w:bottom w:type="dxa" w:w="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8FAFC" w:color="auto" w:val="clear"/>
            <w:tcMar>
              <w:top w:type="dxa" w:w="120"/>
              <w:left w:type="dxa" w:w="95"/>
              <w:bottom w:type="dxa" w:w="12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8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Zarząd realnie sponsoruje zmianę, ale organizacja nie ma czasu ani ludzi, żeby unieść ją poza pilotażami.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Poziom dojrzałości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6</w:t>
            </w:r>
          </w:p>
        </w:tc>
      </w:tr>
    </w:tbl>
    <w:p>
      <w:pPr>
        <w:spacing w:before="0" w:after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Stan obecny (AS-IS): 0,4 z 6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   ·   Cel uzgodniony (TO-BE): 2,4 z 6   ·   6,7% skali   ·   5 obszarów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64748B"/>
          <w:sz w:val="15"/>
          <w:szCs w:val="15"/>
        </w:rPr>
        <w:t xml:space="preserve">Pola ciemne — poziomy osiągnięte. Pola szare — zakres do celu uzgodnionego. Pola jasne — poza zakresem tej mapy drogowej.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Zakres oceny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Oś ocenia zdolność organizacji do przeprowadzenia zmiany: postawy przywódcze, gotowość na zmianę, ciągły rozwój kompetencji, kulturę innowacji i dostępność zasobów. Skala 1–6, od postawy pasywnej po przywództwo transformacyjne.</w:t>
      </w:r>
    </w:p>
    <w:p>
      <w:pPr>
        <w:spacing w:before="0"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tbl>
      <w:tblPr>
        <w:tblW w:type="pct" w:w="100%"/>
        <w:tblBorders>
          <w:top w:val="single" w:color="E6E9ED" w:sz="2"/>
          <w:left w:val="none"/>
          <w:bottom w:val="single" w:color="E6E9ED" w:sz="2"/>
          <w:right w:val="none"/>
          <w:insideH w:val="single" w:color="E6E9ED" w:sz="2"/>
          <w:insideV w:val="single" w:color="E6E9ED" w:sz="2"/>
        </w:tblBorders>
        <w:tblLayout w:type="fixed"/>
      </w:tblPr>
      <w:tblGrid>
        <w:gridCol w:w="4240"/>
        <w:gridCol w:w="539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Co zbadano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Odpowiedzi klienta w skrócie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Kiedy ostatnio zarząd odwołał decyzję operacyjną, bo dane pokazały coś innego niż intuicja? Opiszcie ten przypadek.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Ile godzin w miesiącu ma osoba odpowiedzialna za projekt cyfrowy na ten projekt, poza swoimi obowiązkami liniowymi?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Ile pomysłów pracowniczych z ostatniego roku zostało wdrożonych i gdzie jest ich rejestr?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Zarząd wycofał się z planu rozbudowy linii SMT-3 po analizie OEE, która pokazała rezerwę na istniejących liniach. Decyzja udokumentowana w protokole z marca 2026.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Żaden projekt cyfrowy nie ma dedykowanego etatu. Kierownicy prowadzą je obok pracy liniowej, średnio 4–6 godzin miesięcznie.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Rejestr pomysłów pracowniczych istnieje w formie skrzynki mailowej. W 2025 wpłynęło 31 zgłoszeń, wdrożono 4, informacja zwrotna trafiła do 9.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Szkolenia cyfrowe odbywają się przy wdrożeniach, nie w ramach planu rozwoju. Nie ma mapy kompetencji.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Dowody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5589"/>
        <w:gridCol w:w="2506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Źródło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Stan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Protokół zarządu z 11.03.2026 — decyzja o rezygnacji z SMT-3 na podstawie analizy OEE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Sekretariat Zarządu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Skrzynka pomysłów pracowniczych, 31 zgłoszeń / 4 wdrożenia w 2025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Dział HR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Brak etatów dedykowanych projektom cyfrowym — struktura organizacyjna 08/2026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Dział HR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 czas kierowników na projekty (4–6 h/mies.)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Wywiady — 5 kierowników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</w:tbl>
    <w:p>
      <w:r>
        <w:br w:type="pag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Obszary osi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675"/>
        <w:gridCol w:w="4144"/>
        <w:gridCol w:w="1156"/>
        <w:gridCol w:w="1156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/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Obszar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AS-IS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TO-BE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Luka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Postawy przywódcze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5B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Gotowość na zmianę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5C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Ciągły rozwój kompetencji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5D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Kultura innowacji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Dostępność zasobów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</w:tbl>
    <w:p>
      <w:pPr>
        <w:spacing w:before="0" w:after="13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Wnioski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Przywództwo jest mocną stroną i jest udokumentowane, nie deklarowane: zarząd odwołał własną decyzję inwestycyjną, bo dane pokazały co innego. To zachowanie poziomu 4–5 i najlepszy pojedynczy sygnał w całej ocenie.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Sponsorowanie zmiany nie przekłada się jednak na zdolność wykonawczą. Cztery do sześciu godzin miesięcznie na projekt cyfrowy oznacza, że każde przedsięwzięcie z map drogowych tego raportu będzie konkurować z bieżącą produkcją i przegra. To jest przyczyna, dla której poprzednie inicjatywy kończyły się na pilotażu.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Rejestr pomysłów, który odpowiada na 9 z 31 zgłoszeń, po dwóch latach przestanie dostawać zgłoszenia. Kultura innowacji (5D, poziom 3) nie wymaga tu nowego narzędzia, tylko zobowiązania do odpowiedzi.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Bez kartoteki kompetencji (obszar 1I z osi 1) rozwój kompetencji nie ma od czego zacząć. To zależność między osiami, nie osobne opóźnienie.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Rekomendacje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19"/>
        <w:gridCol w:w="1253"/>
        <w:gridCol w:w="1349"/>
        <w:gridCol w:w="221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Rekomendacja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Horyzont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Wydzielić 0,5 etatu na koordynację portfela cyfrowego (rola, nie dodatek do obowiązków)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 kwartał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Operacyjny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Wprowadzić zobowiązanie do odpowiedzi na każde zgłoszenie pracownicze w 14 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 kwartał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HR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Zbudować mapę kompetencji cyfrowych na bazie ewidencji z osi 1 i zaplanować rozwój na 12 miesięcy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HR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2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18"/>
          <w:szCs w:val="18"/>
        </w:rPr>
        <w:t xml:space="preserve">Sufit rekomendowany.  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Poziom 6 (przywództwo transformacyjne) nie jest celem na najbliższe dwa lata. Poziom 5 przy pełnej dostępności zasobów da organizacji więcej niż formalne dojście do szczytu skali przy tych samych czterech godzinach miesięcznie.</w:t>
      </w:r>
    </w:p>
    <w:tbl>
      <w:tblPr>
        <w:tblW w:type="pct" w:w="100%"/>
        <w:tblBorders>
          <w:top w:val="single" w:color="0F172A" w:sz="8"/>
          <w:left w:val="none"/>
          <w:bottom w:val="single" w:color="0F172A" w:sz="8"/>
          <w:right w:val="none"/>
          <w:insideH w:val="none"/>
          <w:insideV w:val="single" w:color="E6E9ED" w:sz="2"/>
        </w:tblBorders>
        <w:tblLayout w:type="fixed"/>
      </w:tblPr>
      <w:tblGrid>
        <w:gridCol w:w="3277"/>
        <w:gridCol w:w="1542"/>
        <w:gridCol w:w="1446"/>
        <w:gridCol w:w="3373"/>
      </w:tblGrid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Rekomendowany kierunek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Priorytet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Horyzont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Warunek powodzenia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Od sponsorowania zmiany do zdolności jej wykonania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Priorytet 6 z 7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12 miesięcy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Realne godziny ludzi w strukturze — warunek powodzenia pozostałych osi</w:t>
            </w:r>
          </w:p>
        </w:tc>
      </w:tr>
    </w:tbl>
    <w:p>
      <w:pPr>
        <w:sectPr>
          <w:headerReference w:type="default" r:id="rId16"/>
          <w:footerReference w:type="default" r:id="rId17"/>
          <w:pgSz w:w="11906" w:h="16838" w:orient="portrait"/>
          <w:pgMar w:top="1247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Oś 6 z 7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Cyberbezpieczeństwo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85182F" w:color="auto" w:val="clear"/>
            <w:tcMar>
              <w:top w:type="dxa" w:w="0"/>
              <w:left w:type="dxa" w:w="95"/>
              <w:bottom w:type="dxa" w:w="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8FAFC" w:color="auto" w:val="clear"/>
            <w:tcMar>
              <w:top w:type="dxa" w:w="120"/>
              <w:left w:type="dxa" w:w="95"/>
              <w:bottom w:type="dxa" w:w="12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8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ISO 27001 pokrywa IT biurowe. Sieć produkcyjna pozostaje poza zakresem certyfikacji i poza jakimkolwiek monitoringiem.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Poziom dojrzałości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6</w:t>
            </w:r>
          </w:p>
        </w:tc>
      </w:tr>
    </w:tbl>
    <w:p>
      <w:pPr>
        <w:spacing w:before="0" w:after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Stan obecny (AS-IS): 0,4 z 6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   ·   Cel uzgodniony (TO-BE): 2,4 z 6   ·   6,7% skali   ·   5 obszarów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64748B"/>
          <w:sz w:val="15"/>
          <w:szCs w:val="15"/>
        </w:rPr>
        <w:t xml:space="preserve">Pola ciemne — poziomy osiągnięte. Pola szare — zakres do celu uzgodnionego. Pola jasne — poza zakresem tej mapy drogowej.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85182F" w:color="auto" w:val="clear"/>
            <w:tcMar>
              <w:top w:type="dxa" w:w="0"/>
              <w:left w:type="dxa" w:w="95"/>
              <w:bottom w:type="dxa" w:w="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BF5F6" w:color="auto" w:val="clear"/>
            <w:tcMar>
              <w:top w:type="dxa" w:w="120"/>
              <w:left w:type="dxa" w:w="95"/>
              <w:bottom w:type="dxa" w:w="120"/>
              <w:right w:type="dxa" w:w="95"/>
            </w:tcMar>
            <w:vAlign w:val="top"/>
          </w:tcPr>
          <w:p>
            <w:pPr>
              <w:keepLines/>
              <w:widowControl/>
              <w:spacing w:before="0" w:after="60" w:line="264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85182F"/>
                <w:spacing w:val="60"/>
                <w:sz w:val="16"/>
                <w:szCs w:val="16"/>
              </w:rPr>
              <w:t xml:space="preserve">RYZYKO</w:t>
            </w:r>
          </w:p>
          <w:p>
            <w:pPr>
              <w:keepLines/>
              <w:widowControl/>
              <w:spacing w:before="0" w:after="0" w:line="27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Certyfikat ISO 27001 obejmuje 100% infrastruktury biurowej i 0% sieci produkcyjnej (OT). Linie SMT pracują na poziomie 5 dojrzałości procesowej w sieci, która nie jest objęta monitoringiem ani planem reagowania.</w:t>
            </w:r>
          </w:p>
        </w:tc>
      </w:tr>
    </w:tbl>
    <w:p>
      <w:pPr>
        <w:spacing w:before="0" w:after="15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Zakres oceny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Oś ocenia strategię i zarządzanie ryzykiem, ochronę sieci i systemów, ochronę danych, edukację i jakość systemów oraz plany awaryjne. Skala 1–6, od braku strategii po ciągły monitoring i ocenę skuteczności.</w:t>
      </w:r>
    </w:p>
    <w:p>
      <w:pPr>
        <w:spacing w:before="0"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tbl>
      <w:tblPr>
        <w:tblW w:type="pct" w:w="100%"/>
        <w:tblBorders>
          <w:top w:val="single" w:color="E6E9ED" w:sz="2"/>
          <w:left w:val="none"/>
          <w:bottom w:val="single" w:color="E6E9ED" w:sz="2"/>
          <w:right w:val="none"/>
          <w:insideH w:val="single" w:color="E6E9ED" w:sz="2"/>
          <w:insideV w:val="single" w:color="E6E9ED" w:sz="2"/>
        </w:tblBorders>
        <w:tblLayout w:type="fixed"/>
      </w:tblPr>
      <w:tblGrid>
        <w:gridCol w:w="4240"/>
        <w:gridCol w:w="539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Co zbadano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Odpowiedzi klienta w skrócie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Jaki jest zakres certyfikacji ISO 27001 — pokażcie deklarację stosowania i granicę systemu.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Kiedy ostatnio przeprowadziliście test odtworzenia z kopii zapasowej i ile trwało odtworzenie?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Kto zostaje powiadomiony w pierwszej godzinie po wykryciu incydentu w sieci produkcyjnej i skąd to wiadomo?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Zakres certyfikacji obejmuje siedzibę i infrastrukturę biurową. Sieć produkcyjna została z zakresu wyłączona przy pierwszej certyfikacji w 2023 i nigdy nie została do niego włączona.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Ostatni test odtworzenia z kopii wykonano w listopadzie 2025 dla systemów biurowych; odtworzenie MES nigdy nie było testowane.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Plan reagowania na incydenty opisuje ścieżkę dla IT. Dla OT nie ma wskazanej osoby ani ścieżki powiadomienia.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Szkolenia z bezpieczeństwa objęły 92% pracowników biurowych i 11% pracowników produkcji.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Dowody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5589"/>
        <w:gridCol w:w="2506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Źródło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Stan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Deklaracja stosowania ISO 27001 — granica systemu wyklucza sieć OT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Pełnomocnik SZBI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Protokół testu odtworzenia z 18.11.2025 (wyłącznie systemy biurowe)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Plan reagowania na incydenty — brak ścieżki dla OT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Pełnomocnik SZBI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Rejestr szkoleń: 92% biuro / 11% produkcja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Dział HR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</w:tbl>
    <w:p>
      <w:r>
        <w:br w:type="pag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Obszary osi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675"/>
        <w:gridCol w:w="4144"/>
        <w:gridCol w:w="1156"/>
        <w:gridCol w:w="1156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/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Obszar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AS-IS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TO-BE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Luka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Strategia i zarządzanie ryzykiem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6B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Ochrona sieci i systemów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6C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Ochrona danych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6D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Edukacja i jakość systemów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Plany awaryjne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 / 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</w:tbl>
    <w:p>
      <w:pPr>
        <w:spacing w:before="0" w:after="13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Wnioski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Cyberbezpieczeństwo jest jedyną osią w tym badaniu, w której brak działania oznacza ryzyko, a nie utraconą korzyść. Pozostałe sześć osi opisuje wartość, której firma nie zbiera. Ta opisuje stratę, którą może ponieść.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Certyfikat ISO 27001 działa i jest utrzymywany rzetelnie — ale jego zakres został ustalony w 2023 dla organizacji, która nie miała jeszcze MES na liniach. Od tego czasu dojrzałość procesowa produkcji wzrosła do poziomu 5, a granica systemu bezpieczeństwa nie przesunęła się o metr.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Nieprzetestowane odtworzenie MES jest osobnym, mierzalnym zagrożeniem: organizacja nie zna czasu powrotu do produkcji po awarii systemu, od którego zależy raportowanie dwóch z trzech linii.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Jedenaście procent przeszkolonej produkcji przy 92% w biurze pokazuje, gdzie faktycznie przebiega granica uwagi — i pokrywa się dokładnie z granicą certyfikacji.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Rekomendacje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19"/>
        <w:gridCol w:w="1253"/>
        <w:gridCol w:w="1349"/>
        <w:gridCol w:w="221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Rekomendacja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Horyzont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Rozszerzyć zakres SZBI na sieć OT: inwentaryzacja, segmentacja, monitoring, ścieżka reagowania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85182F"/>
                <w:sz w:val="17"/>
                <w:szCs w:val="17"/>
              </w:rPr>
              <w:t xml:space="preserve">Krytyczny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Pełnomocnik SZBI / Dyrektor IT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Przeprowadzić i udokumentować test odtworzenia MES z kopii zapasowej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85182F"/>
                <w:sz w:val="17"/>
                <w:szCs w:val="17"/>
              </w:rPr>
              <w:t xml:space="preserve">Krytyczny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 kwartał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Objąć produkcję tym samym programem szkoleń co biuro (cel: 90% w 12 miesięcy)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HR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2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18"/>
          <w:szCs w:val="18"/>
        </w:rPr>
        <w:t xml:space="preserve">Sufit rekomendowany.  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Poziom 6 (ciągły monitoring i ocena skuteczności) jest uzasadniony wyłącznie dla ochrony sieci i systemów po objęciu OT. W pozostałych obszarach poziom 4–5 odpowiada profilowi ryzyka firmy tej wielkości i nie wymaga budowy własnego centrum operacji bezpieczeństwa.</w:t>
      </w:r>
    </w:p>
    <w:tbl>
      <w:tblPr>
        <w:tblW w:type="pct" w:w="100%"/>
        <w:tblBorders>
          <w:top w:val="single" w:color="0F172A" w:sz="8"/>
          <w:left w:val="none"/>
          <w:bottom w:val="single" w:color="0F172A" w:sz="8"/>
          <w:right w:val="none"/>
          <w:insideH w:val="none"/>
          <w:insideV w:val="single" w:color="E6E9ED" w:sz="2"/>
        </w:tblBorders>
        <w:tblLayout w:type="fixed"/>
      </w:tblPr>
      <w:tblGrid>
        <w:gridCol w:w="3277"/>
        <w:gridCol w:w="1542"/>
        <w:gridCol w:w="1446"/>
        <w:gridCol w:w="3373"/>
      </w:tblGrid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Rekomendowany kierunek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Priorytet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Horyzont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Warunek powodzenia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Przesunięcie granicy bezpieczeństwa na halę produkcyjną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Priorytet 1 z 7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6 miesięcy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Decyzja zarządu o rozszerzeniu zakresu certyfikacji przed kolejnym audytem</w:t>
            </w:r>
          </w:p>
        </w:tc>
      </w:tr>
    </w:tbl>
    <w:p>
      <w:pPr>
        <w:sectPr>
          <w:headerReference w:type="default" r:id="rId18"/>
          <w:footerReference w:type="default" r:id="rId19"/>
          <w:pgSz w:w="11906" w:h="16838" w:orient="portrait"/>
          <w:pgMar w:top="1247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Oś 7 z 7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Dojrzałość AI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16"/>
        <w:gridCol w:w="9521"/>
      </w:tblGrid>
      <w:tr>
        <w:tc>
          <w:tcPr>
            <w:shd w:fill="334155" w:color="auto" w:val="clear"/>
            <w:tcMar>
              <w:top w:type="dxa" w:w="0"/>
              <w:left w:type="dxa" w:w="95"/>
              <w:bottom w:type="dxa" w:w="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shd w:fill="F8FAFC" w:color="auto" w:val="clear"/>
            <w:tcMar>
              <w:top w:type="dxa" w:w="120"/>
              <w:left w:type="dxa" w:w="95"/>
              <w:bottom w:type="dxa" w:w="12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8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22"/>
                <w:szCs w:val="22"/>
              </w:rPr>
              <w:t xml:space="preserve">Dwa pilotaże AI działają na danych kopiowanych ręcznie. Nie ma ani właściciela, ani zasad, ani ścieżki na produkcję.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Poziom dojrzałości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CBD2DA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FFFFFF" w:sz="2"/>
              <w:left w:val="single" w:color="FFFFFF" w:sz="4"/>
              <w:bottom w:val="single" w:color="FFFFFF" w:sz="2"/>
              <w:right w:val="single" w:color="FFFFFF" w:sz="4"/>
            </w:tcBorders>
            <w:shd w:fill="EEF2F6" w:color="auto" w:val="clear"/>
            <w:tcMar>
              <w:top w:type="dxa" w:w="90"/>
              <w:left w:type="dxa" w:w="95"/>
              <w:bottom w:type="dxa" w:w="90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4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64748B"/>
                <w:sz w:val="18"/>
                <w:szCs w:val="18"/>
              </w:rPr>
              <w:t xml:space="preserve">5</w:t>
            </w:r>
          </w:p>
        </w:tc>
      </w:tr>
    </w:tbl>
    <w:p>
      <w:pPr>
        <w:spacing w:before="0" w:after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0"/>
          <w:szCs w:val="20"/>
        </w:rPr>
        <w:t xml:space="preserve">Stan obecny (AS-IS): 0,4 z 5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   ·   Cel uzgodniony (TO-BE): 2,4 z 5   ·   8,0% skali   ·   5 obszarów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64748B"/>
          <w:sz w:val="15"/>
          <w:szCs w:val="15"/>
        </w:rPr>
        <w:t xml:space="preserve">Pola ciemne — poziomy osiągnięte. Pola szare — zakres do celu uzgodnionego. Pola jasne — poza zakresem tej mapy drogowej.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Zakres oceny</w:t>
      </w:r>
    </w:p>
    <w:p>
      <w:pPr>
        <w:keepLines/>
        <w:widowControl/>
        <w:spacing w:before="0" w:after="6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Oś ocenia fundamenty danych pod AI, procesy wspierane przez AI, AI w produktach i usługach, governance wraz z bezpieczeństwem i etyką oraz kompetencje i kulturę AI. Skala 1–5, od danych rozproszonych po autonomiczną inteligencję danych.</w:t>
      </w:r>
    </w:p>
    <w:p>
      <w:pPr>
        <w:spacing w:before="0"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tbl>
      <w:tblPr>
        <w:tblW w:type="pct" w:w="100%"/>
        <w:tblBorders>
          <w:top w:val="single" w:color="E6E9ED" w:sz="2"/>
          <w:left w:val="none"/>
          <w:bottom w:val="single" w:color="E6E9ED" w:sz="2"/>
          <w:right w:val="none"/>
          <w:insideH w:val="single" w:color="E6E9ED" w:sz="2"/>
          <w:insideV w:val="single" w:color="E6E9ED" w:sz="2"/>
        </w:tblBorders>
        <w:tblLayout w:type="fixed"/>
      </w:tblPr>
      <w:tblGrid>
        <w:gridCol w:w="4240"/>
        <w:gridCol w:w="539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Co zbadano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334155"/>
                <w:spacing w:val="20"/>
                <w:sz w:val="16"/>
                <w:szCs w:val="16"/>
              </w:rPr>
              <w:t xml:space="preserve">Odpowiedzi klienta w skrócie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Które rozwiązanie AI pracuje dziś na danych produkcyjnych bez udziału człowieka w kopiowaniu danych?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Kto zatwierdza użycie modelu językowego na danych firmy i na jakiej podstawie?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Ile osób w firmie potrafi samodzielnie ocenić wynik modelu i odrzucić go, gdy jest błędny?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Dwa pilotaże: predykcja zużycia narzędzi na linii SMT-1 i klasyfikacja zdjęć z kontroli jakości. Oba pracują na plikach eksportowanych ręcznie raz w tygodniu.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Nie ma polityki użycia AI. Pracownicy korzystają z ogólnodostępnych narzędzi bez zasad dotyczących danych firmowych.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6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Kompetencje analityczne skupione są w jednej osobie w dziale IT. Poza nią nie ma osoby zdolnej ocenić wynik modelu.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after="0" w:line="258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Zarząd deklaruje AI jako priorytet 2027, bez przypisanego budżetu i właściciela.</w:t>
            </w:r>
          </w:p>
        </w:tc>
      </w:tr>
    </w:tbl>
    <w:p>
      <w:pPr>
        <w:spacing w:before="0" w:after="14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Dowody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5589"/>
        <w:gridCol w:w="2506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Źródło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Stan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Pilotaż predykcji zużycia narzędzi — notatnik analityczny, dane z eksportu 09.08.2026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Dział IT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Pilotaż klasyfikacji zdjęć kontroli jakości — zbiór testowy 1 200 zdjęć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Dział Jakości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Brak polityki użycia AI — sprawdzone w rejestrze polityk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Pełnomocnik SZBI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Deklaracja zarządu o priorytecie AI na 2027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Wywiad — Prezes Zarządu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</w:tbl>
    <w:p>
      <w:r>
        <w:br w:type="pag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Obszary osi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675"/>
        <w:gridCol w:w="4144"/>
        <w:gridCol w:w="1156"/>
        <w:gridCol w:w="1156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/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Obszar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AS-IS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TO-BE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Luka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Dowód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7A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Dane i Fundamenty AI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7B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Wspierane przez AI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7C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AI w Produktach i Usługach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7D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Governance, Bezpieczeństwo i Etyka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+3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Potwierdzony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Kompetencje i Kultura AI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Deklarowany</w:t>
            </w:r>
          </w:p>
        </w:tc>
      </w:tr>
    </w:tbl>
    <w:p>
      <w:pPr>
        <w:spacing w:before="0" w:after="13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Wnioski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To najniższa oś w badaniu — 40% skali — i jedyna, w której jeden obszar stoi na poziomie 1. Governance AI (7D) nie istnieje: nie ma polityki, właściciela ani zasad postępowania z danymi firmowymi w narzędziach zewnętrznych. Przy 468 pracownikach oznacza to niekontrolowane użycie, którego skali firma nie zna.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Dwa pilotaże są dobrą wiadomością i złą jednocześnie. Dobrą, bo pokazują, że w organizacji są ludzie zdolni zbudować działający model. Złą, bo po roku obydwa nadal pracują na plikach kopiowanych ręcznie — nie z powodu modelu, tylko z powodu braku hurtowni z osi 4.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Nie da się podnieść tej osi bez osi 4. Fundamenty danych (7A, poziom 2) są funkcją analizy danych (4D, poziom 3), a nie osobnym projektem. Kolejność jest wymuszona metodyką i potwierdzona stanem faktycznym.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19"/>
          <w:szCs w:val="19"/>
        </w:rPr>
        <w:t xml:space="preserve">Kompetencje AI (7E) oceniamy na 3 na podstawie deklaracji i obserwacji jednej osoby. To ocena ostrożna: koncentracja wiedzy w jednym człowieku jest ryzykiem ciągłości, nie kapitałem.</w:t>
      </w:r>
    </w:p>
    <w:p>
      <w:pPr>
        <w:keepNext/>
        <w:keepLines/>
        <w:widowControl/>
        <w:spacing w:before="130" w:after="45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475569"/>
          <w:spacing w:val="20"/>
          <w:sz w:val="17"/>
          <w:szCs w:val="17"/>
        </w:rPr>
        <w:t xml:space="preserve">Rekomendacje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19"/>
        <w:gridCol w:w="1253"/>
        <w:gridCol w:w="1349"/>
        <w:gridCol w:w="2217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Rekomendacja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Horyzont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Przyjąć politykę użycia AI: dozwolone narzędzia, klasy danych, zasady weryfikacji wyniku, właściciel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85182F"/>
                <w:sz w:val="17"/>
                <w:szCs w:val="17"/>
              </w:rPr>
              <w:t xml:space="preserve">Krytyczny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 kwartał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Prezes Zarządu / Pełnomocnik SZBI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Wpiąć oba pilotaże do hurtowni danych z osi 4 — koniec z kopiowaniem plików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 kwartały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Rozszerzyć kompetencje analityczne poza jedną osobę (2 osoby przeszkolone, jedna rezerwowa)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 kwartały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 / HR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2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18"/>
          <w:szCs w:val="18"/>
        </w:rPr>
        <w:t xml:space="preserve">Sufit rekomendowany.  </w:t>
      </w: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Poziom 5 (autonomiczna inteligencja danych) nie jest celem tej firmy w horyzoncie tej mapy drogowej i nie powinien być komunikowany jako ambicja. Poziom 4 — dane gotowe pod AI i modele w produkcji z nadzorem człowieka — wyczerpuje realną wartość dostępną przy obecnej skali i strukturze danych.</w:t>
      </w:r>
    </w:p>
    <w:tbl>
      <w:tblPr>
        <w:tblW w:type="pct" w:w="100%"/>
        <w:tblBorders>
          <w:top w:val="single" w:color="0F172A" w:sz="8"/>
          <w:left w:val="none"/>
          <w:bottom w:val="single" w:color="0F172A" w:sz="8"/>
          <w:right w:val="none"/>
          <w:insideH w:val="none"/>
          <w:insideV w:val="single" w:color="E6E9ED" w:sz="2"/>
        </w:tblBorders>
        <w:tblLayout w:type="fixed"/>
      </w:tblPr>
      <w:tblGrid>
        <w:gridCol w:w="3277"/>
        <w:gridCol w:w="1542"/>
        <w:gridCol w:w="1446"/>
        <w:gridCol w:w="3373"/>
      </w:tblGrid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Rekomendowany kierunek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Priorytet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Horyzont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30" w:line="22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/>
                <w:color w:val="64748B"/>
                <w:spacing w:val="40"/>
                <w:sz w:val="15"/>
                <w:szCs w:val="15"/>
              </w:rPr>
              <w:t xml:space="preserve">Warunek powodzenia</w:t>
            </w:r>
          </w:p>
        </w:tc>
      </w:tr>
      <w:tr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Od pilotaży na plikach do modeli na danych produkcyjnych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Priorytet startu 7 z 7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24 miesiące</w:t>
            </w:r>
          </w:p>
        </w:tc>
        <w:tc>
          <w:tcPr>
            <w:tcMar>
              <w:top w:type="dxa" w:w="90"/>
              <w:left w:type="dxa" w:w="95"/>
              <w:bottom w:type="dxa" w:w="90"/>
              <w:right w:type="dxa" w:w="95"/>
            </w:tcMar>
            <w:vAlign w:val="top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Hurtownia danych z osi 4 oddana przed startem prac modelowych; największa luka w badaniu</w:t>
            </w:r>
          </w:p>
        </w:tc>
      </w:tr>
    </w:tbl>
    <w:p>
      <w:pPr>
        <w:sectPr>
          <w:headerReference w:type="default" r:id="rId20"/>
          <w:footerReference w:type="default" r:id="rId21"/>
          <w:pgSz w:w="11906" w:h="16838" w:orient="portrait"/>
          <w:pgMar w:top="1247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Synteza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Odpowiedzi i wnioski zbiorcze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Rozdział zestawia siedem osi w jednym obrazie, wskazuje najsilniejsze i najsłabsze obszary organizacji oraz formułuje wnioski, których nie widać w żadnej pojedynczej osi.</w:t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Macierz osi i poziomów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675"/>
        <w:gridCol w:w="3566"/>
        <w:gridCol w:w="1060"/>
        <w:gridCol w:w="1060"/>
        <w:gridCol w:w="964"/>
        <w:gridCol w:w="1156"/>
        <w:gridCol w:w="1156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Oś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Nazwa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AS-IS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TO-BE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Skala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% skali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Luka (p.p.)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Procesy Cyfrowe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0,22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2,22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3,2%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+28,6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Produkty Cyfrowe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0,4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2,4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8,0%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+40,0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Cyfrowe Modele Biznesowe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0,4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2,4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8,0%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+40,0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Zarządzanie Danymi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0,4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2,4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5,7%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+28,6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Kultura Transformacji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0,4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2,4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6,7%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+33,3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Cyberbezpieczeństwo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0,4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2,4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6,7%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+33,3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Dojrzałość AI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0,4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2,4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1–5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8,0%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righ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+40,0</w:t>
            </w:r>
          </w:p>
        </w:tc>
      </w:tr>
    </w:tbl>
    <w:p>
      <w:pPr>
        <w:spacing w:before="0"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Wynik ogólny organizacji: 6,6% skali (średnia z równą wagą osi). Benchmark branżowy (produkcja, Polska): 46% skali. Wynik plasuje firmę powyżej średniej sektorowej, a rozrzut między osiami — od 3,2% do 8,0% — jest w tej ocenie ważniejszy niż sama średnia.</w:t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Najsilniejsze i najsłabsze osie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964"/>
        <w:gridCol w:w="3084"/>
        <w:gridCol w:w="1156"/>
        <w:gridCol w:w="4433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Pozycja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Oś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% skali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Co to znaczy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Oś 2 — Produkty Cyfrowe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8,0%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Rdzeń wytwórczy pracuje na zintegrowanych systemach z potwierdzonym dowodem.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Oś 3 — Cyfrowe Modele Biznesowe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8,0%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Komponent ICT produktu jest mocny, brakuje kanału do klienta.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Oś 7 — Dojrzałość AI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8,0%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Zarząd sponsoruje zmianę; brakuje zdolności wykonawczej.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Oś 6 — Cyberbezpieczeństwo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6,7%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Zakres certyfikacji nie nadąża za dojrzałością produkcji — jedyne realne ryzyko.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Oś 4 — Zarządzanie Danymi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5,7%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Brak jakiegokolwiek przychodu z modelu cyfrowego mimo istniejących danych.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Oś 1 — Procesy Cyfrowe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3,2%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Najniższa oś badania; jeden obszar na poziomie 1 z 5.</w:t>
            </w:r>
          </w:p>
        </w:tc>
      </w:tr>
    </w:tbl>
    <w:p>
      <w:pPr>
        <w:spacing w:before="0" w:after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Lines/>
        <w:widowControl/>
        <w:spacing w:before="0" w:after="12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64748B"/>
          <w:sz w:val="16"/>
          <w:szCs w:val="16"/>
        </w:rPr>
        <w:t xml:space="preserve">Pozycja 4 (Oś 4 — Zarządzanie Danymi, 57,1% skali) pominięta w zestawieniu skrajnych; jej pełne omówienie znajduje się w rozdziale osi i we wnioskach W2 oraz W3.</w:t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Wnioski przekrojowe</w:t>
      </w:r>
    </w:p>
    <w:p>
      <w:pPr>
        <w:keepNext/>
        <w:keepLines/>
        <w:widowControl/>
        <w:spacing w:before="16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64748B"/>
          <w:sz w:val="21"/>
          <w:szCs w:val="21"/>
        </w:rPr>
        <w:t xml:space="preserve">W1. 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Firma jest dojrzała tam, gdzie pracuje maszyna, i niedojrzała tam, gdzie pracuje człowiek</w:t>
      </w:r>
    </w:p>
    <w:p>
      <w:pPr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Procesy produkcyjne stoją na poziomie 5 z 7, a procesy HR na 3 z 7. Zbieranie danych z maszyn — 5 z 7, ewidencja kompetencji ludzi — nie istnieje. Ta sama linia podziału wraca w cyberbezpieczeństwie (92% przeszkolonego biura wobec 11% produkcji) i w kulturze (zarząd sponsoruje, wykonawcy nie mają godzin). Wniosek dla zarządu: kolejna inwestycja w technologię przyniesie mniej niż inwestycja w to, kto i kiedy ma czas jej użyć.</w:t>
      </w:r>
    </w:p>
    <w:p>
      <w:pPr>
        <w:keepNext/>
        <w:keepLines/>
        <w:widowControl/>
        <w:spacing w:before="16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64748B"/>
          <w:sz w:val="21"/>
          <w:szCs w:val="21"/>
        </w:rPr>
        <w:t xml:space="preserve">W2. 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Luka AI nie jest luką technologiczną, tylko luką danych i zarządzania</w:t>
      </w:r>
    </w:p>
    <w:p>
      <w:pPr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Oś 7 stoi na 40% skali, ale żaden z jej obszarów nie jest zablokowany brakiem technologii. Fundamenty danych AI (7A = 2 z 5) są bezpośrednią pochodną analizy danych (4D = 3 z 7), a governance (7D = 1 z 5) to kwestia jednej decyzji zarządu, nie budżetu. Domknięcie osi 4 podniesie oś 7 bez ani jednego dodatkowego modelu.</w:t>
      </w:r>
    </w:p>
    <w:p>
      <w:pPr>
        <w:keepNext/>
        <w:keepLines/>
        <w:widowControl/>
        <w:spacing w:before="16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64748B"/>
          <w:sz w:val="21"/>
          <w:szCs w:val="21"/>
        </w:rPr>
        <w:t xml:space="preserve">W3. 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Trzy najgłębsze luki punktowe leżą poza produkcją</w:t>
      </w:r>
    </w:p>
    <w:p>
      <w:pPr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Największe różnice między stanem obecnym a uzgodnionym celem to logistyka (1E: 3 → 6), analiza wielkich zbiorów (4D: 3 → 6) i governance AI (7D: 1 → 4). Żadna nie dotyczy hali produkcyjnej, w którą firma inwestowała przez ostatnie trzy lata. To najważniejsza pojedyncza korekta kierunku wynikająca z tej oceny.</w:t>
      </w:r>
    </w:p>
    <w:p>
      <w:pPr>
        <w:keepNext/>
        <w:keepLines/>
        <w:widowControl/>
        <w:spacing w:before="16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64748B"/>
          <w:sz w:val="21"/>
          <w:szCs w:val="21"/>
        </w:rPr>
        <w:t xml:space="preserve">W4. 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Jedna oś opisuje ryzyko, sześć opisuje utraconą korzyść</w:t>
      </w:r>
    </w:p>
    <w:p>
      <w:pPr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Cyberbezpieczeństwo jest jedyną osią, w której zaniechanie kosztuje, a nie tylko nie zarabia. Granica certyfikacji ISO 27001 przebiega dokładnie tam, gdzie kończy się biuro, podczas gdy dojrzałość procesowa produkcji wzrosła od czasu certyfikacji o dwa poziomy. Ta oś powinna wystartować pierwsza niezależnie od decyzji budżetowych dotyczących pozostałych.</w:t>
      </w:r>
    </w:p>
    <w:p>
      <w:pPr>
        <w:keepNext/>
        <w:keepLines/>
        <w:widowControl/>
        <w:spacing w:before="160" w:after="6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64748B"/>
          <w:sz w:val="21"/>
          <w:szCs w:val="21"/>
        </w:rPr>
        <w:t xml:space="preserve">W5.  </w:t>
      </w: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21"/>
          <w:szCs w:val="21"/>
        </w:rPr>
        <w:t xml:space="preserve">Wyższy poziom nie jest automatycznie lepszy — w trzech osiach rekomendujemy sufit poniżej maksimum</w:t>
      </w:r>
    </w:p>
    <w:p>
      <w:pPr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20"/>
          <w:szCs w:val="20"/>
        </w:rPr>
        <w:t xml:space="preserve">Dla osi 2 (Produkty Cyfrowe) i 3 (Cyfrowe Modele Biznesowe) rekomendowany sufit to poziom 4 z 5: model platformowy wymaga skali i struktury odbiorców, których firma nie ma i nie zamierza budować. Dla osi 5 (Kultura) poziom 5 z 6 wyczerpuje realną wartość. Uzgodnione cele TO-BE w tabeli zbiorczej odzwierciedlają te sufity — nie są to poziomy maksymalne i nie powinny być tak komunikowane w organizacji.</w:t>
      </w:r>
    </w:p>
    <w:p>
      <w:pPr>
        <w:sectPr>
          <w:headerReference w:type="default" r:id="rId22"/>
          <w:footerReference w:type="default" r:id="rId23"/>
          <w:pgSz w:w="11906" w:h="16838" w:orient="portrait"/>
          <w:pgMar w:top="1247" w:right="1133" w:bottom="1133" w:left="1133" w:header="708" w:footer="708" w:gutter="0"/>
          <w:pgNumType/>
          <w:docGrid w:linePitch="360"/>
        </w:sectPr>
      </w:pPr>
    </w:p>
    <w:p>
      <w:pPr>
        <w:keepNext/>
        <w:keepLines/>
        <w:widowControl/>
        <w:spacing w:before="0" w:after="4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/>
          <w:color w:val="64748B"/>
          <w:spacing w:val="40"/>
          <w:sz w:val="15"/>
          <w:szCs w:val="15"/>
        </w:rPr>
        <w:t xml:space="preserve">Zamknięcie</w:t>
      </w:r>
    </w:p>
    <w:p>
      <w:pPr>
        <w:keepNext/>
        <w:pBdr>
          <w:bottom w:val="single" w:color="0F172A" w:sz="8" w:space="8"/>
        </w:pBdr>
        <w:spacing w:before="0" w:after="130" w:line="250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0F172A"/>
          <w:sz w:val="32"/>
          <w:szCs w:val="32"/>
        </w:rPr>
        <w:t xml:space="preserve">Podsumowanie i mapa drogowa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Mapa drogowa układa czternaście przedsięwzięć w trzy fale. Kolejność nie jest listą priorytetów do dowolnego wyboru — wynika z zależności między osiami opisanych w rozdziałach szczegółowych. Uruchomienie fali 3 przed odbiorem hurtowni danych z fali 2 powtórzy dzisiejszy stan pilotaży pracujących na plikach.</w:t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Fala 1 — fundamenty i ryzyko   ·   0–6 miesięcy</w:t>
      </w:r>
    </w:p>
    <w:p>
      <w:pPr>
        <w:keepLines/>
        <w:widowControl/>
        <w:spacing w:before="0" w:after="11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Uruchamiane niezależnie od decyzji o pozostałych falach. Dwie pierwsze pozycje dotyczą ryzyka, dwie kolejne odblokowują wszystko, co przychodzi później.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2"/>
        <w:gridCol w:w="3758"/>
        <w:gridCol w:w="675"/>
        <w:gridCol w:w="1253"/>
        <w:gridCol w:w="964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#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Przedsięwzięcie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Oś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Wpływ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Nakład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Rozszerzenie zakresu SZBI na sieć produkcyjną (OT)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85182F"/>
                <w:sz w:val="17"/>
                <w:szCs w:val="17"/>
              </w:rPr>
              <w:t xml:space="preserve">Krytyczny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Pełnomocnik SZBI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Test odtworzenia MES z kopii zapasowej + plan reagowania dla OT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85182F"/>
                <w:sz w:val="17"/>
                <w:szCs w:val="17"/>
              </w:rPr>
              <w:t xml:space="preserve">Krytyczny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Niski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Polityka użycia AI i wskazanie właściciela tematu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85182F"/>
                <w:sz w:val="17"/>
                <w:szCs w:val="17"/>
              </w:rPr>
              <w:t xml:space="preserve">Krytyczny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Niski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Prezes Zarządu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Wpięcie montażu końcowego do MES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Niski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Produkcji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Wydzielenie 0,5 etatu na koordynację portfela cyfrowego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Niski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Operacyjny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Fala 2 — dane i obieg informacji   ·   6–18 miesięcy</w:t>
      </w:r>
    </w:p>
    <w:p>
      <w:pPr>
        <w:keepLines/>
        <w:widowControl/>
        <w:spacing w:before="0" w:after="11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Warunkiem startu jest pozycja 5 z fali 1 — bez koordynatora te przedsięwzięcia przegrają z bieżącą produkcją, tak jak przegrały poprzednie.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2"/>
        <w:gridCol w:w="3758"/>
        <w:gridCol w:w="675"/>
        <w:gridCol w:w="1253"/>
        <w:gridCol w:w="964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#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Przedsięwzięcie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Oś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Wpływ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Nakład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WMS na magazynie komponentów (kody kreskowe, inwentaryzacja ciągła)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Logistyki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Hurtownia danych MES + ERP + WMS z katalogiem i właścicielami zbiorów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Automatyzacja miesięcznego raportu zarządczego (zero ręcznych scaleń)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Niski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Kontroling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9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Własny odbiór telemetrii TP-40 i portal klienta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R&amp;D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Ewidencja kompetencji i mapa rozwoju na 12 miesięcy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 / 5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Niski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HR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Fala 3 — wartość z danych   ·   18–30 miesięcy</w:t>
      </w:r>
    </w:p>
    <w:p>
      <w:pPr>
        <w:keepLines/>
        <w:widowControl/>
        <w:spacing w:before="0" w:after="11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Start dopiero po odbiorze hurtowni danych (pozycja 7). Uruchomienie wcześniej powtórzy dzisiejszy stan pilotaży na plikach.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482"/>
        <w:gridCol w:w="3758"/>
        <w:gridCol w:w="675"/>
        <w:gridCol w:w="1253"/>
        <w:gridCol w:w="964"/>
        <w:gridCol w:w="964"/>
        <w:gridCol w:w="1542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#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Przedsięwzięcie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Oś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Priorytet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Wpływ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Nakład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Właściciel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11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Model prognostyczny na danych MES (predykcja awarii / wydajności)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/ 7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12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Wpięcie obu pilotaży AI do hurtowni i przeniesienie na produkcję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IT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13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Studium wykonalności Equipment-as-a-Service dla odbiorcy pilotażowego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Wysoki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Sprzedaży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14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Rozszerzenie sklepu części zamiennych o zamówienia kontraktowe B2B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Średni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Niski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Dyrektor Sprzedaży</w:t>
            </w:r>
          </w:p>
        </w:tc>
      </w:tr>
    </w:tbl>
    <w:p>
      <w:pPr>
        <w:spacing w:before="0"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Kolejny krok</w:t>
      </w:r>
    </w:p>
    <w:p>
      <w:pPr>
        <w:keepLines/>
        <w:widowControl/>
        <w:spacing w:before="0" w:after="100" w:line="264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0"/>
          <w:szCs w:val="20"/>
        </w:rPr>
        <w:t xml:space="preserve">Cztery decyzje w najbliższych dwunastu tygodniach przesądzają, czy ta ocena zmieni cokolwiek w organizacji. Wszystkie leżą po stronie zarządu i żadna nie wymaga wcześniejszego nakładu inwestycyjnego.</w:t>
      </w:r>
    </w:p>
    <w:tbl>
      <w:tblPr>
        <w:tblW w:type="pct" w:w="100%"/>
        <w:tblBorders>
          <w:top w:val="single" w:color="E6E9ED" w:sz="2"/>
          <w:left w:val="single" w:color="E6E9ED" w:sz="2"/>
          <w:bottom w:val="single" w:color="E6E9ED" w:sz="2"/>
          <w:right w:val="single" w:color="E6E9ED" w:sz="2"/>
          <w:insideH w:val="single" w:color="E6E9ED" w:sz="2"/>
          <w:insideV w:val="single" w:color="E6E9ED" w:sz="2"/>
        </w:tblBorders>
        <w:tblLayout w:type="fixed"/>
      </w:tblPr>
      <w:tblGrid>
        <w:gridCol w:w="2313"/>
        <w:gridCol w:w="7324"/>
      </w:tblGrid>
      <w:tr>
        <w:trPr>
          <w:tblHeader/>
        </w:trPr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Termin</w:t>
            </w:r>
          </w:p>
        </w:tc>
        <w:tc>
          <w:tcPr>
            <w:shd w:fill="EEF2F6" w:color="auto" w:val="clear"/>
            <w:tcMar>
              <w:top w:type="dxa" w:w="68"/>
              <w:left w:type="dxa" w:w="95"/>
              <w:bottom w:type="dxa" w:w="6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30"/>
            </w:pPr>
            <w:r>
              <w:rPr>
                <w:rFonts w:ascii="Helvetica Neue" w:cs="Helvetica Neue" w:eastAsia="Helvetica Neue" w:hAnsi="Helvetica Neue"/>
                <w:b/>
                <w:bCs/>
                <w:i w:val="false"/>
                <w:iCs w:val="false"/>
                <w:caps w:val="false"/>
                <w:color w:val="334155"/>
                <w:sz w:val="16"/>
                <w:szCs w:val="16"/>
              </w:rPr>
              <w:t xml:space="preserve">Decyzja lub działanie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 17 września 2026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Zarząd wskazuje właścicieli pozycji 1–3 z fali 1 oraz zatwierdza rozszerzenie zakresu SZBI o sieć OT.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 30 września 2026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Warsztat zakresu SZBI dla OT z pełnomocnikiem i Dyrektorem IT — inwentaryzacja urządzeń i granica systemu.</w:t>
            </w:r>
          </w:p>
        </w:tc>
      </w:tr>
      <w:tr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 15 października 2026</w:t>
            </w:r>
          </w:p>
        </w:tc>
        <w:tc>
          <w:tcPr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Decyzja budżetowa dla fali 1 (szacunek nakładu: 2,6 mln PLN) i harmonogram fali 2.</w:t>
            </w:r>
          </w:p>
        </w:tc>
      </w:tr>
      <w:tr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 30 listopada 2026</w:t>
            </w:r>
          </w:p>
        </w:tc>
        <w:tc>
          <w:tcPr>
            <w:shd w:fill="F8FAFC" w:color="auto" w:val="clear"/>
            <w:tcMar>
              <w:top w:type="dxa" w:w="58"/>
              <w:left w:type="dxa" w:w="95"/>
              <w:bottom w:type="dxa" w:w="58"/>
              <w:right w:type="dxa" w:w="95"/>
            </w:tcMar>
            <w:vAlign w:val="center"/>
          </w:tcPr>
          <w:p>
            <w:pPr>
              <w:keepLines/>
              <w:widowControl/>
              <w:spacing w:before="0" w:after="0" w:line="250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Przegląd kontrolny z zespołem doradczym — weryfikacja pozycji 1–5 i korekta celów TO-BE, jeśli zmienił się kontekst.</w:t>
            </w:r>
          </w:p>
        </w:tc>
      </w:tr>
    </w:tbl>
    <w:p>
      <w:pPr>
        <w:spacing w:before="0" w:after="1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0F172A"/>
          <w:sz w:val="2"/>
          <w:szCs w:val="2"/>
        </w:rPr>
        <w:t xml:space="preserve"/>
      </w:r>
    </w:p>
    <w:p>
      <w:pPr>
        <w:keepNext/>
        <w:keepLines/>
        <w:widowControl/>
        <w:spacing w:before="200" w:after="70" w:line="264"/>
      </w:pPr>
      <w:r>
        <w:rPr>
          <w:rFonts w:ascii="Helvetica Neue" w:cs="Helvetica Neue" w:eastAsia="Helvetica Neue" w:hAnsi="Helvetica Neue"/>
          <w:b/>
          <w:bCs/>
          <w:i w:val="false"/>
          <w:iCs w:val="false"/>
          <w:caps w:val="false"/>
          <w:color w:val="334155"/>
          <w:sz w:val="21"/>
          <w:szCs w:val="21"/>
        </w:rPr>
        <w:t xml:space="preserve">Granice wnioskowania</w:t>
      </w:r>
    </w:p>
    <w:p>
      <w:pPr>
        <w:pStyle w:val="ListParagraph"/>
        <w:widowControl/>
        <w:numPr>
          <w:ilvl w:val="0"/>
          <w:numId w:val="1"/>
        </w:numPr>
        <w:spacing w:after="60" w:line="258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Raport opiera się na 18 wywiadach, jednej wizycie w zakładzie Wrocław, przeglądzie systemów i dokumentacji oraz warsztacie walidacyjnym z 27.08.2026. Zakłady w Mielcu i Ostrawie nie były przedmiotem wizyty — ich stan przyjęto na podstawie deklaracji kadry zarządzającej i jest to najważniejsze ograniczenie tej oceny.</w:t>
      </w:r>
    </w:p>
    <w:p>
      <w:pPr>
        <w:pStyle w:val="ListParagraph"/>
        <w:widowControl/>
        <w:numPr>
          <w:ilvl w:val="0"/>
          <w:numId w:val="1"/>
        </w:numPr>
        <w:spacing w:after="60" w:line="258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Każda ocena obszaru ma w tabelach przypisany stan dowodu: „Potwierdzony" (okazany artefakt lub dane systemowe), „Deklarowany" (wyłącznie wypowiedź, bez artefaktu), „Niepełny" (materiał częściowy), „Brak dowodu". Osiem z 39 obszarów opiera się na deklaracji — ich ocena może się zmienić po okazaniu dowodu.</w:t>
      </w:r>
    </w:p>
    <w:p>
      <w:pPr>
        <w:pStyle w:val="ListParagraph"/>
        <w:widowControl/>
        <w:numPr>
          <w:ilvl w:val="0"/>
          <w:numId w:val="1"/>
        </w:numPr>
        <w:spacing w:after="60" w:line="258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Raport nie jest audytem bezpieczeństwa informacji ani testem penetracyjnym. Ustalenia z osi 6 opisują dojrzałość zarządzania, nie stan techniczny zabezpieczeń.</w:t>
      </w:r>
    </w:p>
    <w:p>
      <w:pPr>
        <w:pStyle w:val="ListParagraph"/>
        <w:widowControl/>
        <w:numPr>
          <w:ilvl w:val="0"/>
          <w:numId w:val="1"/>
        </w:numPr>
        <w:spacing w:after="60" w:line="258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Raport nie zawiera wyceny inwestycji. Kwota podana w kroku „do 15 października" jest szacunkiem rzędu wielkości opartym na zakresie fali 1, nie ofertą ani budżetem.</w:t>
      </w:r>
    </w:p>
    <w:p>
      <w:pPr>
        <w:pStyle w:val="ListParagraph"/>
        <w:widowControl/>
        <w:numPr>
          <w:ilvl w:val="0"/>
          <w:numId w:val="1"/>
        </w:numPr>
        <w:spacing w:after="60" w:line="258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Poziomy TO-BE zostały uzgodnione z zarządem na warsztacie 27.08.2026 i w trzech osiach są świadomie niższe od maksimum skali (patrz wniosek W5).</w:t>
      </w:r>
    </w:p>
    <w:sectPr>
      <w:headerReference w:type="default" r:id="rId24"/>
      <w:footerReference w:type="default" r:id="rId25"/>
      <w:pgSz w:w="11906" w:h="16838" w:orient="portrait"/>
      <w:pgMar w:top="1247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4"/>
        <w:szCs w:val="14"/>
      </w:rPr>
      <w:t xml:space="preserve">Consultify · metodyka DRD · wersja dokumentu z 3 września 2026 · dokument poufny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Raport z Oceny Dojrzałości Cyfrowej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Raport z Oceny Dojrzałości Cyfrowej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Raport z Oceny Dojrzałości Cyfrowej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Raport z Oceny Dojrzałości Cyfrowej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Raport z Oceny Dojrzałości Cyfrowej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Raport z Oceny Dojrzałości Cyfrowej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Raport z Oceny Dojrzałości Cyfrowej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Raport z Oceny Dojrzałości Cyfrowej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Raport z Oceny Dojrzałości Cyfrowej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9ED" w:sz="2" w:space="6"/>
      </w:pBdr>
      <w:tabs>
        <w:tab w:val="right" w:pos="9637"/>
      </w:tabs>
      <w:spacing w:after="220"/>
    </w:pP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64748B"/>
        <w:sz w:val="15"/>
        <w:szCs w:val="15"/>
      </w:rPr>
      <w:t xml:space="preserve">Raport z Oceny Dojrzałości Cyfrowej · TechProd Manufacturing Sp. z o.o.</w:t>
    </w:r>
    <w:r>
      <w:rPr>
        <w:rFonts w:ascii="Helvetica Neue" w:cs="Helvetica Neue" w:eastAsia="Helvetica Neue" w:hAnsi="Helvetica Neue"/>
        <w:b w:val="false"/>
        <w:bCs w:val="false"/>
        <w:i w:val="false"/>
        <w:iCs w:val="false"/>
        <w:caps w:val="false"/>
        <w:color w:val="0F172A"/>
        <w:sz w:val="15"/>
        <w:szCs w:val="15"/>
      </w:rPr>
      <w:t xml:space="preserve">	</w:t>
    </w:r>
    <w:r>
      <w:rPr>
        <w:rFonts w:ascii="Helvetica Neue" w:cs="Helvetica Neue" w:eastAsia="Helvetica Neue" w:hAnsi="Helvetica Neue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z Oceny Dojrzałości Cyfrowej — TechProd Manufacturing Sp. z o.o.</dc:title>
  <dc:creator>Consultify</dc:creator>
  <dc:description>Prototyp B1 — struktura raportu końcowego Oceny (DRD)</dc:description>
  <cp:lastModifiedBy>Un-named</cp:lastModifiedBy>
  <cp:revision>1</cp:revision>
  <dcterms:created xsi:type="dcterms:W3CDTF">2026-09-04T10:59:41.277Z</dcterms:created>
  <dcterms:modified xsi:type="dcterms:W3CDTF">2026-09-04T10:59:41.278Z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