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StudioTitle"/>
        <w:jc w:val="center"/>
      </w:pPr>
      <w:r>
        <w:rPr>
          <w:rFonts w:ascii="Aptos Display" w:cs="Aptos Display" w:eastAsia="Aptos Display" w:hAnsi="Aptos Display"/>
        </w:rPr>
        <w:t xml:space="preserve">Operating Model Diagnostic — Q3 Readiness &amp; Value at Stake</w:t>
      </w:r>
    </w:p>
    <w:p>
      <w:pPr>
        <w:pStyle w:val="Subtitle"/>
        <w:jc w:val="center"/>
      </w:pPr>
      <w:r>
        <w:rPr>
          <w:rFonts w:ascii="Aptos" w:cs="Aptos" w:eastAsia="Aptos" w:hAnsi="Aptos"/>
        </w:rPr>
        <w:t xml:space="preserve">executive memo · EN · standard · internal</w:t>
      </w:r>
    </w:p>
    <w:p>
      <w:pPr>
        <w:pStyle w:val="Subtitle"/>
        <w:jc w:val="center"/>
      </w:pPr>
      <w:r>
        <w:rPr>
          <w:rFonts w:ascii="Aptos" w:cs="Aptos" w:eastAsia="Aptos" w:hAnsi="Aptos"/>
        </w:rPr>
        <w:t xml:space="preserve">Audience: Board, CFO</w:t>
      </w:r>
    </w:p>
    <w:p>
      <w:pPr>
        <w:pStyle w:val="Subtitle"/>
        <w:jc w:val="center"/>
      </w:pPr>
      <w:r>
        <w:rPr>
          <w:rFonts w:ascii="Aptos" w:cs="Aptos" w:eastAsia="Aptos" w:hAnsi="Aptos"/>
        </w:rPr>
        <w:t xml:space="preserve">Generated: 2026-07-03</w:t>
      </w:r>
      <w:r>
        <w:br w:type="page"/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1. Executive Summary</w:t>
      </w:r>
    </w:p>
    <w:p>
      <w:pPr>
        <w:pStyle w:val="Caption"/>
      </w:pPr>
      <w:r>
        <w:rPr>
          <w:rFonts w:ascii="Aptos" w:cs="Aptos" w:eastAsia="Aptos" w:hAnsi="Aptos"/>
        </w:rPr>
        <w:t xml:space="preserve">Two-sentence recommendation.</w:t>
      </w:r>
    </w:p>
    <w:p>
      <w:pPr>
        <w:pStyle w:val="BodyText"/>
      </w:pPr>
      <w:r>
        <w:rPr>
          <w:rFonts w:ascii="Aptos" w:cs="Aptos" w:eastAsia="Aptos" w:hAnsi="Aptos"/>
        </w:rPr>
        <w:t xml:space="preserve">We recommend consolidating the three regional planning cells into one shared service by Q3, unlocking EUR 14–22M of run-rate value.</w:t>
      </w:r>
    </w:p>
    <w:p>
      <w:pPr>
        <w:pStyle w:val="Callout"/>
      </w:pPr>
      <w:r>
        <w:rPr>
          <w:rFonts w:ascii="Aptos" w:cs="Aptos" w:eastAsia="Aptos" w:hAnsi="Aptos"/>
          <w:b/>
          <w:bCs/>
          <w:i/>
          <w:iCs/>
          <w:color w:val="16A34A"/>
        </w:rPr>
        <w:t xml:space="preserve">Green-light the shared-service pilot next week to hold the Q3 window.</w:t>
      </w:r>
    </w:p>
    <w:p>
      <w:pPr>
        <w:pStyle w:val="Callout"/>
      </w:pPr>
      <w:r>
        <w:rPr>
          <w:rFonts w:ascii="Aptos" w:cs="Aptos" w:eastAsia="Aptos" w:hAnsi="Aptos"/>
          <w:b/>
          <w:bCs/>
          <w:i/>
          <w:iCs/>
          <w:color w:val="DC2626"/>
        </w:rPr>
        <w:t xml:space="preserve">Slipping past Q3 forfeits the FY value and re-opens vendor lock-in risk.</w:t>
      </w:r>
    </w:p>
    <w:p>
      <w:pPr>
        <w:pStyle w:val="BlockQuote"/>
      </w:pPr>
      <w:r>
        <w:rPr>
          <w:rFonts w:ascii="Aptos" w:cs="Aptos" w:eastAsia="Aptos" w:hAnsi="Aptos"/>
        </w:rPr>
        <w:t xml:space="preserve">“Without an executive sponsor we cannot ship this in one quarter.” — COO</w:t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2. Readiness by Dimension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aption"/>
            </w:pPr>
            <w:r>
              <w:rPr>
                <w:rFonts w:ascii="Aptos" w:cs="Aptos" w:eastAsia="Aptos" w:hAnsi="Aptos"/>
                <w:color w:val="64748B"/>
                <w:sz w:val="16"/>
                <w:szCs w:val="16"/>
              </w:rPr>
              <w:t xml:space="preserve">Process maturity</w:t>
            </w:r>
          </w:p>
          <w:p>
            <w:pPr>
              <w:pStyle w:val="BodyText"/>
            </w:pPr>
            <w:r>
              <w:rPr>
                <w:rFonts w:ascii="Aptos Display" w:cs="Aptos Display" w:eastAsia="Aptos Display" w:hAnsi="Aptos Display"/>
                <w:b/>
                <w:bCs/>
                <w:sz w:val="28"/>
                <w:szCs w:val="28"/>
              </w:rPr>
              <w:t xml:space="preserve">62%</w:t>
            </w:r>
          </w:p>
          <w:p>
            <w:pPr>
              <w:pStyle w:val="Caption"/>
            </w:pPr>
            <w:r>
              <w:rPr>
                <w:rFonts w:ascii="Aptos" w:cs="Aptos" w:eastAsia="Aptos" w:hAnsi="Aptos"/>
                <w:color w:val="16A34A"/>
                <w:sz w:val="16"/>
                <w:szCs w:val="16"/>
              </w:rPr>
              <w:t xml:space="preserve">▲ +8pt</w:t>
            </w:r>
          </w:p>
        </w:tc>
        <w:tc>
          <w:tcPr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aption"/>
            </w:pPr>
            <w:r>
              <w:rPr>
                <w:rFonts w:ascii="Aptos" w:cs="Aptos" w:eastAsia="Aptos" w:hAnsi="Aptos"/>
                <w:color w:val="64748B"/>
                <w:sz w:val="16"/>
                <w:szCs w:val="16"/>
              </w:rPr>
              <w:t xml:space="preserve">Data readiness</w:t>
            </w:r>
          </w:p>
          <w:p>
            <w:pPr>
              <w:pStyle w:val="BodyText"/>
            </w:pPr>
            <w:r>
              <w:rPr>
                <w:rFonts w:ascii="Aptos Display" w:cs="Aptos Display" w:eastAsia="Aptos Display" w:hAnsi="Aptos Display"/>
                <w:b/>
                <w:bCs/>
                <w:sz w:val="28"/>
                <w:szCs w:val="28"/>
              </w:rPr>
              <w:t xml:space="preserve">48%</w:t>
            </w:r>
          </w:p>
          <w:p>
            <w:pPr>
              <w:pStyle w:val="Caption"/>
            </w:pPr>
            <w:r>
              <w:rPr>
                <w:rFonts w:ascii="Aptos" w:cs="Aptos" w:eastAsia="Aptos" w:hAnsi="Aptos"/>
                <w:color w:val="DC2626"/>
                <w:sz w:val="16"/>
                <w:szCs w:val="16"/>
              </w:rPr>
              <w:t xml:space="preserve">▼ −3pt</w:t>
            </w:r>
          </w:p>
        </w:tc>
        <w:tc>
          <w:tcPr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aption"/>
            </w:pPr>
            <w:r>
              <w:rPr>
                <w:rFonts w:ascii="Aptos" w:cs="Aptos" w:eastAsia="Aptos" w:hAnsi="Aptos"/>
                <w:color w:val="64748B"/>
                <w:sz w:val="16"/>
                <w:szCs w:val="16"/>
              </w:rPr>
              <w:t xml:space="preserve">Value at stake</w:t>
            </w:r>
          </w:p>
          <w:p>
            <w:pPr>
              <w:pStyle w:val="BodyText"/>
            </w:pPr>
            <w:r>
              <w:rPr>
                <w:rFonts w:ascii="Aptos Display" w:cs="Aptos Display" w:eastAsia="Aptos Display" w:hAnsi="Aptos Display"/>
                <w:b/>
                <w:bCs/>
                <w:sz w:val="28"/>
                <w:szCs w:val="28"/>
              </w:rPr>
              <w:t xml:space="preserve">€18M</w:t>
            </w:r>
          </w:p>
          <w:p>
            <w:pPr>
              <w:pStyle w:val="Caption"/>
            </w:pPr>
            <w:r>
              <w:rPr>
                <w:rFonts w:ascii="Aptos" w:cs="Aptos" w:eastAsia="Aptos" w:hAnsi="Aptos"/>
                <w:color w:val="64748B"/>
                <w:sz w:val="16"/>
                <w:szCs w:val="16"/>
              </w:rPr>
              <w:t xml:space="preserve">vs €11M today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Metric0</w:t>
            </w:r>
          </w:p>
        </w:tc>
        <w:tc>
          <w:tcPr>
            <w:shd w:fill="E2E8F0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Metric1</w:t>
            </w:r>
          </w:p>
        </w:tc>
        <w:tc>
          <w:tcPr>
            <w:shd w:fill="E2E8F0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Metric2</w:t>
            </w:r>
          </w:p>
        </w:tc>
        <w:tc>
          <w:tcPr>
            <w:shd w:fill="E2E8F0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Metric3</w:t>
            </w:r>
          </w:p>
        </w:tc>
        <w:tc>
          <w:tcPr>
            <w:shd w:fill="E2E8F0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Metric4</w:t>
            </w:r>
          </w:p>
        </w:tc>
        <w:tc>
          <w:tcPr>
            <w:shd w:fill="E2E8F0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Metric5</w:t>
            </w:r>
          </w:p>
        </w:tc>
        <w:tc>
          <w:tcPr>
            <w:shd w:fill="E2E8F0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Metric6</w:t>
            </w:r>
          </w:p>
        </w:tc>
        <w:tc>
          <w:tcPr>
            <w:shd w:fill="E2E8F0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Metric7</w:t>
            </w:r>
          </w:p>
        </w:tc>
        <w:tc>
          <w:tcPr>
            <w:shd w:fill="E2E8F0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Metric8</w:t>
            </w:r>
          </w:p>
        </w:tc>
        <w:tc>
          <w:tcPr>
            <w:shd w:fill="E2E8F0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Metric9</w:t>
            </w:r>
          </w:p>
        </w:tc>
      </w:tr>
      <w:tr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11%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22%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33%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44%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55%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66%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77%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88%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99%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110%</w:t>
            </w:r>
          </w:p>
        </w:tc>
      </w:tr>
    </w:tbl>
    <w:p>
      <w:pPr>
        <w:pStyle w:val="Caption"/>
      </w:pPr>
      <w:r>
        <w:rPr>
          <w:rFonts w:ascii="Aptos" w:cs="Aptos" w:eastAsia="Aptos" w:hAnsi="Aptos"/>
        </w:rPr>
        <w:t xml:space="preserve">Table 2</w:t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Sources &amp; traceability</w:t>
      </w:r>
    </w:p>
    <w:p>
      <w:pPr>
        <w:pStyle w:val="AssumptionBody"/>
      </w:pPr>
      <w:r>
        <w:rPr>
          <w:rFonts w:ascii="Aptos" w:cs="Aptos" w:eastAsia="Aptos" w:hAnsi="Aptos"/>
        </w:rPr>
        <w:t xml:space="preserve">No sources attached. Substantive content blocks are flagged as assumptions and require a source pack before client distribution.</w:t>
      </w:r>
    </w:p>
    <w:sectPr>
      <w:headerReference w:type="default" r:id="rId6"/>
      <w:footerReference w:type="default" r:id="rId7"/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Aptos" w:hAnsi="Aptos"/>
        <w:color w:val="94A3B8"/>
        <w:sz w:val="16"/>
        <w:szCs w:val="16"/>
      </w:rPr>
      <w:t xml:space="preserve">internal</w:t>
    </w:r>
    <w:r>
      <w:rPr>
        <w:rFonts w:ascii="Aptos" w:cs="Aptos" w:eastAsia="Aptos" w:hAnsi="Aptos"/>
        <w:color w:val="94A3B8"/>
        <w:sz w:val="16"/>
        <w:szCs w:val="16"/>
      </w:rPr>
      <w:t xml:space="preserve">   |   </w:t>
    </w:r>
    <w:r>
      <w:rPr>
        <w:rFonts w:ascii="Aptos" w:cs="Aptos" w:eastAsia="Aptos" w:hAnsi="Aptos"/>
        <w:color w:val="94A3B8"/>
        <w:sz w:val="16"/>
        <w:szCs w:val="16"/>
      </w:rPr>
      <w:t xml:space="preserve">Page </w:t>
    </w:r>
    <w:r>
      <w:rPr>
        <w:rFonts w:ascii="Aptos" w:cs="Aptos" w:eastAsia="Aptos" w:hAnsi="Aptos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94A3B8"/>
        <w:sz w:val="16"/>
        <w:szCs w:val="16"/>
      </w:rPr>
      <w:t xml:space="preserve"> / </w:t>
    </w:r>
    <w:r>
      <w:rPr>
        <w:rFonts w:ascii="Aptos" w:cs="Aptos" w:eastAsia="Aptos" w:hAnsi="Aptos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ptos" w:cs="Aptos" w:eastAsia="Aptos" w:hAnsi="Aptos"/>
        <w:color w:val="64748B"/>
        <w:sz w:val="18"/>
        <w:szCs w:val="18"/>
      </w:rPr>
      <w:t xml:space="preserve">Operating Model Diagnostic — Q3 Readiness &amp; Value at Stake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Aptos Display" w:cs="Aptos Display" w:eastAsia="Aptos Display" w:hAnsi="Aptos Display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Aptos Display" w:cs="Aptos Display" w:eastAsia="Aptos Display" w:hAnsi="Aptos Display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Aptos Display" w:cs="Aptos Display" w:eastAsia="Aptos Display" w:hAnsi="Aptos Display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Aptos Display" w:cs="Aptos Display" w:eastAsia="Aptos Display" w:hAnsi="Aptos Display"/>
      <w:b/>
      <w:bCs/>
      <w:color w:val="0F172A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Aptos" w:cs="Aptos" w:eastAsia="Aptos" w:hAnsi="Aptos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spacing w:before="280" w:after="140"/>
    </w:pPr>
    <w:rPr>
      <w:rFonts w:ascii="Aptos Display" w:cs="Aptos Display" w:eastAsia="Aptos Display" w:hAnsi="Aptos Display"/>
      <w:b/>
      <w:bCs/>
      <w:color w:val="0F172A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Aptos Display" w:cs="Aptos Display" w:eastAsia="Aptos Display" w:hAnsi="Aptos Display"/>
      <w:b/>
      <w:bCs/>
      <w:color w:val="1E293B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Aptos Display" w:cs="Aptos Display" w:eastAsia="Aptos Display" w:hAnsi="Aptos Display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Aptos" w:cs="Aptos" w:eastAsia="Aptos" w:hAnsi="Aptos"/>
      <w:color w:val="0F172A"/>
      <w:sz w:val="22"/>
      <w:szCs w:val="22"/>
    </w:rPr>
  </w:style>
  <w:style w:type="paragraph" w:styleId="BlockQuote">
    <w:name w:val="Block Quote"/>
    <w:basedOn w:val="BodyText"/>
    <w:next w:val="BodyText"/>
    <w:pPr>
      <w:spacing w:before="80" w:after="120"/>
      <w:ind w:left="360"/>
    </w:pPr>
    <w:rPr>
      <w:rFonts w:ascii="Aptos" w:cs="Aptos" w:eastAsia="Aptos" w:hAnsi="Aptos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Aptos" w:cs="Aptos" w:eastAsia="Aptos" w:hAnsi="Aptos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Aptos" w:cs="Aptos" w:eastAsia="Aptos" w:hAnsi="Aptos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Aptos" w:cs="Aptos" w:eastAsia="Aptos" w:hAnsi="Aptos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spacing w:before="80" w:after="120"/>
      <w:ind w:left="240"/>
    </w:pPr>
    <w:rPr>
      <w:rFonts w:ascii="Aptos" w:cs="Aptos" w:eastAsia="Aptos" w:hAnsi="Aptos"/>
      <w:color w:val="0F172A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Aptos" w:cs="Aptos" w:eastAsia="Aptos" w:hAnsi="Aptos"/>
      <w:color w:val="0F172A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Aptos Display" w:cs="Aptos Display" w:eastAsia="Aptos Display" w:hAnsi="Aptos Display"/>
      <w:b/>
      <w:bCs/>
      <w:color w:val="0F17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Model Diagnostic — Q3 Readiness &amp; Value at Stake</dc:title>
  <dc:creator>Consultify Document Studio</dc:creator>
  <dc:description>Consultify Document Studio · executive_memo · executive</dc:description>
  <cp:lastModifiedBy>Un-named</cp:lastModifiedBy>
  <cp:revision>1</cp:revision>
  <dcterms:created xsi:type="dcterms:W3CDTF">2026-07-03T07:48:13.079Z</dcterms:created>
  <dcterms:modified xsi:type="dcterms:W3CDTF">2026-07-03T07:48:13.079Z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