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90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60"/>
          <w:sz w:val="17"/>
          <w:szCs w:val="17"/>
        </w:rPr>
        <w:t xml:space="preserve">CONSULTIFY · DBR77</w:t>
      </w:r>
    </w:p>
    <w:p>
      <w:pPr>
        <w:keepLines/>
        <w:widowControl/>
        <w:spacing w:before="0" w:after="140" w:line="38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0F172A"/>
          <w:sz w:val="56"/>
          <w:szCs w:val="56"/>
        </w:rPr>
        <w:t xml:space="preserve">DEMO UKŁADU — treść prototypowa, liczby z sesji 3c016470-a5f9-449d-9e99-822eaede71de</w:t>
      </w:r>
    </w:p>
    <w:p>
      <w:pPr>
        <w:keepLines/>
        <w:widowControl/>
        <w:spacing w:before="0" w:after="7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4"/>
          <w:szCs w:val="24"/>
        </w:rPr>
        <w:t xml:space="preserve">Raport z Oceny Dojrzałości Cyfrowej · Digital Readiness Diagnosis (DRD) — 7 osi, 39 obszarów</w:t>
      </w:r>
    </w:p>
    <w:tbl>
      <w:tblPr>
        <w:tblW w:type="pct" w:w="100%"/>
        <w:tblBorders>
          <w:top w:val="single" w:color="0F172A" w:sz="12"/>
          <w:left w:val="none"/>
          <w:bottom w:val="single" w:color="E6E9ED" w:sz="2"/>
          <w:right w:val="none"/>
          <w:insideH w:val="none"/>
          <w:insideV w:val="none"/>
        </w:tblBorders>
      </w:tblPr>
      <w:tblGrid>
        <w:gridCol w:w="9637"/>
      </w:tblGrid>
      <w:tr>
        <w:tc>
          <w:tcPr>
            <w:tcMar>
              <w:top w:type="dxa" w:w="220"/>
              <w:left w:type="dxa" w:w="95"/>
              <w:bottom w:type="dxa" w:w="220"/>
              <w:right w:type="dxa" w:w="95"/>
            </w:tcMar>
            <w:vAlign w:val="top"/>
          </w:tcPr>
          <w:p>
            <w:pPr>
              <w:keepLines/>
              <w:widowControl/>
              <w:spacing w:before="0" w:after="80" w:line="264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0F172A"/>
                <w:sz w:val="30"/>
                <w:szCs w:val="30"/>
              </w:rPr>
              <w:t xml:space="preserve">TechProd Manufacturing Sp. z o.o.</w:t>
            </w:r>
          </w:p>
          <w:p>
            <w:pPr>
              <w:keepLines/>
              <w:widowControl/>
              <w:spacing w:before="0" w:after="0" w:line="26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8"/>
                <w:szCs w:val="18"/>
              </w:rPr>
              <w:t xml:space="preserve">producent podzespołów elektronicznych (EMS) dla motoryzacji i automatyki przemysłowej · 468 osób · 3 zakłady (Wrocław, Mielec, Ostrawa) · przychód 312 mln PLN (2025)</w:t>
            </w:r>
          </w:p>
        </w:tc>
      </w:tr>
    </w:tbl>
    <w:p>
      <w:pPr>
        <w:spacing w:before="0" w:after="90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E6E9ED" w:sz="2"/>
          <w:insideV w:val="none"/>
        </w:tblBorders>
        <w:tblLayout w:type="fixed"/>
      </w:tblPr>
      <w:tblGrid>
        <w:gridCol w:w="2891"/>
        <w:gridCol w:w="6746"/>
      </w:tblGrid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Data raportu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 września 2026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Okres badania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11–27 sierpnia 2026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Wersja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Wersja 1.0 · dokument zatwierdzony przez partnera prowadzącego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Partner prowadzący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dr Piotr Wiśniewski — partner prowadzący, autor metodyki DRD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Wynik ogólny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34,8% skali · Benchmark branżowy (produkcja, Polska): 46% skali</w:t>
            </w:r>
          </w:p>
        </w:tc>
      </w:tr>
    </w:tbl>
    <w:p>
      <w:pPr>
        <w:spacing w:before="0" w:after="40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6"/>
          <w:szCs w:val="16"/>
        </w:rPr>
        <w:t xml:space="preserve">Dokument poufny. Przeznaczony wyłącznie dla zarządu TechProd Manufacturing Sp. z o.o. oraz wskazanych przez zarząd odbiorców wewnętrznych.</w:t>
      </w:r>
    </w:p>
    <w:p>
      <w:pPr>
        <w:sectPr>
          <w:pgSz w:w="11906" w:h="16838" w:orient="portrait"/>
          <w:pgMar w:top="1360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Rozdział wstępny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Wstęp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Cel oceny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Zarząd TechProd Manufacturing zlecił ocenę dojrzałości cyfrowej, żeby odpowiedzieć na jedno pytanie: czy pieniądze wydawane na cyfryzację trafiają tam, gdzie firma ma największą lukę. Ocena ma dostarczyć podstawy do decyzji budżetowej na lata 2027–2028, a nie katalogu życzeń technologicznych.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Raport odpowiada na trzy pytania: gdzie organizacja jest dzisiaj (stan AS-IS, potwierdzony dowodem), dokąd powinna dojść w horyzoncie 24 miesięcy (stan TO-BE, uzgodniony z zarządem) oraz w jakiej kolejności należy działać, żeby kolejne kroki nie blokowały się nawzajem.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Zakres i sposób prowadzenia badania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Badanie objęło całą organizację w siedmiu osiach metodyki DRD i 39 obszarach szczegółowych. Podstawą oceny są dowody — dokumenty, zrzuty z systemów, eksporty danych i obserwacja na miejscu. Wypowiedź bez artefaktu jest w tym raporcie oznaczana jako deklaracja i jako taka wchodzi do oceny z niższą wagą.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2120"/>
        <w:gridCol w:w="75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Termin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Działanie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11–22.08.2026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18 wywiadów strukturyzowanych (kadra zarządzająca, kierownicy, specjaliści)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14.08.2026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wizyta w zakładzie Wrocław — linie SMT, montaż końcowy, magazyny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19.08.2026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przegląd systemów: ERP, MES, WMS, CRM, narzędzia HR, infrastruktura sieciowa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21.08.2026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przegląd dokumentacji: polityki SZBI, certyfikat ISO 27001, raporty KPI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27.08.2026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warsztat walidacyjny — potwierdzenie poziomów AS-IS i uzgodnienie TO-BE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03.09.2026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wydanie raportu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Metodyka DRD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Digital Readiness Diagnosis to metodyka oceny dojrzałości cyfrowej opisana w książce „Digital Pathfinder" dr. Piotra Wiśniewskiego. Łączy doradztwo strategiczne z reorganizacją operacyjną: najpierw ustala stan faktyczny, potem definiuje inicjatywy transformacyjne, a na końcu układa je w spójną sekwencję z efektami ekonomicznymi. Metodyka wymaga, żeby zdolności warunkujące powstały przed rozwiązaniami zaawansowanymi — dlatego mapa drogowa w tym raporcie ma wymuszoną kolejność, a nie listę priorytetów do dowolnego wyboru.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964"/>
        <w:gridCol w:w="5589"/>
        <w:gridCol w:w="1542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Nazwa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Obszary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Skala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Cyfrowe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Cyfrowe Modele Biznesowe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Zarządzanie Danymi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Kultura Transformacji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Cyberbezpieczeństwo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Dojrzałość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</w:tr>
    </w:tbl>
    <w:p>
      <w:pPr>
        <w:spacing w:before="0" w:after="1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Jak czytać poziomy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Osie mają różne skale, bo mierzą różne rzeczy. Procesy cyfrowe i zarządzanie danymi mają siedem poziomów, kultura i cyberbezpieczeństwo sześć, pozostałe pięć. Poziom 4 na osi produktów nie znaczy tego samego co poziom 4 na osi procesów.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Dlatego porównania między osiami prowadzimy w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procencie skali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(poziom osiągnięty podzielony przez maksimum danej osi), a wewnątrz osi — w poziomach natywnych. Wynik ogólny w tym raporcie to średnia z procentów skali siedmiu osi, liczona z równą wagą.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70" w:line="264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Wyższy poziom nie jest automatycznie lepszy.</w:t>
            </w:r>
          </w:p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20"/>
                <w:szCs w:val="20"/>
              </w:rPr>
              <w:t xml:space="preserve">Metodyka DRD nie zakłada, że każda oś ma dojść do maksimum. Poziom docelowy wynika ze znaczenia strategicznego obszaru, zależności między osiami, kosztu, zdolności wykonawczej i ryzyka. W trzech osiach tego raportu rekomendujemy świadomie sufit poniżej maksimum skali i podajemy uzasadnienie w rozdziale każdej z nich.</w:t>
            </w:r>
          </w:p>
        </w:tc>
      </w:tr>
    </w:tbl>
    <w:p>
      <w:pPr>
        <w:spacing w:before="0" w:after="1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Każdy rozdział osi ma tę samą budowę: werdykt jednym zdaniem, wskaźnik poziomu, co zbadano, odpowiedzi klienta, dowody, tabela obszarów, wnioski, rekomendacje i linia decyzyjna. Kolejność jest stała we wszystkich siedmiu rozdziałach, żeby dało się je porównywać.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Skład zespołu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3662"/>
        <w:gridCol w:w="5975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Zespół doradczy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Rola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dr Piotr Wiśniewski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partner prowadzący, autor metodyki DRD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Anna Kowal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konsultant wiodący, prowadzenie wywiadów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Marek Lis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analityk danych, weryfikacja dowodów systemowych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3662"/>
        <w:gridCol w:w="5975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Zespół klienta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Rola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Jacek Andrzejewski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Ewa Roman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Operacyjny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Tomasz Bielak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Finansowy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Rafał Nowicki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Grzegorz Sowa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Produkcji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Katarzyna Wilk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Michał Duda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Logistyki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Iwona Lech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1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Procesy Cyfrowe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Produkcja i finanse pracują na zintegrowanym ERP, ale logistyka i HR pozostały poza obiegiem danych i hamują cały łańcuch.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7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2,0 z 7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4,0 z 7   ·   28,6% skali   ·   9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stopień ucyfrowienia dziewięciu procesów podstawowych: sprzedaży, marketingu, technologii i R&amp;D, zakupów, logistyki, produkcji, jakości, finansów oraz HR. Skala 1–7 prowadzi od rejestracji danych, przez kontrolę i automatyzację, po MES, ERP i wsparcie algorytmiczne.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Pokażcie ostatnie 10 zamówień w systemie — jak szybko od podpisania umowy trafił do niego wpis: tego samego dnia, kilka dni później, czy na koniec miesiąca?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Jak przebiega kontrola budżetu: system ostrzega o przekroczeniu planu w czasie rzeczywistym, czy dowiadujecie się po miesiącu z raportu?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Które linie raportują wykonanie automatycznie, a gdzie ktoś przepisuje wynik do arkusza? Pokażcie oba przypadki na danych z sierpnia.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Gdzie zapisana jest informacja o kompetencjach pracownika i kto ją aktualizuje?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Zamówienia trafiają do ERP tego samego dnia — eksport dziesięciu ostatnich zleceń potwierdził 10/10 wpisów w ciągu 24 godzin.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Budżet sprzedaży jest prowadzony w ERP z alertem przekroczenia; plan zakupowy nadal powstaje w arkuszu kontrolera i jest wprowadzany do systemu raz w miesiącu.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Dwie z trzech linii SMT raportują OEE do MES co zmianę. Montaż końcowy raportuje ręcznie — kierownik przepisuje wynik do arkusza następnego dnia rano.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Magazyn wyrobów gotowych obsługuje WMS; magazyn komponentów prowadzony jest na etykietach papierowych i inwentaryzacji kwartalnej.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Kompetencje pracowników nie są zapisane w żadnym systemie. Rekrutacja i ewidencja czasu pracy działają w dwóch niepowiązanych narzędziach.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Eksport 10 zleceń sprzedaży z ERP (12.08.2026): 10/10 wpisanych ≤ 24 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ERP, dział sprzedaży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Zrzut pulpitu OEE linii SMT-1 i SMT-2 z 14.08.2026, dane co zmianę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Arkusz raportowania montażu końcowego, sierpień 2026 (wpisy ręczne, opóźnienie 1 dzień)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Kierownik produkcji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Obieg zamówień zakupowych i miejsce planu zakupowego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Dyrektor Logistyki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Kartoteka kompetencji pracowników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dowodu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Sprzedaży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Marketingowe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Technologia Procesowa i R&amp;D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Zakupowe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Logistyczne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1F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Produkcyjne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1G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Jakości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1H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Zarządzanie Finansami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HR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Niepełny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Oś 1 jest najmocniejszym filarem organizacji i jednocześnie mieści jej najgłębszą pojedynczą lukę. Rdzeń wytwórczy — produkcja, jakość, finanse, sprzedaż — pracuje na poziomie 4–5, czyli na realnie zintegrowanych systemach, a nie na deklaracjach: dane z linii SMT i z ERP dały się okazać na miejscu, w bieżących datach.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Poza tym rdzeniem organizacja pracuje tak, jak przed wdrożeniem ERP. Logistyka komponentów (1E, poziom 3 przy celu 6) i HR (1I, poziom 3) nie zasilają wspólnego obiegu danych. To nie jest kwestia wygody: brak stanów magazynowych w czasie rzeczywistym jest dziś pierwszym powodem przestojów planistycznych zgłaszanych przez produkcję, a brak kartoteki kompetencji uniemożliwia zaplanowanie jakiegokolwiek programu rozwoju z osi 5.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Montaż końcowy poza MES tworzy jednodniowe opóźnienie w obrazie wykonania. Przy dwóch liniach raportujących automatycznie koszt domknięcia trzeciej jest niski, a efekt — spójny obraz produkcji — natychmiastowy.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Objąć magazyn komponentów tym samym WMS co wyroby gotowe (kody kreskowe, terminale, inwentaryzacja ciągła)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Logistyki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Wpiąć montaż końcowy do MES na tych samych wskaźnikach co linie SMT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Produkcji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Uruchomić jedną ewidencję kompetencji w systemie HR — warunek wstępny dla osi 5 i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7 (wsparcie algorytmiczne) nie jest rekomendowany dla żadnego obszaru osi 1 w horyzoncie 24 miesięcy. Warunkiem wejścia jest kompletność danych procesowych, której dziś nie ma w logistyce i w HR — algorytm na niekompletnych danych pogłębi błąd, zamiast go usunąć.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Domknięcie obiegu danych procesowych poza rdzeniem wytwórczym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2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12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Jeden właściciel danych magazynowych po stronie operacji</w:t>
            </w:r>
          </w:p>
        </w:tc>
      </w:tr>
    </w:tbl>
    <w:p>
      <w:pPr>
        <w:sectPr>
          <w:headerReference w:type="default" r:id="rId8"/>
          <w:footerReference w:type="default" r:id="rId9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2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Produkty Cyfrowe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Sterowniki z łącznością są realną przewagą, ale klient nie ma żadnego kanału cyfrowego, w którym mógłby z niej skorzystać.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2,0 z 5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4,0 z 5   ·   40,0%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ocenia, ile wartości produktu powstaje cyfrowo: funkcje dostępne wyłącznie w warstwie software, społeczność wokół produktu, komponent ICT, dopasowanie do oczekiwań klienta i skalowalność. Skala 1–5, od produktu wyłącznie fizycznego po produkt, którego rozwój jest sterowany danymi z eksploatacji.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Który z Waszych produktów ma funkcję dostępną wyłącznie cyfrowo? Pokażcie ją na żywo.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Ilu klientów korzystało z tej funkcji w ostatnim miesiącu i skąd znacie tę liczbę?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zmieniliście produkt na podstawie danych z jego użytkowania, a nie z rozmowy z klientem?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Moduły sterujące serii TP-40 mają łączność i raportują telemetrię — ale do chmury odbiorcy OEM, nie do TechProd. Firma nie widzi, jak jej produkt pracuje u klienta.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istnieje portal klienta. Zgłoszenia serwisowe wpływają mailem i telefonicznie, rejestrowane są w CRM ręcznie.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Zmiany konstrukcyjne wynikają z reklamacji i rozmów handlowych. Nie ma pętli danych z eksploatacji.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Konfigurator produktu istnieje, ale wyłącznie w wersji wewnętrznej dla handlowców.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Demonstracja telemetrii modułu TP-40 na stanowisku testowym (14.08.2026)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R&amp;D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portalu klienta — sprawdzone na stronie i w CRM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Inspekcja własna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Liczba aktywnych użytkowników funkcji cyfrowych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pomiaru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Konfigurator wewnętrzny — pokaz na koncie handlowca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Sprzedaży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Społecznościowe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ICT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Dopasowanie Produktu do Oczekiwań Klienta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Skalowalność Produktu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Komponent ICT produktu jest mocny (2C, poziom 4) i to jest realny kapitał: elektronika TechProd już dziś generuje dane. Problem polega na tym, że cała ta wartość wypływa do odbiorcy OEM, a producent nie zatrzymuje z niej niczego — ani wiedzy o awaryjności, ani podstawy do usługi.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Brak kanału cyfrowego do klienta końcowego (2A/2B) blokuje jednocześnie oś 3: nie da się uruchomić modelu usługowego bez miejsca, w którym klient tę usługę odbiera. To zależność, nie osobne zadanie.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Dopasowanie produktu (2D) i skalowalność (2E) oparte są dziś na deklaracjach — nie ma pomiaru, który by je potwierdził. Do czasu uruchomienia zbierania telemetrii po stronie TechProd oceny 3 w tych obszarach należy traktować jako ostrożne, nie jako ustalone.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Zapewnić własny odbiór telemetrii TP-40 (kanał równoległy do OEM, zgoda kontraktowa)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R&amp;D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Uruchomić portal klienta: dokumentacja, zgłoszenia serwisowe, historia urządzenia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Wprowadzić jeden mierzalny wskaźnik użycia funkcji cyfrowych i raportować go miesięcznie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R&amp;D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5 (produkt sterowany danymi, ekspercki) nie jest rekomendowany. Przy modelu B2B z ograniczoną liczbą odbiorców OEM koszt budowy pełnej platformy produktowej nie zwraca się w horyzoncie 24 miesięcy. Rekomendowany sufit dla tej osi to poziom 4.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Odzyskanie danych z eksploatacji własnego produktu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4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18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Zgoda kontraktowa odbiorców OEM na równoległy kanał telemetrii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3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Cyfrowe Modele Biznesowe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Firma sprzedaje wyłącznie sztuki i godziny. Żaden przychód nie pochodzi z modelu cyfrowego, choć dane do tego już istnieją.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2,0 z 5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4,0 z 5   ·   40,0%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ocenia, czy organizacja zarabia w sposób umożliwiony przez cyfryzację: e-commerce, rozwiązania platformowe, model usługowy (as-a-service), współdzielenie zasobów i monetyzacja danych. Skala 1–5.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Jaka część przychodu 2025 pochodzi ze źródła, które nie istniałoby bez cyfryzacji? Pokażcie tę pozycję w rachunku.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Czy jakikolwiek klient płaci Wam cyklicznie za dostępność, a nie za sztukę?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Kto w firmie odpowiada za rozwój nowych modeli przychodowych i ile czasu na to poświęca?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Cały przychód 2025 pochodzi ze sprzedaży wyrobu i usług inżynierskich rozliczanych roboczogodzinowo. Pozycji cyfrowej w rachunku nie ma.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ma żadnej umowy abonamentowej ani rozliczanej za dostępność. Serwis rozliczany jest za zdarzenie.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Nikt nie ma tego w zakresie obowiązków. Temat pojawia się na zarządzie raz na kwartał jako punkt informacyjny.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Sklep internetowy dla części zamiennych istnieje, ale realizuje mniej niż 2% wartości sprzedaży części.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Struktura przychodu 2025 — zestawienie z systemu finansowo-księgowego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Finansowy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Sklep części zamiennych — raport sprzedaży 01–07/2026 (1,8% wartości)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Sprzedaży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umów abonamentowych — przegląd rejestru umów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Prawny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Rozmowy z dwoma odbiorcami o modelu dostępnościowym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Dyrektor Sprzedaży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Modele E-commerce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Rozwiązania Platformowe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 As-a-Service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Modele Współdzielenia Zasobów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Modele Monetyzacji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Niepełny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To druga najniższa oś w badaniu i jedyna, w której niska ocena nie wynika z braku technologii. Firma ma czujniki w produkcie, ma MES na liniach i ma dane serwisowe — brakuje wyłącznie decyzji, że ktoś ma za te modele odpowiadać i za nie rozliczać.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Ocena 3 w obszarze monetyzacji danych (3E) opiera się na materiale niepełnym: rozmowy z odbiorcami o odpłatnym dostępie do danych jakościowych toczyły się, ale nie zakończyły ofertą. Traktujemy to jako sygnał gotowości rynku, nie jako zdolność organizacji.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Kolejność ma znaczenie: model usługowy (3C) wymaga wcześniej portalu klienta z osi 2 i danych telemetrycznych po stronie TechProd. Uruchamianie 3C przed tymi dwoma warunkami skończy się usługą obsługiwaną ręcznie, czyli droższą od sprzedaży wyrobu.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Wskazać właściciela nowych modeli przychodowych na poziomie zarządu (rola, nie projekt)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Przygotować studium wykonalności Equipment-as-a-Service dla jednego odbiorcy pilotażowego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Rozszerzyć sklep części zamiennych o zamówienia B2B z rabatem kontraktowym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5 (model ekspercki, platformowy) nie jest rekomendowany dla żadnego obszaru tej osi. Skala firmy i struktura odbiorców nie uzasadniają ekonomicznie roli operatora platformy. Wartość leży w poziomie 4 — powtarzalnym przychodzie usługowym przy istniejącej bazie klientów.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Jedno powtarzalne źródło przychodu obok sprzedaży wyrobu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5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24 miesiące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Właściciel tematu z mandatem zarządu; start dopiero po osi 2</w:t>
            </w:r>
          </w:p>
        </w:tc>
      </w:tr>
    </w:tbl>
    <w:p>
      <w:pPr>
        <w:sectPr>
          <w:headerReference w:type="default" r:id="rId12"/>
          <w:footerReference w:type="default" r:id="rId13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4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Zarządzanie Danymi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Dane są zbierane szeroko i przechowywane porządnie, ale analiza kończy się na raporcie opisowym — nikt w firmie nie przewiduje.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7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2,0 z 7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4,0 z 7   ·   28,6%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cały cykl życia danych: zbieranie, metodologię przechowywania, komunikację między systemami, analizę wielkich zbiorów i moc obliczeniową. Skala 1–7 prowadzi od zbierania ręcznego po pełną kontrolę optyczną i przetwarzanie na brzegu sieci.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Skąd pochodzą dane, na podstawie których zarząd podejmuje decyzje operacyjne, i jak są aktualne w momencie decyzji?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ktoś użył danych historycznych do prognozy, a nie do opisu przeszłości? Pokażcie ten materiał.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ręcznych scaleń danych trzeba wykonać, żeby powstał miesięczny raport zarządczy?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Dane produkcyjne płyną z MES automatycznie; dane magazynowe i HR wprowadzane są ręcznie. Raport zarządczy powstaje z czterech eksportów scalanych w arkuszu przez kontrolera.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ma prognozy opartej o dane historyczne. Planowanie produkcji opiera się na zamówieniach potwierdzonych i doświadczeniu planisty.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Hurtownia danych nie istnieje. Dane historyczne z MES są dostępne 18 miesięcy wstecz, potem są archiwizowane bez indeksu.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Środowisko hybrydowe (serwerownia zakładowa + chmura publiczna) działa stabilnie; retencja i kopie zapasowe są udokumentowane.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Instrukcja przygotowania raportu zarządczego (4 eksporty, scalanie w arkuszu)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Kontroling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Polityka retencji i harmonogram kopii zapasowych, przegląd z 19.08.2026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hurtowni danych i katalogu danych — sprawdzone w inwentarzu systemów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Inspekcja własna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Dostępność danych MES 18 miesięcy wstecz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administrator MES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Zbieranie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Metodologia Przechowywania Danych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Komunikacja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Analiza Big Data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Przetwarzanie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Fundament jest zbudowany prawidłowo: dane są zbierane z maszyn (4A, poziom 5), przechowywane według opisanej metodyki i wymieniane między systemami. To rzadkie w firmach tej wielkości i stanowi realny kapitał.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Kapitał ten nie pracuje. Analiza (4D, poziom 3 przy celu 6) to najgłębsza luka w całej ocenie, obok logistyki i governance AI. Organizacja opisuje przeszłość i nie prognozuje przyszłości — mimo że ma osiemnaście miesięcy danych produkcyjnych o jakości wystarczającej do modelu predykcyjnego.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Cztery ręczne scalenia w miesięcznym raporcie zarządczym to nie tylko koszt pracy kontrolera. To także punkt, w którym liczba przestaje mieć jednoznaczne źródło — a od tego zaczyna się nieufność do danych na poziomie zarządu.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Oś 4 jest warunkiem wstępnym osi 7. Bez hurtowni i katalogu danych żaden model AI nie wyjdzie poza pilotaż na kopii pliku.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Zbudować hurtownię danych obejmującą MES, ERP i WMS, z katalogiem i jednoznacznym właścicielem każdego zbioru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Zautomatyzować miesięczny raport zarządczy — zero ręcznych scaleń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Kontroling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Uruchomić pierwszy model prognostyczny na danych MES (predykcja awarii lub wydajności linii)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7 (kontrola optyczna) rekomendujemy wyłącznie dla obszaru zbierania danych i dopiero po domknięciu 4D. W obszarze przetwarzania (4E) cel 5 jest wystarczający: przetwarzanie brzegowe ma sens przy zastosowaniach czasu rzeczywistego, których TechProd dziś nie ma.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 opisu przeszłości do prognozy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3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18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Hurtownia danych z właścicielem biznesowym, nie tylko technicznym</w:t>
            </w:r>
          </w:p>
        </w:tc>
      </w:tr>
    </w:tbl>
    <w:p>
      <w:pPr>
        <w:sectPr>
          <w:headerReference w:type="default" r:id="rId14"/>
          <w:footerReference w:type="default" r:id="rId15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5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Kultura Transformacji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Zarząd realnie sponsoruje zmianę, ale organizacja nie ma czasu ani ludzi, żeby unieść ją poza pilotażami.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6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2,0 z 6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4,0 z 6   ·   33,3%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zdolność organizacji do przeprowadzenia zmiany: postawy przywódcze, gotowość na zmianę, ciągły rozwój kompetencji, kulturę innowacji i dostępność zasobów. Skala 1–6, od postawy pasywnej po przywództwo transformacyjne.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zarząd odwołał decyzję operacyjną, bo dane pokazały coś innego niż intuicja? Opiszcie ten przypadek.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godzin w miesiącu ma osoba odpowiedzialna za projekt cyfrowy na ten projekt, poza swoimi obowiązkami liniowymi?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pomysłów pracowniczych z ostatniego roku zostało wdrożonych i gdzie jest ich rejestr?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wycofał się z planu rozbudowy linii SMT-3 po analizie OEE, która pokazała rezerwę na istniejących liniach. Decyzja udokumentowana w protokole z marca 2026.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Żaden projekt cyfrowy nie ma dedykowanego etatu. Kierownicy prowadzą je obok pracy liniowej, średnio 4–6 godzin miesięcznie.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Rejestr pomysłów pracowniczych istnieje w formie skrzynki mailowej. W 2025 wpłynęło 31 zgłoszeń, wdrożono 4, informacja zwrotna trafiła do 9.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Szkolenia cyfrowe odbywają się przy wdrożeniach, nie w ramach planu rozwoju. Nie ma mapy kompetencji.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Protokół zarządu z 11.03.2026 — decyzja o rezygnacji z SMT-3 na podstawie analizy OEE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Sekretariat Zarządu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Skrzynka pomysłów pracowniczych, 31 zgłoszeń / 4 wdrożenia w 2025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HR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etatów dedykowanych projektom cyfrowym — struktura organizacyjna 08/2026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HR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 czas kierowników na projekty (4–6 h/mies.)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Wywiady — 5 kierowników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Postawy przywódcze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Gotowość na zmianę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Ciągły rozwój kompetencji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Kultura innowacji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Dostępność zasobów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Przywództwo jest mocną stroną i jest udokumentowane, nie deklarowane: zarząd odwołał własną decyzję inwestycyjną, bo dane pokazały co innego. To zachowanie poziomu 4–5 i najlepszy pojedynczy sygnał w całej ocenie.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Sponsorowanie zmiany nie przekłada się jednak na zdolność wykonawczą. Cztery do sześciu godzin miesięcznie na projekt cyfrowy oznacza, że każde przedsięwzięcie z map drogowych tego raportu będzie konkurować z bieżącą produkcją i przegra. To jest przyczyna, dla której poprzednie inicjatywy kończyły się na pilotażu.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Rejestr pomysłów, który odpowiada na 9 z 31 zgłoszeń, po dwóch latach przestanie dostawać zgłoszenia. Kultura innowacji (5D, poziom 3) nie wymaga tu nowego narzędzia, tylko zobowiązania do odpowiedzi.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Bez kartoteki kompetencji (obszar 1I z osi 1) rozwój kompetencji nie ma od czego zacząć. To zależność między osiami, nie osobne opóźnienie.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Wydzielić 0,5 etatu na koordynację portfela cyfrowego (rola, nie dodatek do obowiązków)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Operacyjny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Wprowadzić zobowiązanie do odpowiedzi na każde zgłoszenie pracownicze w 14 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Zbudować mapę kompetencji cyfrowych na bazie ewidencji z osi 1 i zaplanować rozwój na 12 miesięcy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6 (przywództwo transformacyjne) nie jest celem na najbliższe dwa lata. Poziom 5 przy pełnej dostępności zasobów da organizacji więcej niż formalne dojście do szczytu skali przy tych samych czterech godzinach miesięcznie.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 sponsorowania zmiany do zdolności jej wykonania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6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12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Realne godziny ludzi w strukturze — warunek powodzenia pozostałych osi</w:t>
            </w:r>
          </w:p>
        </w:tc>
      </w:tr>
    </w:tbl>
    <w:p>
      <w:pPr>
        <w:sectPr>
          <w:headerReference w:type="default" r:id="rId16"/>
          <w:footerReference w:type="default" r:id="rId17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6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Cyberbezpieczeństwo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85182F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ISO 27001 pokrywa IT biurowe. Sieć produkcyjna pozostaje poza zakresem certyfikacji i poza jakimkolwiek monitoringiem.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6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2,0 z 6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4,0 z 6   ·   33,3%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85182F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BF5F6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60" w:line="264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85182F"/>
                <w:spacing w:val="60"/>
                <w:sz w:val="16"/>
                <w:szCs w:val="16"/>
              </w:rPr>
              <w:t xml:space="preserve">RYZYKO</w:t>
            </w:r>
          </w:p>
          <w:p>
            <w:pPr>
              <w:keepLines/>
              <w:widowControl/>
              <w:spacing w:before="0" w:after="0" w:line="27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Certyfikat ISO 27001 obejmuje 100% infrastruktury biurowej i 0% sieci produkcyjnej (OT). Linie SMT pracują na poziomie 5 dojrzałości procesowej w sieci, która nie jest objęta monitoringiem ani planem reagowania.</w:t>
            </w:r>
          </w:p>
        </w:tc>
      </w:tr>
    </w:tbl>
    <w:p>
      <w:pPr>
        <w:spacing w:before="0" w:after="15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strategię i zarządzanie ryzykiem, ochronę sieci i systemów, ochronę danych, edukację i jakość systemów oraz plany awaryjne. Skala 1–6, od braku strategii po ciągły monitoring i ocenę skuteczności.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Jaki jest zakres certyfikacji ISO 27001 — pokażcie deklarację stosowania i granicę systemu.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przeprowadziliście test odtworzenia z kopii zapasowej i ile trwało odtworzenie?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Kto zostaje powiadomiony w pierwszej godzinie po wykryciu incydentu w sieci produkcyjnej i skąd to wiadomo?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Zakres certyfikacji obejmuje siedzibę i infrastrukturę biurową. Sieć produkcyjna została z zakresu wyłączona przy pierwszej certyfikacji w 2023 i nigdy nie została do niego włączona.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Ostatni test odtworzenia z kopii wykonano w listopadzie 2025 dla systemów biurowych; odtworzenie MES nigdy nie było testowane.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Plan reagowania na incydenty opisuje ścieżkę dla IT. Dla OT nie ma wskazanej osoby ani ścieżki powiadomienia.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Szkolenia z bezpieczeństwa objęły 92% pracowników biurowych i 11% pracowników produkcji.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Deklaracja stosowania ISO 27001 — granica systemu wyklucza sieć OT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Protokół testu odtworzenia z 18.11.2025 (wyłącznie systemy biurowe)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Plan reagowania na incydenty — brak ścieżki dla OT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Rejestr szkoleń: 92% biuro / 11% produkcja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HR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Strategia i zarządzanie ryzykiem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Ochrona sieci i systemów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Ochrona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Edukacja i jakość systemów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Plany awaryjne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Cyberbezpieczeństwo jest jedyną osią w tym badaniu, w której brak działania oznacza ryzyko, a nie utraconą korzyść. Pozostałe sześć osi opisuje wartość, której firma nie zbiera. Ta opisuje stratę, którą może ponieść.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Certyfikat ISO 27001 działa i jest utrzymywany rzetelnie — ale jego zakres został ustalony w 2023 dla organizacji, która nie miała jeszcze MES na liniach. Od tego czasu dojrzałość procesowa produkcji wzrosła do poziomu 5, a granica systemu bezpieczeństwa nie przesunęła się o metr.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Nieprzetestowane odtworzenie MES jest osobnym, mierzalnym zagrożeniem: organizacja nie zna czasu powrotu do produkcji po awarii systemu, od którego zależy raportowanie dwóch z trzech linii.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Jedenaście procent przeszkolonej produkcji przy 92% w biurze pokazuje, gdzie faktycznie przebiega granica uwagi — i pokrywa się dokładnie z granicą certyfikacji.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Rozszerzyć zakres SZBI na sieć OT: inwentaryzacja, segmentacja, monitoring, ścieżka reagowania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 / Dyrektor IT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Przeprowadzić i udokumentować test odtworzenia MES z kopii zapasowej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Objąć produkcję tym samym programem szkoleń co biuro (cel: 90% w 12 miesięcy)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6 (ciągły monitoring i ocena skuteczności) jest uzasadniony wyłącznie dla ochrony sieci i systemów po objęciu OT. W pozostałych obszarach poziom 4–5 odpowiada profilowi ryzyka firmy tej wielkości i nie wymaga budowy własnego centrum operacji bezpieczeństwa.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Przesunięcie granicy bezpieczeństwa na halę produkcyjną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1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6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Decyzja zarządu o rozszerzeniu zakresu certyfikacji przed kolejnym audytem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7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Dojrzałość AI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Dwa pilotaże AI działają na danych kopiowanych ręcznie. Nie ma ani właściciela, ani zasad, ani ścieżki na produkcję.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2,0 z 5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4,0 z 5   ·   40,0%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fundamenty danych pod AI, procesy wspierane przez AI, AI w produktach i usługach, governance wraz z bezpieczeństwem i etyką oraz kompetencje i kulturę AI. Skala 1–5, od danych rozproszonych po autonomiczną inteligencję danych.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Które rozwiązanie AI pracuje dziś na danych produkcyjnych bez udziału człowieka w kopiowaniu danych?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Kto zatwierdza użycie modelu językowego na danych firmy i na jakiej podstawie?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osób w firmie potrafi samodzielnie ocenić wynik modelu i odrzucić go, gdy jest błędny?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Dwa pilotaże: predykcja zużycia narzędzi na linii SMT-1 i klasyfikacja zdjęć z kontroli jakości. Oba pracują na plikach eksportowanych ręcznie raz w tygodniu.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ma polityki użycia AI. Pracownicy korzystają z ogólnodostępnych narzędzi bez zasad dotyczących danych firmowych.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Kompetencje analityczne skupione są w jednej osobie w dziale IT. Poza nią nie ma osoby zdolnej ocenić wynik modelu.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deklaruje AI jako priorytet 2027, bez przypisanego budżetu i właściciela.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Pilotaż predykcji zużycia narzędzi — notatnik analityczny, dane z eksportu 09.08.2026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IT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Pilotaż klasyfikacji zdjęć kontroli jakości — zbiór testowy 1 200 zdjęć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Jakości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polityki użycia AI — sprawdzone w rejestrze polityk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Deklaracja zarządu o priorytecie AI na 2027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Prezes Zarządu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Dane i Fundamenty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Wspierane przez AI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AI w Produktach i Usługach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Governance, Bezpieczeństwo i Etyka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Kompetencje i Kultura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To najniższa oś w badaniu — 40% skali — i jedyna, w której jeden obszar stoi na poziomie 1. Governance AI (7D) nie istnieje: nie ma polityki, właściciela ani zasad postępowania z danymi firmowymi w narzędziach zewnętrznych. Przy 468 pracownikach oznacza to niekontrolowane użycie, którego skali firma nie zna.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Dwa pilotaże są dobrą wiadomością i złą jednocześnie. Dobrą, bo pokazują, że w organizacji są ludzie zdolni zbudować działający model. Złą, bo po roku obydwa nadal pracują na plikach kopiowanych ręcznie — nie z powodu modelu, tylko z powodu braku hurtowni z osi 4.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Nie da się podnieść tej osi bez osi 4. Fundamenty danych (7A, poziom 2) są funkcją analizy danych (4D, poziom 3), a nie osobnym projektem. Kolejność jest wymuszona metodyką i potwierdzona stanem faktycznym.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Kompetencje AI (7E) oceniamy na 3 na podstawie deklaracji i obserwacji jednej osoby. To ocena ostrożna: koncentracja wiedzy w jednym człowieku jest ryzykiem ciągłości, nie kapitałem.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Przyjąć politykę użycia AI: dozwolone narzędzia, klasy danych, zasady weryfikacji wyniku, właściciel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 / Pełnomocnik SZBI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Wpiąć oba pilotaże do hurtowni danych z osi 4 — koniec z kopiowaniem plików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Rozszerzyć kompetencje analityczne poza jedną osobę (2 osoby przeszkolone, jedna rezerwowa)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 /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5 (autonomiczna inteligencja danych) nie jest celem tej firmy w horyzoncie tej mapy drogowej i nie powinien być komunikowany jako ambicja. Poziom 4 — dane gotowe pod AI i modele w produkcji z nadzorem człowieka — wyczerpuje realną wartość dostępną przy obecnej skali i strukturze danych.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 pilotaży na plikach do modeli na danych produkcyjnych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startu 7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24 miesiące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Hurtownia danych z osi 4 oddana przed startem prac modelowych; największa luka w badaniu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Synteza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Odpowiedzi i wnioski zbiorcze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Rozdział zestawia siedem osi w jednym obrazie, wskazuje najsilniejsze i najsłabsze obszary organizacji oraz formułuje wnioski, których nie widać w żadnej pojedynczej osi.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Macierz osi i poziomów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3566"/>
        <w:gridCol w:w="1060"/>
        <w:gridCol w:w="1060"/>
        <w:gridCol w:w="964"/>
        <w:gridCol w:w="1156"/>
        <w:gridCol w:w="1156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Nazwa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Skala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% skali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 (p.p.)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28,6%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+28,6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Cyfrowe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2,0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4,0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40,0%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+40,0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Cyfrowe Modele Biznesowe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40,0%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+40,0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Zarządzanie Danymi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2,0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4,0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28,6%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+28,6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Kultura Transformacji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33,3%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+33,3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Cyberbezpieczeństwo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2,0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4,0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33,3%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+33,3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Dojrzałość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40,0%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+40,0</w:t>
            </w:r>
          </w:p>
        </w:tc>
      </w:tr>
    </w:tbl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Wynik ogólny organizacji: 34,8% skali (średnia z równą wagą osi). Benchmark branżowy (produkcja, Polska): 46% skali. Wynik plasuje firmę powyżej średniej sektorowej, a rozrzut między osiami — od 28,6% do 40,0% — jest w tej ocenie ważniejszy niż sama średnia.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Najsilniejsze i najsłabsze osie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964"/>
        <w:gridCol w:w="3084"/>
        <w:gridCol w:w="1156"/>
        <w:gridCol w:w="4433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Pozycja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% skali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Co to znaczy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2 — Produkty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40,0%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Rdzeń wytwórczy pracuje na zintegrowanych systemach z potwierdzonym dowodem.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3 — Cyfrowe Modele Biznesowe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40,0%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Komponent ICT produktu jest mocny, brakuje kanału do klienta.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7 — Dojrzałość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40,0%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sponsoruje zmianę; brakuje zdolności wykonawczej.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6 — Cyberbezpieczeństwo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33,3%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Zakres certyfikacji nie nadąża za dojrzałością produkcji — jedyne realne ryzyko.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1 — Procesy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28,6%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jakiegokolwiek przychodu z modelu cyfrowego mimo istniejących danych.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4 — Zarządzanie Danymi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28,6%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Najniższa oś badania; jeden obszar na poziomie 1 z 5.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6"/>
          <w:szCs w:val="16"/>
        </w:rPr>
        <w:t xml:space="preserve">Pozycja 4 (Oś 4 — Zarządzanie Danymi, 57,1% skali) pominięta w zestawieniu skrajnych; jej pełne omówienie znajduje się w rozdziale osi i we wnioskach W2 oraz W3.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Wnioski przekrojowe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W1.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Firma jest dojrzała tam, gdzie pracuje maszyna, i niedojrzała tam, gdzie pracuje człowiek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Procesy produkcyjne stoją na poziomie 5 z 7, a procesy HR na 3 z 7. Zbieranie danych z maszyn — 5 z 7, ewidencja kompetencji ludzi — nie istnieje. Ta sama linia podziału wraca w cyberbezpieczeństwie (92% przeszkolonego biura wobec 11% produkcji) i w kulturze (zarząd sponsoruje, wykonawcy nie mają godzin). Wniosek dla zarządu: kolejna inwestycja w technologię przyniesie mniej niż inwestycja w to, kto i kiedy ma czas jej użyć.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W2.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Luka AI nie jest luką technologiczną, tylko luką danych i zarządzania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Oś 7 stoi na 40% skali, ale żaden z jej obszarów nie jest zablokowany brakiem technologii. Fundamenty danych AI (7A = 2 z 5) są bezpośrednią pochodną analizy danych (4D = 3 z 7), a governance (7D = 1 z 5) to kwestia jednej decyzji zarządu, nie budżetu. Domknięcie osi 4 podniesie oś 7 bez ani jednego dodatkowego modelu.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W3.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Trzy najgłębsze luki punktowe leżą poza produkcją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Największe różnice między stanem obecnym a uzgodnionym celem to logistyka (1E: 3 → 6), analiza wielkich zbiorów (4D: 3 → 6) i governance AI (7D: 1 → 4). Żadna nie dotyczy hali produkcyjnej, w którą firma inwestowała przez ostatnie trzy lata. To najważniejsza pojedyncza korekta kierunku wynikająca z tej oceny.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W4.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Jedna oś opisuje ryzyko, sześć opisuje utraconą korzyść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Cyberbezpieczeństwo jest jedyną osią, w której zaniechanie kosztuje, a nie tylko nie zarabia. Granica certyfikacji ISO 27001 przebiega dokładnie tam, gdzie kończy się biuro, podczas gdy dojrzałość procesowa produkcji wzrosła od czasu certyfikacji o dwa poziomy. Ta oś powinna wystartować pierwsza niezależnie od decyzji budżetowych dotyczących pozostałych.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W5.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Wyższy poziom nie jest automatycznie lepszy — w trzech osiach rekomendujemy sufit poniżej maksimum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Dla osi 2 (Produkty Cyfrowe) i 3 (Cyfrowe Modele Biznesowe) rekomendowany sufit to poziom 4 z 5: model platformowy wymaga skali i struktury odbiorców, których firma nie ma i nie zamierza budować. Dla osi 5 (Kultura) poziom 5 z 6 wyczerpuje realną wartość. Uzgodnione cele TO-BE w tabeli zbiorczej odzwierciedlają te sufity — nie są to poziomy maksymalne i nie powinny być tak komunikowane w organizacji.</w:t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Zamknięcie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Podsumowanie i mapa drogowa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Mapa drogowa układa czternaście przedsięwzięć w trzy fale. Kolejność nie jest listą priorytetów do dowolnego wyboru — wynika z zależności między osiami opisanych w rozdziałach szczegółowych. Uruchomienie fali 3 przed odbiorem hurtowni danych z fali 2 powtórzy dzisiejszy stan pilotaży pracujących na plikach.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Fala 1 — fundamenty i ryzyko   ·   0–6 miesięcy</w:t>
      </w:r>
    </w:p>
    <w:p>
      <w:pPr>
        <w:keepLines/>
        <w:widowControl/>
        <w:spacing w:before="0" w:after="11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Uruchamiane niezależnie od decyzji o pozostałych falach. Dwie pierwsze pozycje dotyczą ryzyka, dwie kolejne odblokowują wszystko, co przychodzi później.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2"/>
        <w:gridCol w:w="3758"/>
        <w:gridCol w:w="675"/>
        <w:gridCol w:w="1253"/>
        <w:gridCol w:w="964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#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Przedsięwzięcie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Wpływ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Nakład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Rozszerzenie zakresu SZBI na sieć produkcyjną (OT)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Test odtworzenia MES z kopii zapasowej + plan reagowania dla OT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Polityka użycia AI i wskazanie właściciela tematu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Wpięcie montażu końcowego do MES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Produkcji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Wydzielenie 0,5 etatu na koordynację portfela cyfrowego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Operacyjny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Fala 2 — dane i obieg informacji   ·   6–18 miesięcy</w:t>
      </w:r>
    </w:p>
    <w:p>
      <w:pPr>
        <w:keepLines/>
        <w:widowControl/>
        <w:spacing w:before="0" w:after="11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Warunkiem startu jest pozycja 5 z fali 1 — bez koordynatora te przedsięwzięcia przegrają z bieżącą produkcją, tak jak przegrały poprzednie.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2"/>
        <w:gridCol w:w="3758"/>
        <w:gridCol w:w="675"/>
        <w:gridCol w:w="1253"/>
        <w:gridCol w:w="964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#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Przedsięwzięcie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Wpływ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Nakład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WMS na magazynie komponentów (kody kreskowe, inwentaryzacja ciągła)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Logistyki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Hurtownia danych MES + ERP + WMS z katalogiem i właścicielami zbiorów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Automatyzacja miesięcznego raportu zarządczego (zero ręcznych scaleń)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Kontroling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Własny odbiór telemetrii TP-40 i portal klienta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R&amp;D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Ewidencja kompetencji i mapa rozwoju na 12 miesięcy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Fala 3 — wartość z danych   ·   18–30 miesięcy</w:t>
      </w:r>
    </w:p>
    <w:p>
      <w:pPr>
        <w:keepLines/>
        <w:widowControl/>
        <w:spacing w:before="0" w:after="11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Start dopiero po odbiorze hurtowni danych (pozycja 7). Uruchomienie wcześniej powtórzy dzisiejszy stan pilotaży na plikach.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2"/>
        <w:gridCol w:w="3758"/>
        <w:gridCol w:w="675"/>
        <w:gridCol w:w="1253"/>
        <w:gridCol w:w="964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#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Przedsięwzięcie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Wpływ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Nakład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 prognostyczny na danych MES (predykcja awarii / wydajności)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Wpięcie obu pilotaży AI do hurtowni i przeniesienie na produkcję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Studium wykonalności Equipment-as-a-Service dla odbiorcy pilotażowego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Rozszerzenie sklepu części zamiennych o zamówienia kontraktowe B2B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Kolejny krok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Cztery decyzje w najbliższych dwunastu tygodniach przesądzają, czy ta ocena zmieni cokolwiek w organizacji. Wszystkie leżą po stronie zarządu i żadna nie wymaga wcześniejszego nakładu inwestycyjnego.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2313"/>
        <w:gridCol w:w="7324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Termin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Decyzja lub działanie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17 września 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wskazuje właścicieli pozycji 1–3 z fali 1 oraz zatwierdza rozszerzenie zakresu SZBI o sieć OT.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30 września 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Warsztat zakresu SZBI dla OT z pełnomocnikiem i Dyrektorem IT — inwentaryzacja urządzeń i granica systemu.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15 października 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Decyzja budżetowa dla fali 1 (szacunek nakładu: 2,6 mln PLN) i harmonogram fali 2.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30 listopada 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Przegląd kontrolny z zespołem doradczym — weryfikacja pozycji 1–5 i korekta celów TO-BE, jeśli zmienił się kontekst.</w:t>
            </w:r>
          </w:p>
        </w:tc>
      </w:tr>
    </w:tbl>
    <w:p>
      <w:pPr>
        <w:spacing w:before="0" w:after="1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Granice wnioskowania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Raport opiera się na 18 wywiadach, jednej wizycie w zakładzie Wrocław, przeglądzie systemów i dokumentacji oraz warsztacie walidacyjnym z 27.08.2026. Zakłady w Mielcu i Ostrawie nie były przedmiotem wizyty — ich stan przyjęto na podstawie deklaracji kadry zarządzającej i jest to najważniejsze ograniczenie tej oceny.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Każda ocena obszaru ma w tabelach przypisany stan dowodu: „Potwierdzony" (okazany artefakt lub dane systemowe), „Deklarowany" (wyłącznie wypowiedź, bez artefaktu), „Niepełny" (materiał częściowy), „Brak dowodu". Osiem z 39 obszarów opiera się na deklaracji — ich ocena może się zmienić po okazaniu dowodu.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Raport nie jest audytem bezpieczeństwa informacji ani testem penetracyjnym. Ustalenia z osi 6 opisują dojrzałość zarządzania, nie stan techniczny zabezpieczeń.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Raport nie zawiera wyceny inwestycji. Kwota podana w kroku „do 15 października" jest szacunkiem rzędu wielkości opartym na zakresie fali 1, nie ofertą ani budżetem.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Poziomy TO-BE zostały uzgodnione z zarządem na warsztacie 27.08.2026 i w trzech osiach są świadomie niższe od maksimum skali (patrz wniosek W5).</w:t>
      </w:r>
    </w:p>
    <w:sectPr>
      <w:headerReference w:type="default" r:id="rId24"/>
      <w:footerReference w:type="default" r:id="rId25"/>
      <w:pgSz w:w="11906" w:h="16838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DEMO UKŁADU — treść prototypowa, liczby z sesji 3c016470-a5f9-449d-9e99-822eaede71de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DEMO UKŁADU — treść prototypowa, liczby z sesji 3c016470-a5f9-449d-9e99-822eaede71de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DEMO UKŁADU — treść prototypowa, liczby z sesji 3c016470-a5f9-449d-9e99-822eaede71de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DEMO UKŁADU — treść prototypowa, liczby z sesji 3c016470-a5f9-449d-9e99-822eaede71de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DEMO UKŁADU — treść prototypowa, liczby z sesji 3c016470-a5f9-449d-9e99-822eaede71de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DEMO UKŁADU — treść prototypowa, liczby z sesji 3c016470-a5f9-449d-9e99-822eaede71de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DEMO UKŁADU — treść prototypowa, liczby z sesji 3c016470-a5f9-449d-9e99-822eaede71de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DEMO UKŁADU — treść prototypowa, liczby z sesji 3c016470-a5f9-449d-9e99-822eaede71de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DEMO UKŁADU — treść prototypowa, liczby z sesji 3c016470-a5f9-449d-9e99-822eaede71de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DEMO UKŁADU — treść prototypowa, liczby z sesji 3c016470-a5f9-449d-9e99-822eaede71de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UKŁADU — treść prototypowa, liczby z sesji 3c016470-a5f9-449d-9e99-822eaede71de — TechProd Manufacturing Sp. z o.o.</dc:title>
  <dc:creator>Consultify</dc:creator>
  <dc:description>Prototyp B1 — struktura raportu końcowego Oceny (DRD)</dc:description>
  <cp:lastModifiedBy>Un-named</cp:lastModifiedBy>
  <cp:revision>1</cp:revision>
  <dcterms:created xsi:type="dcterms:W3CDTF">2026-09-04T13:37:27.703Z</dcterms:created>
  <dcterms:modified xsi:type="dcterms:W3CDTF">2026-09-04T13:37:27.706Z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