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rPr>
          <w:color w:val="85182F"/>
        </w:rPr>
        <w:t xml:space="preserve">● </w:t>
      </w:r>
      <w:r>
        <w:rPr>
          <w:color w:val="85182F"/>
        </w:rPr>
        <w:t xml:space="preserve">C O N S U L T I F Y</w:t>
      </w:r>
    </w:p>
    <w:p>
      <w:pPr>
        <w:pStyle w:val="Kicker"/>
      </w:pPr>
      <w:r>
        <w:rPr>
          <w:color w:val="1D9E75"/>
        </w:rPr>
        <w:t xml:space="preserve">DIGITAL MATURITY ASSESSMENT · DIGITAL PATHFINDER</w:t>
      </w:r>
    </w:p>
    <w:p>
      <w:pPr>
        <w:pStyle w:val="DocStudioTitle"/>
      </w:pPr>
      <w:r>
        <w:t xml:space="preserve">DBR77</w:t>
      </w:r>
    </w:p>
    <w:p>
      <w:pPr>
        <w:pStyle w:val="Subtitle"/>
      </w:pPr>
      <w:r>
        <w:t xml:space="preserve">DRD Assessment - Jul 12,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Pr>
          <w:p>
            <w:pPr>
              <w:pStyle w:val="Sygnatura"/>
            </w:pPr>
            <w:r>
              <w:rPr>
                <w:b/>
                <w:bCs/>
              </w:rPr>
              <w:t xml:space="preserve">Client</w:t>
            </w:r>
          </w:p>
        </w:tc>
        <w:tc>
          <w:tcPr>
            <w:tcW w:type="pct" w:w="68%"/>
          </w:tcPr>
          <w:p>
            <w:pPr>
              <w:pStyle w:val="Tresc"/>
            </w:pPr>
            <w:r>
              <w:rPr>
                <w:i w:val="false"/>
                <w:iCs w:val="false"/>
              </w:rPr>
              <w:t xml:space="preserve">DBR77</w:t>
            </w:r>
          </w:p>
        </w:tc>
      </w:tr>
      <w:tr>
        <w:tc>
          <w:tcPr>
            <w:tcW w:type="pct" w:w="32%"/>
          </w:tcPr>
          <w:p>
            <w:pPr>
              <w:pStyle w:val="Sygnatura"/>
            </w:pPr>
            <w:r>
              <w:rPr>
                <w:b/>
                <w:bCs/>
              </w:rPr>
              <w:t xml:space="preserve">Business profile</w:t>
            </w:r>
          </w:p>
        </w:tc>
        <w:tc>
          <w:tcPr>
            <w:tcW w:type="pct" w:w="68%"/>
          </w:tcPr>
          <w:p>
            <w:pPr>
              <w:pStyle w:val="Podpis"/>
            </w:pPr>
            <w:r>
              <w:rPr>
                <w:i/>
                <w:iCs/>
              </w:rPr>
              <w:t xml:space="preserve">To be completed — not recorded in the assessment session.</w:t>
            </w:r>
          </w:p>
        </w:tc>
      </w:tr>
      <w:tr>
        <w:tc>
          <w:tcPr>
            <w:tcW w:type="pct" w:w="32%"/>
          </w:tcPr>
          <w:p>
            <w:pPr>
              <w:pStyle w:val="Sygnatura"/>
            </w:pPr>
            <w:r>
              <w:rPr>
                <w:b/>
                <w:bCs/>
              </w:rPr>
              <w:t xml:space="preserve">Employment</w:t>
            </w:r>
          </w:p>
        </w:tc>
        <w:tc>
          <w:tcPr>
            <w:tcW w:type="pct" w:w="68%"/>
          </w:tcPr>
          <w:p>
            <w:pPr>
              <w:pStyle w:val="Podpis"/>
            </w:pPr>
            <w:r>
              <w:rPr>
                <w:i/>
                <w:iCs/>
              </w:rPr>
              <w:t xml:space="preserve">To be completed — not recorded in the assessment session.</w:t>
            </w:r>
          </w:p>
        </w:tc>
      </w:tr>
      <w:tr>
        <w:tc>
          <w:tcPr>
            <w:tcW w:type="pct" w:w="32%"/>
          </w:tcPr>
          <w:p>
            <w:pPr>
              <w:pStyle w:val="Sygnatura"/>
            </w:pPr>
            <w:r>
              <w:rPr>
                <w:b/>
                <w:bCs/>
              </w:rPr>
              <w:t xml:space="preserve">Assessment period</w:t>
            </w:r>
          </w:p>
        </w:tc>
        <w:tc>
          <w:tcPr>
            <w:tcW w:type="pct" w:w="68%"/>
          </w:tcPr>
          <w:p>
            <w:pPr>
              <w:pStyle w:val="Tresc"/>
            </w:pPr>
            <w:r>
              <w:rPr>
                <w:i w:val="false"/>
                <w:iCs w:val="false"/>
              </w:rPr>
              <w:t xml:space="preserve">12 July 2026</w:t>
            </w:r>
          </w:p>
        </w:tc>
      </w:tr>
      <w:tr>
        <w:tc>
          <w:tcPr>
            <w:tcW w:type="pct" w:w="32%"/>
          </w:tcPr>
          <w:p>
            <w:pPr>
              <w:pStyle w:val="Sygnatura"/>
            </w:pPr>
            <w:r>
              <w:rPr>
                <w:b/>
                <w:bCs/>
              </w:rPr>
              <w:t xml:space="preserve">Assessor</w:t>
            </w:r>
          </w:p>
        </w:tc>
        <w:tc>
          <w:tcPr>
            <w:tcW w:type="pct" w:w="68%"/>
          </w:tcPr>
          <w:p>
            <w:pPr>
              <w:pStyle w:val="Tresc"/>
            </w:pPr>
            <w:r>
              <w:rPr>
                <w:i w:val="false"/>
                <w:iCs w:val="false"/>
              </w:rPr>
              <w:t xml:space="preserve">Piotr Wiśniewski</w:t>
            </w:r>
          </w:p>
        </w:tc>
      </w:tr>
      <w:tr>
        <w:tc>
          <w:tcPr>
            <w:tcW w:type="pct" w:w="32%"/>
          </w:tcPr>
          <w:p>
            <w:pPr>
              <w:pStyle w:val="Sygnatura"/>
            </w:pPr>
            <w:r>
              <w:rPr>
                <w:b/>
                <w:bCs/>
              </w:rPr>
              <w:t xml:space="preserve">Client-side sponsor</w:t>
            </w:r>
          </w:p>
        </w:tc>
        <w:tc>
          <w:tcPr>
            <w:tcW w:type="pct" w:w="68%"/>
          </w:tcPr>
          <w:p>
            <w:pPr>
              <w:pStyle w:val="Podpis"/>
            </w:pPr>
            <w:r>
              <w:rPr>
                <w:i/>
                <w:iCs/>
              </w:rPr>
              <w:t xml:space="preserve">To be completed — not recorded in the assessment session.</w:t>
            </w:r>
          </w:p>
        </w:tc>
      </w:tr>
      <w:tr>
        <w:tc>
          <w:tcPr>
            <w:tcW w:type="pct" w:w="32%"/>
          </w:tcPr>
          <w:p>
            <w:pPr>
              <w:pStyle w:val="Sygnatura"/>
            </w:pPr>
            <w:r>
              <w:rPr>
                <w:b/>
                <w:bCs/>
              </w:rPr>
              <w:t xml:space="preserve">Methodology</w:t>
            </w:r>
          </w:p>
        </w:tc>
        <w:tc>
          <w:tcPr>
            <w:tcW w:type="pct" w:w="68%"/>
          </w:tcPr>
          <w:p>
            <w:pPr>
              <w:pStyle w:val="Tresc"/>
            </w:pPr>
            <w:r>
              <w:rPr>
                <w:i w:val="false"/>
                <w:iCs w:val="false"/>
              </w:rPr>
              <w:t xml:space="preserve">Digital Pathfinder — DRD digital maturity assessment methodology</w:t>
            </w:r>
          </w:p>
        </w:tc>
      </w:tr>
      <w:tr>
        <w:tc>
          <w:tcPr>
            <w:tcW w:type="pct" w:w="32%"/>
          </w:tcPr>
          <w:p>
            <w:pPr>
              <w:pStyle w:val="Sygnatura"/>
            </w:pPr>
            <w:r>
              <w:rPr>
                <w:b/>
                <w:bCs/>
              </w:rPr>
              <w:t xml:space="preserve">Session signature</w:t>
            </w:r>
          </w:p>
        </w:tc>
        <w:tc>
          <w:tcPr>
            <w:tcW w:type="pct" w:w="68%"/>
          </w:tcPr>
          <w:p>
            <w:pPr>
              <w:pStyle w:val="Tresc"/>
            </w:pPr>
            <w:r>
              <w:rPr>
                <w:i w:val="false"/>
                <w:iCs w:val="false"/>
              </w:rPr>
              <w:t xml:space="preserve">DRD-2026-0913-DBR-3A3A</w:t>
            </w:r>
          </w:p>
        </w:tc>
      </w:tr>
      <w:tr>
        <w:tc>
          <w:tcPr>
            <w:tcW w:type="pct" w:w="32%"/>
          </w:tcPr>
          <w:p>
            <w:pPr>
              <w:pStyle w:val="Sygnatura"/>
            </w:pPr>
            <w:r>
              <w:rPr>
                <w:b/>
                <w:bCs/>
              </w:rPr>
              <w:t xml:space="preserve">Issued</w:t>
            </w:r>
          </w:p>
        </w:tc>
        <w:tc>
          <w:tcPr>
            <w:tcW w:type="pct" w:w="68%"/>
          </w:tcPr>
          <w:p>
            <w:pPr>
              <w:pStyle w:val="Tresc"/>
            </w:pPr>
            <w:r>
              <w:rPr>
                <w:i w:val="false"/>
                <w:iCs w:val="false"/>
              </w:rPr>
              <w:t xml:space="preserve">13 September 2026 · Assessment updated: 5 September 2026</w:t>
            </w:r>
          </w:p>
        </w:tc>
      </w:tr>
    </w:tbl>
    <w:p>
      <w:r>
        <w:br w:type="page"/>
      </w:r>
    </w:p>
    <w:p>
      <w:pPr>
        <w:pStyle w:val="Kicker"/>
        <w:pageBreakBefore/>
      </w:pPr>
      <w:r>
        <w:t xml:space="preserve">NAVIGATION</w:t>
      </w:r>
    </w:p>
    <w:sdt>
      <w:sdtPr>
        <w:alias w:val="Table of Contents"/>
      </w:sdtPr>
      <w:sdtContent>
        <w:p>
          <w:r>
            <w:fldChar w:fldCharType="begin" w:dirty="true"/>
            <w:instrText xml:space="preserve">TOC \h \o "1-2"</w:instrText>
            <w:fldChar w:fldCharType="separate"/>
          </w:r>
        </w:p>
        <w:p>
          <w:r>
            <w:fldChar w:fldCharType="end"/>
          </w:r>
        </w:p>
      </w:sdtContent>
    </w:sdt>
    <w:p>
      <w:pPr>
        <w:pStyle w:val="Kicker"/>
        <w:keepNext/>
      </w:pPr>
      <w:r>
        <w:t xml:space="preserve">SUMMARY</w:t>
      </w:r>
    </w:p>
    <w:p>
      <w:pPr>
        <w:pStyle w:val="Heading1"/>
        <w:pStyle w:val="Heading1"/>
        <w:keepNext/>
      </w:pPr>
      <w:r>
        <w:t xml:space="preserve">Executive Summary</w:t>
      </w:r>
    </w:p>
    <w:p>
      <w:pPr>
        <w:pStyle w:val="Tresc"/>
      </w:pPr>
      <w:r>
        <w:t xml:space="preserve">Ocena obejmuje 7 osi i 39 obszarów. Finding istnieje dla 5 obszarów. Stan udokumentowany dotyczy 0 obszarów, stan niepełny 0, a stan zadeklarowany 5. Żaden obszar nie ma policzalnej luki, a liczba luk krytycznych wynosi 0. Trzy pierwsze obszary po uporządkowaniu malejąco według luki to 1A Procesy Sprzedaży z luką nieustaloną, 3A Modele E-commerce z luką nieustaloną, 4A Zbieranie Danych z luką nieustaloną. Ich poziomy obecne to 1A: 7, 3A: 2, 4A: 3, a docelowe 1A: nieustalony, 3A: nieustalony, 4A: nieustalony. Zestawienie opiera się na zapisanej ocenie, poziomach, lukach i stanach dowodowych. Jest to obraz policzalny, ograniczony do danych obecnych w zaakceptowanym kontrakcie raportu. Nie korzysta z benchmarku branżowego i nie dodaje oceny jakościowej poza zamrożonymi etykietami priorytetu oraz wiarygodności.</w:t>
      </w:r>
    </w:p>
    <w:p>
      <w:pPr>
        <w:pStyle w:val="Caption"/>
        <w:jc w:val="center"/>
      </w:pPr>
      <w:r>
        <w:drawing>
          <wp:inline distT="0" distB="0" distL="0" distR="0">
            <wp:extent cx="5772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72150" cy="3333750"/>
                    </a:xfrm>
                    <a:prstGeom prst="rect">
                      <a:avLst/>
                    </a:prstGeom>
                  </pic:spPr>
                </pic:pic>
              </a:graphicData>
            </a:graphic>
          </wp:inline>
        </w:drawing>
      </w:r>
    </w:p>
    <w:p>
      <w:pPr>
        <w:pStyle w:val="Caption"/>
      </w:pPr>
      <w:r>
        <w:t xml:space="preserve">Rysunek 1. Digital maturity profile across the seven DRD 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Current</w:t>
            </w:r>
          </w:p>
        </w:tc>
        <w:tc>
          <w:tcPr>
            <w:shd w:fill="E2E9EF"/>
          </w:tcPr>
          <w:p>
            <w:pPr>
              <w:pStyle w:val="BodyText"/>
            </w:pPr>
            <w:r>
              <w:rPr>
                <w:b/>
                <w:bCs/>
                <w:color w:val="083152"/>
                <w:sz w:val="20"/>
                <w:szCs w:val="20"/>
              </w:rPr>
              <w:t xml:space="preserve">Target</w:t>
            </w:r>
          </w:p>
        </w:tc>
        <w:tc>
          <w:tcPr>
            <w:shd w:fill="E2E9EF"/>
          </w:tcPr>
          <w:p>
            <w:pPr>
              <w:pStyle w:val="BodyText"/>
            </w:pPr>
            <w:r>
              <w:rPr>
                <w:b/>
                <w:bCs/>
                <w:color w:val="083152"/>
                <w:sz w:val="20"/>
                <w:szCs w:val="20"/>
              </w:rPr>
              <w:t xml:space="preserve">Critical gaps</w:t>
            </w:r>
          </w:p>
        </w:tc>
      </w:tr>
      <w:tr>
        <w:tc>
          <w:p>
            <w:pPr>
              <w:pStyle w:val="BodyText"/>
            </w:pPr>
            <w:r>
              <w:rPr>
                <w:sz w:val="20"/>
                <w:szCs w:val="20"/>
              </w:rPr>
              <w:t xml:space="preserve">Digital Processes</w:t>
            </w:r>
          </w:p>
        </w:tc>
        <w:tc>
          <w:p>
            <w:pPr>
              <w:pStyle w:val="BodyText"/>
            </w:pPr>
            <w:r>
              <w:rPr>
                <w:sz w:val="20"/>
                <w:szCs w:val="20"/>
              </w:rPr>
              <w:t xml:space="preserve">100%</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Products</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Digital Business Models</w:t>
            </w:r>
          </w:p>
        </w:tc>
        <w:tc>
          <w:p>
            <w:pPr>
              <w:pStyle w:val="BodyText"/>
            </w:pPr>
            <w:r>
              <w:rPr>
                <w:sz w:val="20"/>
                <w:szCs w:val="20"/>
              </w:rPr>
              <w:t xml:space="preserve">40%</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Data Management</w:t>
            </w:r>
          </w:p>
        </w:tc>
        <w:tc>
          <w:p>
            <w:pPr>
              <w:pStyle w:val="BodyText"/>
            </w:pPr>
            <w:r>
              <w:rPr>
                <w:sz w:val="20"/>
                <w:szCs w:val="20"/>
              </w:rPr>
              <w:t xml:space="preserve">43%</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Culture of Transformation</w:t>
            </w:r>
          </w:p>
        </w:tc>
        <w:tc>
          <w:p>
            <w:pPr>
              <w:pStyle w:val="BodyText"/>
            </w:pPr>
            <w:r>
              <w:rPr>
                <w:sz w:val="20"/>
                <w:szCs w:val="20"/>
              </w:rPr>
              <w:t xml:space="preserve">42%</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Cybersecurity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r>
        <w:tc>
          <w:p>
            <w:pPr>
              <w:pStyle w:val="BodyText"/>
            </w:pPr>
            <w:r>
              <w:rPr>
                <w:sz w:val="20"/>
                <w:szCs w:val="20"/>
              </w:rPr>
              <w:t xml:space="preserve">AI Maturity</w:t>
            </w:r>
          </w:p>
        </w:tc>
        <w:tc>
          <w:p>
            <w:pPr>
              <w:pStyle w:val="BodyText"/>
            </w:pPr>
            <w:r>
              <w:rPr>
                <w:sz w:val="20"/>
                <w:szCs w:val="20"/>
              </w:rPr>
              <w:t xml:space="preserve">—</w:t>
            </w:r>
          </w:p>
        </w:tc>
        <w:tc>
          <w:p>
            <w:pPr>
              <w:pStyle w:val="BodyText"/>
            </w:pPr>
            <w:r>
              <w:rPr>
                <w:sz w:val="20"/>
                <w:szCs w:val="20"/>
              </w:rPr>
              <w:t xml:space="preserve">—</w:t>
            </w:r>
          </w:p>
        </w:tc>
        <w:tc>
          <w:p>
            <w:pPr>
              <w:pStyle w:val="BodyText"/>
            </w:pPr>
            <w:r>
              <w:rPr>
                <w:sz w:val="20"/>
                <w:szCs w:val="20"/>
              </w:rPr>
              <w:t xml:space="preserve">0</w:t>
            </w:r>
          </w:p>
        </w:tc>
      </w:tr>
    </w:tbl>
    <w:p>
      <w:pPr>
        <w:pStyle w:val="Caption"/>
      </w:pPr>
      <w:r>
        <w:t xml:space="preserve">Tabela 1. Summary of the seven DRD axes.</w:t>
      </w:r>
    </w:p>
    <w:p>
      <w:pPr>
        <w:pStyle w:val="Heading2"/>
        <w:pStyle w:val="Heading2"/>
      </w:pPr>
      <w:r>
        <w:t xml:space="preserve">Critical Gaps and Main Recommendation</w:t>
      </w:r>
    </w:p>
    <w:p>
      <w:pPr>
        <w:pStyle w:val="Podpis"/>
      </w:pPr>
      <w:r>
        <w:t xml:space="preserve">No content in this section — the assessment does not contain the data needed to write it.</w:t>
      </w:r>
    </w:p>
    <w:p>
      <w:pPr>
        <w:pStyle w:val="Kicker"/>
        <w:keepNext/>
        <w:pageBreakBefore/>
      </w:pPr>
      <w:r>
        <w:t xml:space="preserve">Chapter 1 of 7 · axis 1 of the DRD structure</w:t>
      </w:r>
    </w:p>
    <w:p>
      <w:pPr>
        <w:pStyle w:val="Heading1"/>
        <w:pStyle w:val="Heading1"/>
        <w:keepNext/>
      </w:pPr>
      <w:r>
        <w:t xml:space="preserve">1. Digital Processes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Sales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Marketing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Process Technology and R&amp;D</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Purchasing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Logistics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Production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Quality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Financial Management</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HR Processes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2. Tabela obejmuje 9 obszarów osi 1. Kolumny poziomów pokazują skalę od 1 do 7;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1A Sales Processes</w:t>
      </w:r>
    </w:p>
    <w:p>
      <w:pPr>
        <w:pStyle w:val="Sygnatura"/>
      </w:pPr>
      <w:r>
        <w:t xml:space="preserve">Current level: 7 (AI Support) · Target level: — (—) · Gap: — · Priority: — · Evidence: declared</w:t>
      </w:r>
    </w:p>
    <w:p>
      <w:pPr>
        <w:pStyle w:val="Tresc"/>
      </w:pPr>
      <w:r>
        <w:t xml:space="preserve">Stan faktyczny: poziom obecny 7 — Wsparcie AI; liczba dowodów: 0. Ocena i wiarygodność: pewność średnia, stan dowodów zadeklarowane. Luka: nieustalona; priorytet: —; poziom docelowy nieustalony. Brak treści wymaganej do pełnego komentarza: znaczenie dla przedsiębiorstwa oraz najbliższy krok.</w:t>
      </w:r>
    </w:p>
    <w:p>
      <w:pPr>
        <w:pStyle w:val="Heading3"/>
        <w:pStyle w:val="Heading3"/>
      </w:pPr>
      <w:r>
        <w:t xml:space="preserve">1B Marketing Processes</w:t>
      </w:r>
    </w:p>
    <w:p>
      <w:pPr>
        <w:pStyle w:val="Sygnatura"/>
      </w:pPr>
      <w:r>
        <w:t xml:space="preserve">Current level: — (—) · Target level: — (—) · Gap: — · Priority: — · Evidence: not assessed</w:t>
      </w:r>
    </w:p>
    <w:p>
      <w:pPr>
        <w:pStyle w:val="Podpis"/>
      </w:pPr>
      <w:r>
        <w:t xml:space="preserve">Area 1B was not assessed — no source data.</w:t>
      </w:r>
    </w:p>
    <w:p>
      <w:pPr>
        <w:pStyle w:val="Heading3"/>
        <w:pStyle w:val="Heading3"/>
      </w:pPr>
      <w:r>
        <w:t xml:space="preserve">1C Process Technology and R&amp;D</w:t>
      </w:r>
    </w:p>
    <w:p>
      <w:pPr>
        <w:pStyle w:val="Sygnatura"/>
      </w:pPr>
      <w:r>
        <w:t xml:space="preserve">Current level: — (—) · Target level: — (—) · Gap: — · Priority: — · Evidence: not assessed</w:t>
      </w:r>
    </w:p>
    <w:p>
      <w:pPr>
        <w:pStyle w:val="Podpis"/>
      </w:pPr>
      <w:r>
        <w:t xml:space="preserve">Area 1C was not assessed — no source data.</w:t>
      </w:r>
    </w:p>
    <w:p>
      <w:pPr>
        <w:pStyle w:val="Heading3"/>
        <w:pStyle w:val="Heading3"/>
      </w:pPr>
      <w:r>
        <w:t xml:space="preserve">1D Purchasing Processes</w:t>
      </w:r>
    </w:p>
    <w:p>
      <w:pPr>
        <w:pStyle w:val="Sygnatura"/>
      </w:pPr>
      <w:r>
        <w:t xml:space="preserve">Current level: — (—) · Target level: — (—) · Gap: — · Priority: — · Evidence: not assessed</w:t>
      </w:r>
    </w:p>
    <w:p>
      <w:pPr>
        <w:pStyle w:val="Podpis"/>
      </w:pPr>
      <w:r>
        <w:t xml:space="preserve">Area 1D was not assessed — no source data.</w:t>
      </w:r>
    </w:p>
    <w:p>
      <w:pPr>
        <w:pStyle w:val="Heading3"/>
        <w:pStyle w:val="Heading3"/>
      </w:pPr>
      <w:r>
        <w:t xml:space="preserve">1E Logistics Processes</w:t>
      </w:r>
    </w:p>
    <w:p>
      <w:pPr>
        <w:pStyle w:val="Sygnatura"/>
      </w:pPr>
      <w:r>
        <w:t xml:space="preserve">Current level: — (—) · Target level: — (—) · Gap: — · Priority: — · Evidence: not assessed</w:t>
      </w:r>
    </w:p>
    <w:p>
      <w:pPr>
        <w:pStyle w:val="Podpis"/>
      </w:pPr>
      <w:r>
        <w:t xml:space="preserve">Area 1E was not assessed — no source data.</w:t>
      </w:r>
    </w:p>
    <w:p>
      <w:pPr>
        <w:pStyle w:val="Heading3"/>
        <w:pStyle w:val="Heading3"/>
      </w:pPr>
      <w:r>
        <w:t xml:space="preserve">1F Production Processes</w:t>
      </w:r>
    </w:p>
    <w:p>
      <w:pPr>
        <w:pStyle w:val="Sygnatura"/>
      </w:pPr>
      <w:r>
        <w:t xml:space="preserve">Current level: — (—) · Target level: — (—) · Gap: — · Priority: — · Evidence: not assessed</w:t>
      </w:r>
    </w:p>
    <w:p>
      <w:pPr>
        <w:pStyle w:val="Podpis"/>
      </w:pPr>
      <w:r>
        <w:t xml:space="preserve">Area 1F was not assessed — no source data.</w:t>
      </w:r>
    </w:p>
    <w:p>
      <w:pPr>
        <w:pStyle w:val="Heading3"/>
        <w:pStyle w:val="Heading3"/>
      </w:pPr>
      <w:r>
        <w:t xml:space="preserve">1G Quality Processes</w:t>
      </w:r>
    </w:p>
    <w:p>
      <w:pPr>
        <w:pStyle w:val="Sygnatura"/>
      </w:pPr>
      <w:r>
        <w:t xml:space="preserve">Current level: — (—) · Target level: — (—) · Gap: — · Priority: — · Evidence: not assessed</w:t>
      </w:r>
    </w:p>
    <w:p>
      <w:pPr>
        <w:pStyle w:val="Podpis"/>
      </w:pPr>
      <w:r>
        <w:t xml:space="preserve">Area 1G was not assessed — no source data.</w:t>
      </w:r>
    </w:p>
    <w:p>
      <w:pPr>
        <w:pStyle w:val="Heading3"/>
        <w:pStyle w:val="Heading3"/>
      </w:pPr>
      <w:r>
        <w:t xml:space="preserve">1H Financial Management</w:t>
      </w:r>
    </w:p>
    <w:p>
      <w:pPr>
        <w:pStyle w:val="Sygnatura"/>
      </w:pPr>
      <w:r>
        <w:t xml:space="preserve">Current level: — (—) · Target level: — (—) · Gap: — · Priority: — · Evidence: not assessed</w:t>
      </w:r>
    </w:p>
    <w:p>
      <w:pPr>
        <w:pStyle w:val="Podpis"/>
      </w:pPr>
      <w:r>
        <w:t xml:space="preserve">Area 1H was not assessed — no source data.</w:t>
      </w:r>
    </w:p>
    <w:p>
      <w:pPr>
        <w:pStyle w:val="Heading3"/>
        <w:pStyle w:val="Heading3"/>
      </w:pPr>
      <w:r>
        <w:t xml:space="preserve">1I HR Processes</w:t>
      </w:r>
    </w:p>
    <w:p>
      <w:pPr>
        <w:pStyle w:val="Sygnatura"/>
      </w:pPr>
      <w:r>
        <w:t xml:space="preserve">Current level: — (—) · Target level: — (—) · Gap: — · Priority: — · Evidence: not assessed</w:t>
      </w:r>
    </w:p>
    <w:p>
      <w:pPr>
        <w:pStyle w:val="Podpis"/>
      </w:pPr>
      <w:r>
        <w:t xml:space="preserve">Area 1I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2 of 7 · axis 2 of the DRD structure</w:t>
      </w:r>
    </w:p>
    <w:p>
      <w:pPr>
        <w:pStyle w:val="Heading1"/>
        <w:pStyle w:val="Heading1"/>
        <w:keepNext/>
      </w:pPr>
      <w:r>
        <w:t xml:space="preserve">2. Digital Products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Digital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Community-based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ICT-based Products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Alignment to Customer Expectations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Product Scalability</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4. Tabela obejmuje 5 obszarów osi 2. Kolumny poziomów pokazują skalę od 1 do 5;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2A Digital Products</w:t>
      </w:r>
    </w:p>
    <w:p>
      <w:pPr>
        <w:pStyle w:val="Sygnatura"/>
      </w:pPr>
      <w:r>
        <w:t xml:space="preserve">Current level: — (—) · Target level: — (—) · Gap: — · Priority: — · Evidence: not assessed</w:t>
      </w:r>
    </w:p>
    <w:p>
      <w:pPr>
        <w:pStyle w:val="Podpis"/>
      </w:pPr>
      <w:r>
        <w:t xml:space="preserve">Area 2A was not assessed — no source data.</w:t>
      </w:r>
    </w:p>
    <w:p>
      <w:pPr>
        <w:pStyle w:val="Heading3"/>
        <w:pStyle w:val="Heading3"/>
      </w:pPr>
      <w:r>
        <w:t xml:space="preserve">2B Community-based Products</w:t>
      </w:r>
    </w:p>
    <w:p>
      <w:pPr>
        <w:pStyle w:val="Sygnatura"/>
      </w:pPr>
      <w:r>
        <w:t xml:space="preserve">Current level: — (—) · Target level: — (—) · Gap: — · Priority: — · Evidence: not assessed</w:t>
      </w:r>
    </w:p>
    <w:p>
      <w:pPr>
        <w:pStyle w:val="Podpis"/>
      </w:pPr>
      <w:r>
        <w:t xml:space="preserve">Area 2B was not assessed — no source data.</w:t>
      </w:r>
    </w:p>
    <w:p>
      <w:pPr>
        <w:pStyle w:val="Heading3"/>
        <w:pStyle w:val="Heading3"/>
      </w:pPr>
      <w:r>
        <w:t xml:space="preserve">2C ICT-based Products</w:t>
      </w:r>
    </w:p>
    <w:p>
      <w:pPr>
        <w:pStyle w:val="Sygnatura"/>
      </w:pPr>
      <w:r>
        <w:t xml:space="preserve">Current level: — (—) · Target level: — (—) · Gap: — · Priority: — · Evidence: not assessed</w:t>
      </w:r>
    </w:p>
    <w:p>
      <w:pPr>
        <w:pStyle w:val="Podpis"/>
      </w:pPr>
      <w:r>
        <w:t xml:space="preserve">Area 2C was not assessed — no source data.</w:t>
      </w:r>
    </w:p>
    <w:p>
      <w:pPr>
        <w:pStyle w:val="Heading3"/>
        <w:pStyle w:val="Heading3"/>
      </w:pPr>
      <w:r>
        <w:t xml:space="preserve">2D Product Alignment to Customer Expectations</w:t>
      </w:r>
    </w:p>
    <w:p>
      <w:pPr>
        <w:pStyle w:val="Sygnatura"/>
      </w:pPr>
      <w:r>
        <w:t xml:space="preserve">Current level: — (—) · Target level: — (—) · Gap: — · Priority: — · Evidence: not assessed</w:t>
      </w:r>
    </w:p>
    <w:p>
      <w:pPr>
        <w:pStyle w:val="Podpis"/>
      </w:pPr>
      <w:r>
        <w:t xml:space="preserve">Area 2D was not assessed — no source data.</w:t>
      </w:r>
    </w:p>
    <w:p>
      <w:pPr>
        <w:pStyle w:val="Heading3"/>
        <w:pStyle w:val="Heading3"/>
      </w:pPr>
      <w:r>
        <w:t xml:space="preserve">2E Product Scalability</w:t>
      </w:r>
    </w:p>
    <w:p>
      <w:pPr>
        <w:pStyle w:val="Sygnatura"/>
      </w:pPr>
      <w:r>
        <w:t xml:space="preserve">Current level: — (—) · Target level: — (—) · Gap: — · Priority: — · Evidence: not assessed</w:t>
      </w:r>
    </w:p>
    <w:p>
      <w:pPr>
        <w:pStyle w:val="Podpis"/>
      </w:pPr>
      <w:r>
        <w:t xml:space="preserve">Area 2E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3 of 7 · axis 3 of the DRD structure</w:t>
      </w:r>
    </w:p>
    <w:p>
      <w:pPr>
        <w:pStyle w:val="Heading1"/>
        <w:pStyle w:val="Heading1"/>
        <w:keepNext/>
      </w:pPr>
      <w:r>
        <w:t xml:space="preserve">3. Digital Business Models</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E-commerce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Platform Solutions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As-a-Service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Asset Sharing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Monetization Models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6. Tabela obejmuje 5 obszarów osi 3. Kolumny poziomów pokazują skalę od 1 do 5;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3A E-commerce Models</w:t>
      </w:r>
    </w:p>
    <w:p>
      <w:pPr>
        <w:pStyle w:val="Sygnatura"/>
      </w:pPr>
      <w:r>
        <w:t xml:space="preserve">Current level: 2 (Intermediate) · Target level: — (—) · Gap: — · Priority: — · Evidence: declared</w:t>
      </w:r>
    </w:p>
    <w:p>
      <w:pPr>
        <w:pStyle w:val="Tresc"/>
      </w:pPr>
      <w:r>
        <w:t xml:space="preserve">Stan faktyczny: poziom obecny 2 — Intermediate; liczba dowodów: 0. Ocena i wiarygodność: pewność średnia, stan dowodów zadeklarowane. Luka: nieustalona; priorytet: —; poziom docelowy nieustalony. Brak treści wymaganej do pełnego komentarza: znaczenie dla przedsiębiorstwa oraz najbliższy krok.</w:t>
      </w:r>
    </w:p>
    <w:p>
      <w:pPr>
        <w:pStyle w:val="Heading3"/>
        <w:pStyle w:val="Heading3"/>
      </w:pPr>
      <w:r>
        <w:t xml:space="preserve">3B Platform Solutions</w:t>
      </w:r>
    </w:p>
    <w:p>
      <w:pPr>
        <w:pStyle w:val="Sygnatura"/>
      </w:pPr>
      <w:r>
        <w:t xml:space="preserve">Current level: — (—) · Target level: — (—) · Gap: — · Priority: — · Evidence: not assessed</w:t>
      </w:r>
    </w:p>
    <w:p>
      <w:pPr>
        <w:pStyle w:val="Podpis"/>
      </w:pPr>
      <w:r>
        <w:t xml:space="preserve">Area 3B was not assessed — no source data.</w:t>
      </w:r>
    </w:p>
    <w:p>
      <w:pPr>
        <w:pStyle w:val="Heading3"/>
        <w:pStyle w:val="Heading3"/>
      </w:pPr>
      <w:r>
        <w:t xml:space="preserve">3C As-a-Service</w:t>
      </w:r>
    </w:p>
    <w:p>
      <w:pPr>
        <w:pStyle w:val="Sygnatura"/>
      </w:pPr>
      <w:r>
        <w:t xml:space="preserve">Current level: — (—) · Target level: — (—) · Gap: — · Priority: — · Evidence: not assessed</w:t>
      </w:r>
    </w:p>
    <w:p>
      <w:pPr>
        <w:pStyle w:val="Podpis"/>
      </w:pPr>
      <w:r>
        <w:t xml:space="preserve">Area 3C was not assessed — no source data.</w:t>
      </w:r>
    </w:p>
    <w:p>
      <w:pPr>
        <w:pStyle w:val="Heading3"/>
        <w:pStyle w:val="Heading3"/>
      </w:pPr>
      <w:r>
        <w:t xml:space="preserve">3D Asset Sharing Models</w:t>
      </w:r>
    </w:p>
    <w:p>
      <w:pPr>
        <w:pStyle w:val="Sygnatura"/>
      </w:pPr>
      <w:r>
        <w:t xml:space="preserve">Current level: — (—) · Target level: — (—) · Gap: — · Priority: — · Evidence: not assessed</w:t>
      </w:r>
    </w:p>
    <w:p>
      <w:pPr>
        <w:pStyle w:val="Podpis"/>
      </w:pPr>
      <w:r>
        <w:t xml:space="preserve">Area 3D was not assessed — no source data.</w:t>
      </w:r>
    </w:p>
    <w:p>
      <w:pPr>
        <w:pStyle w:val="Heading3"/>
        <w:pStyle w:val="Heading3"/>
      </w:pPr>
      <w:r>
        <w:t xml:space="preserve">3E Data Monetization Models</w:t>
      </w:r>
    </w:p>
    <w:p>
      <w:pPr>
        <w:pStyle w:val="Sygnatura"/>
      </w:pPr>
      <w:r>
        <w:t xml:space="preserve">Current level: — (—) · Target level: — (—) · Gap: — · Priority: — · Evidence: not assessed</w:t>
      </w:r>
    </w:p>
    <w:p>
      <w:pPr>
        <w:pStyle w:val="Podpis"/>
      </w:pPr>
      <w:r>
        <w:t xml:space="preserve">Area 3E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4 of 7 · axis 4 of the DRD structure</w:t>
      </w:r>
    </w:p>
    <w:p>
      <w:pPr>
        <w:pStyle w:val="Heading1"/>
        <w:pStyle w:val="Heading1"/>
        <w:keepNext/>
      </w:pPr>
      <w:r>
        <w:t xml:space="preserve">4. Data Management</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Collection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Storage Methodology</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Communication</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Big Data Analysis</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Computing</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8. Tabela obejmuje 5 obszarów osi 4. Kolumny poziomów pokazują skalę od 1 do 7;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4A Data Collection</w:t>
      </w:r>
    </w:p>
    <w:p>
      <w:pPr>
        <w:pStyle w:val="Sygnatura"/>
      </w:pPr>
      <w:r>
        <w:t xml:space="preserve">Current level: 3 (Advanced Technological Solutions) · Target level: — (—) · Gap: — · Priority: — · Evidence: declared</w:t>
      </w:r>
    </w:p>
    <w:p>
      <w:pPr>
        <w:pStyle w:val="Tresc"/>
      </w:pPr>
      <w:r>
        <w:t xml:space="preserve">Stan faktyczny: poziom obecny 3 — Advanced Technological Solutions; liczba dowodów: 0. Ocena i wiarygodność: pewność średnia, stan dowodów zadeklarowane. Luka: nieustalona; priorytet: —; poziom docelowy nieustalony. Brak treści wymaganej do pełnego komentarza: znaczenie dla przedsiębiorstwa oraz najbliższy krok.</w:t>
      </w:r>
    </w:p>
    <w:p>
      <w:pPr>
        <w:pStyle w:val="Heading3"/>
        <w:pStyle w:val="Heading3"/>
      </w:pPr>
      <w:r>
        <w:t xml:space="preserve">4B Data Storage Methodology</w:t>
      </w:r>
    </w:p>
    <w:p>
      <w:pPr>
        <w:pStyle w:val="Sygnatura"/>
      </w:pPr>
      <w:r>
        <w:t xml:space="preserve">Current level: — (—) · Target level: — (—) · Gap: — · Priority: — · Evidence: not assessed</w:t>
      </w:r>
    </w:p>
    <w:p>
      <w:pPr>
        <w:pStyle w:val="Podpis"/>
      </w:pPr>
      <w:r>
        <w:t xml:space="preserve">Area 4B was not assessed — no source data.</w:t>
      </w:r>
    </w:p>
    <w:p>
      <w:pPr>
        <w:pStyle w:val="Heading3"/>
        <w:pStyle w:val="Heading3"/>
      </w:pPr>
      <w:r>
        <w:t xml:space="preserve">4C Data Communication</w:t>
      </w:r>
    </w:p>
    <w:p>
      <w:pPr>
        <w:pStyle w:val="Sygnatura"/>
      </w:pPr>
      <w:r>
        <w:t xml:space="preserve">Current level: — (—) · Target level: — (—) · Gap: — · Priority: — · Evidence: not assessed</w:t>
      </w:r>
    </w:p>
    <w:p>
      <w:pPr>
        <w:pStyle w:val="Podpis"/>
      </w:pPr>
      <w:r>
        <w:t xml:space="preserve">Area 4C was not assessed — no source data.</w:t>
      </w:r>
    </w:p>
    <w:p>
      <w:pPr>
        <w:pStyle w:val="Heading3"/>
        <w:pStyle w:val="Heading3"/>
      </w:pPr>
      <w:r>
        <w:t xml:space="preserve">4D Big Data Analysis</w:t>
      </w:r>
    </w:p>
    <w:p>
      <w:pPr>
        <w:pStyle w:val="Sygnatura"/>
      </w:pPr>
      <w:r>
        <w:t xml:space="preserve">Current level: — (—) · Target level: — (—) · Gap: — · Priority: — · Evidence: not assessed</w:t>
      </w:r>
    </w:p>
    <w:p>
      <w:pPr>
        <w:pStyle w:val="Podpis"/>
      </w:pPr>
      <w:r>
        <w:t xml:space="preserve">Area 4D was not assessed — no source data.</w:t>
      </w:r>
    </w:p>
    <w:p>
      <w:pPr>
        <w:pStyle w:val="Heading3"/>
        <w:pStyle w:val="Heading3"/>
      </w:pPr>
      <w:r>
        <w:t xml:space="preserve">4E Computing</w:t>
      </w:r>
    </w:p>
    <w:p>
      <w:pPr>
        <w:pStyle w:val="Sygnatura"/>
      </w:pPr>
      <w:r>
        <w:t xml:space="preserve">Current level: — (—) · Target level: — (—) · Gap: — · Priority: — · Evidence: not assessed</w:t>
      </w:r>
    </w:p>
    <w:p>
      <w:pPr>
        <w:pStyle w:val="Podpis"/>
      </w:pPr>
      <w:r>
        <w:t xml:space="preserve">Area 4E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5 of 7 · axis 5 of the DRD structure</w:t>
      </w:r>
    </w:p>
    <w:p>
      <w:pPr>
        <w:pStyle w:val="Heading1"/>
        <w:pStyle w:val="Heading1"/>
        <w:keepNext/>
      </w:pPr>
      <w:r>
        <w:t xml:space="preserve">5. Culture of Transformation</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Leadership Attitudes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Readiness for Change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Continuous Competency Development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Innovation Culture</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Resource Availability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10. Tabela obejmuje 5 obszarów osi 5. Kolumny poziomów pokazują skalę od 1 do 6;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5A Leadership Attitudes</w:t>
      </w:r>
    </w:p>
    <w:p>
      <w:pPr>
        <w:pStyle w:val="Sygnatura"/>
      </w:pPr>
      <w:r>
        <w:t xml:space="preserve">Current level: 2 (Autokratyczny) · Target level: — (—) · Gap: — · Priority: — · Evidence: declared</w:t>
      </w:r>
    </w:p>
    <w:p>
      <w:pPr>
        <w:pStyle w:val="Tresc"/>
      </w:pPr>
      <w:r>
        <w:t xml:space="preserve">Stan faktyczny: poziom obecny 2 — Autokratyczny; liczba dowodów: 0. Ocena i wiarygodność: pewność średnia, stan dowodów zadeklarowane. Luka: nieustalona; priorytet: —; poziom docelowy nieustalony. Brak treści wymaganej do pełnego komentarza: znaczenie dla przedsiębiorstwa oraz najbliższy krok.</w:t>
      </w:r>
    </w:p>
    <w:p>
      <w:pPr>
        <w:pStyle w:val="Heading3"/>
        <w:pStyle w:val="Heading3"/>
      </w:pPr>
      <w:r>
        <w:t xml:space="preserve">5B Readiness for Change</w:t>
      </w:r>
    </w:p>
    <w:p>
      <w:pPr>
        <w:pStyle w:val="Sygnatura"/>
      </w:pPr>
      <w:r>
        <w:t xml:space="preserve">Current level: 3 (Dyrektywny) · Target level: — (—) · Gap: — · Priority: — · Evidence: declared</w:t>
      </w:r>
    </w:p>
    <w:p>
      <w:pPr>
        <w:pStyle w:val="Tresc"/>
      </w:pPr>
      <w:r>
        <w:t xml:space="preserve">Stan faktyczny: poziom obecny 3 — Dyrektywny; liczba dowodów: 0. Ocena i wiarygodność: pewność średnia, stan dowodów zadeklarowane. Luka: nieustalona; priorytet: —; poziom docelowy nieustalony. Brak treści wymaganej do pełnego komentarza: znaczenie dla przedsiębiorstwa oraz najbliższy krok.</w:t>
      </w:r>
    </w:p>
    <w:p>
      <w:pPr>
        <w:pStyle w:val="Heading3"/>
        <w:pStyle w:val="Heading3"/>
      </w:pPr>
      <w:r>
        <w:t xml:space="preserve">5C Continuous Competency Development</w:t>
      </w:r>
    </w:p>
    <w:p>
      <w:pPr>
        <w:pStyle w:val="Sygnatura"/>
      </w:pPr>
      <w:r>
        <w:t xml:space="preserve">Current level: — (—) · Target level: — (—) · Gap: — · Priority: — · Evidence: not assessed</w:t>
      </w:r>
    </w:p>
    <w:p>
      <w:pPr>
        <w:pStyle w:val="Podpis"/>
      </w:pPr>
      <w:r>
        <w:t xml:space="preserve">Area 5C was not assessed — no source data.</w:t>
      </w:r>
    </w:p>
    <w:p>
      <w:pPr>
        <w:pStyle w:val="Heading3"/>
        <w:pStyle w:val="Heading3"/>
      </w:pPr>
      <w:r>
        <w:t xml:space="preserve">5D Innovation Culture</w:t>
      </w:r>
    </w:p>
    <w:p>
      <w:pPr>
        <w:pStyle w:val="Sygnatura"/>
      </w:pPr>
      <w:r>
        <w:t xml:space="preserve">Current level: — (—) · Target level: — (—) · Gap: — · Priority: — · Evidence: not assessed</w:t>
      </w:r>
    </w:p>
    <w:p>
      <w:pPr>
        <w:pStyle w:val="Podpis"/>
      </w:pPr>
      <w:r>
        <w:t xml:space="preserve">Area 5D was not assessed — no source data.</w:t>
      </w:r>
    </w:p>
    <w:p>
      <w:pPr>
        <w:pStyle w:val="Heading3"/>
        <w:pStyle w:val="Heading3"/>
      </w:pPr>
      <w:r>
        <w:t xml:space="preserve">5E Resource Availability</w:t>
      </w:r>
    </w:p>
    <w:p>
      <w:pPr>
        <w:pStyle w:val="Sygnatura"/>
      </w:pPr>
      <w:r>
        <w:t xml:space="preserve">Current level: — (—) · Target level: — (—) · Gap: — · Priority: — · Evidence: not assessed</w:t>
      </w:r>
    </w:p>
    <w:p>
      <w:pPr>
        <w:pStyle w:val="Podpis"/>
      </w:pPr>
      <w:r>
        <w:t xml:space="preserve">Area 5E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6 of 7 · axis 6 of the DRD structure</w:t>
      </w:r>
    </w:p>
    <w:p>
      <w:pPr>
        <w:pStyle w:val="Heading1"/>
        <w:pStyle w:val="Heading1"/>
        <w:keepNext/>
      </w:pPr>
      <w:r>
        <w:t xml:space="preserve">6. Cybersecurity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Strategy and Risk Management</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Network and System Protection</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Security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Security Education and System Quality</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Contingency Plans</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12. Tabela obejmuje 5 obszarów osi 6. Kolumny poziomów pokazują skalę od 1 do 6;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6A Strategy and Risk Management</w:t>
      </w:r>
    </w:p>
    <w:p>
      <w:pPr>
        <w:pStyle w:val="Sygnatura"/>
      </w:pPr>
      <w:r>
        <w:t xml:space="preserve">Current level: — (—) · Target level: — (—) · Gap: — · Priority: — · Evidence: not assessed</w:t>
      </w:r>
    </w:p>
    <w:p>
      <w:pPr>
        <w:pStyle w:val="Podpis"/>
      </w:pPr>
      <w:r>
        <w:t xml:space="preserve">Area 6A was not assessed — no source data.</w:t>
      </w:r>
    </w:p>
    <w:p>
      <w:pPr>
        <w:pStyle w:val="Heading3"/>
        <w:pStyle w:val="Heading3"/>
      </w:pPr>
      <w:r>
        <w:t xml:space="preserve">6B Network and System Protection</w:t>
      </w:r>
    </w:p>
    <w:p>
      <w:pPr>
        <w:pStyle w:val="Sygnatura"/>
      </w:pPr>
      <w:r>
        <w:t xml:space="preserve">Current level: — (—) · Target level: — (—) · Gap: — · Priority: — · Evidence: not assessed</w:t>
      </w:r>
    </w:p>
    <w:p>
      <w:pPr>
        <w:pStyle w:val="Podpis"/>
      </w:pPr>
      <w:r>
        <w:t xml:space="preserve">Area 6B was not assessed — no source data.</w:t>
      </w:r>
    </w:p>
    <w:p>
      <w:pPr>
        <w:pStyle w:val="Heading3"/>
        <w:pStyle w:val="Heading3"/>
      </w:pPr>
      <w:r>
        <w:t xml:space="preserve">6C Data Security</w:t>
      </w:r>
    </w:p>
    <w:p>
      <w:pPr>
        <w:pStyle w:val="Sygnatura"/>
      </w:pPr>
      <w:r>
        <w:t xml:space="preserve">Current level: — (—) · Target level: — (—) · Gap: — · Priority: — · Evidence: not assessed</w:t>
      </w:r>
    </w:p>
    <w:p>
      <w:pPr>
        <w:pStyle w:val="Podpis"/>
      </w:pPr>
      <w:r>
        <w:t xml:space="preserve">Area 6C was not assessed — no source data.</w:t>
      </w:r>
    </w:p>
    <w:p>
      <w:pPr>
        <w:pStyle w:val="Heading3"/>
        <w:pStyle w:val="Heading3"/>
      </w:pPr>
      <w:r>
        <w:t xml:space="preserve">6D Security Education and System Quality</w:t>
      </w:r>
    </w:p>
    <w:p>
      <w:pPr>
        <w:pStyle w:val="Sygnatura"/>
      </w:pPr>
      <w:r>
        <w:t xml:space="preserve">Current level: — (—) · Target level: — (—) · Gap: — · Priority: — · Evidence: not assessed</w:t>
      </w:r>
    </w:p>
    <w:p>
      <w:pPr>
        <w:pStyle w:val="Podpis"/>
      </w:pPr>
      <w:r>
        <w:t xml:space="preserve">Area 6D was not assessed — no source data.</w:t>
      </w:r>
    </w:p>
    <w:p>
      <w:pPr>
        <w:pStyle w:val="Heading3"/>
        <w:pStyle w:val="Heading3"/>
      </w:pPr>
      <w:r>
        <w:t xml:space="preserve">6E Contingency Plans</w:t>
      </w:r>
    </w:p>
    <w:p>
      <w:pPr>
        <w:pStyle w:val="Sygnatura"/>
      </w:pPr>
      <w:r>
        <w:t xml:space="preserve">Current level: — (—) · Target level: — (—) · Gap: — · Priority: — · Evidence: not assessed</w:t>
      </w:r>
    </w:p>
    <w:p>
      <w:pPr>
        <w:pStyle w:val="Podpis"/>
      </w:pPr>
      <w:r>
        <w:t xml:space="preserve">Area 6E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Chapter 7 of 7 · axis 7 of the DRD structure</w:t>
      </w:r>
    </w:p>
    <w:p>
      <w:pPr>
        <w:pStyle w:val="Heading1"/>
        <w:pStyle w:val="Heading1"/>
        <w:keepNext/>
      </w:pPr>
      <w:r>
        <w:t xml:space="preserve">7. AI Maturity</w:t>
      </w:r>
    </w:p>
    <w:p>
      <w:pPr>
        <w:pStyle w:val="Podpis"/>
      </w:pPr>
      <w:r>
        <w:t xml:space="preserve">This axis was not assessed. No content in this section — the assessment does not contain the data needed to write it.</w:t>
      </w:r>
    </w:p>
    <w:p>
      <w:pPr>
        <w:pStyle w:val="Heading2"/>
        <w:pStyle w:val="Heading2"/>
      </w:pPr>
      <w:r>
        <w:t xml:space="preserve">Maturity level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Area</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Gap</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Priority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Data and AI Foundations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AI-Supported Processes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in Products and Services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Governance, Security and Ethics</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Competencies and Culture</w:t>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t>
            </w:r>
          </w:p>
        </w:tc>
      </w:tr>
    </w:tbl>
    <w:p>
      <w:pPr>
        <w:pStyle w:val="Caption"/>
      </w:pPr>
      <w:r>
        <w:t xml:space="preserve">Tabela 14. Tabela obejmuje 5 obszarów osi 7. Kolumny poziomów pokazują skalę od 1 do 5; Luka jest różnicą między poziomem docelowym i obecnym, a Priorytet wynika z wielkości luki. Źródłem są dane zapisanej oceny z dnia 2026-09-13.</w:t>
      </w:r>
    </w:p>
    <w:p>
      <w:pPr>
        <w:pStyle w:val="Heading2"/>
        <w:pStyle w:val="Heading2"/>
      </w:pPr>
      <w:r>
        <w:t xml:space="preserve">Area assessment</w:t>
      </w:r>
    </w:p>
    <w:p>
      <w:pPr>
        <w:pStyle w:val="Heading3"/>
        <w:pStyle w:val="Heading3"/>
      </w:pPr>
      <w:r>
        <w:t xml:space="preserve">7A Data and AI Foundations</w:t>
      </w:r>
    </w:p>
    <w:p>
      <w:pPr>
        <w:pStyle w:val="Sygnatura"/>
      </w:pPr>
      <w:r>
        <w:t xml:space="preserve">Current level: — (—) · Target level: — (—) · Gap: — · Priority: — · Evidence: not assessed</w:t>
      </w:r>
    </w:p>
    <w:p>
      <w:pPr>
        <w:pStyle w:val="Podpis"/>
      </w:pPr>
      <w:r>
        <w:t xml:space="preserve">Area 7A was not assessed — no source data.</w:t>
      </w:r>
    </w:p>
    <w:p>
      <w:pPr>
        <w:pStyle w:val="Heading3"/>
        <w:pStyle w:val="Heading3"/>
      </w:pPr>
      <w:r>
        <w:t xml:space="preserve">7B AI-Supported Processes</w:t>
      </w:r>
    </w:p>
    <w:p>
      <w:pPr>
        <w:pStyle w:val="Sygnatura"/>
      </w:pPr>
      <w:r>
        <w:t xml:space="preserve">Current level: — (—) · Target level: — (—) · Gap: — · Priority: — · Evidence: not assessed</w:t>
      </w:r>
    </w:p>
    <w:p>
      <w:pPr>
        <w:pStyle w:val="Podpis"/>
      </w:pPr>
      <w:r>
        <w:t xml:space="preserve">Area 7B was not assessed — no source data.</w:t>
      </w:r>
    </w:p>
    <w:p>
      <w:pPr>
        <w:pStyle w:val="Heading3"/>
        <w:pStyle w:val="Heading3"/>
      </w:pPr>
      <w:r>
        <w:t xml:space="preserve">7C AI in Products and Services</w:t>
      </w:r>
    </w:p>
    <w:p>
      <w:pPr>
        <w:pStyle w:val="Sygnatura"/>
      </w:pPr>
      <w:r>
        <w:t xml:space="preserve">Current level: — (—) · Target level: — (—) · Gap: — · Priority: — · Evidence: not assessed</w:t>
      </w:r>
    </w:p>
    <w:p>
      <w:pPr>
        <w:pStyle w:val="Podpis"/>
      </w:pPr>
      <w:r>
        <w:t xml:space="preserve">Area 7C was not assessed — no source data.</w:t>
      </w:r>
    </w:p>
    <w:p>
      <w:pPr>
        <w:pStyle w:val="Heading3"/>
        <w:pStyle w:val="Heading3"/>
      </w:pPr>
      <w:r>
        <w:t xml:space="preserve">7D Governance, Security and Ethics</w:t>
      </w:r>
    </w:p>
    <w:p>
      <w:pPr>
        <w:pStyle w:val="Sygnatura"/>
      </w:pPr>
      <w:r>
        <w:t xml:space="preserve">Current level: — (—) · Target level: — (—) · Gap: — · Priority: — · Evidence: not assessed</w:t>
      </w:r>
    </w:p>
    <w:p>
      <w:pPr>
        <w:pStyle w:val="Podpis"/>
      </w:pPr>
      <w:r>
        <w:t xml:space="preserve">Area 7D was not assessed — no source data.</w:t>
      </w:r>
    </w:p>
    <w:p>
      <w:pPr>
        <w:pStyle w:val="Heading3"/>
        <w:pStyle w:val="Heading3"/>
      </w:pPr>
      <w:r>
        <w:t xml:space="preserve">7E AI Competencies and Culture</w:t>
      </w:r>
    </w:p>
    <w:p>
      <w:pPr>
        <w:pStyle w:val="Sygnatura"/>
      </w:pPr>
      <w:r>
        <w:t xml:space="preserve">Current level: — (—) · Target level: — (—) · Gap: — · Priority: — · Evidence: not assessed</w:t>
      </w:r>
    </w:p>
    <w:p>
      <w:pPr>
        <w:pStyle w:val="Podpis"/>
      </w:pPr>
      <w:r>
        <w:t xml:space="preserve">Area 7E was not assessed — no source data.</w:t>
      </w:r>
    </w:p>
    <w:p>
      <w:pPr>
        <w:pStyle w:val="Heading2"/>
        <w:pStyle w:val="Heading2"/>
      </w:pPr>
      <w:r>
        <w:t xml:space="preserve">Chapter conclusions</w:t>
      </w:r>
    </w:p>
    <w:p>
      <w:pPr>
        <w:pStyle w:val="Podpis"/>
      </w:pPr>
      <w:r>
        <w:t xml:space="preserve">No content in this section — the assessment does not contain the data needed to write it.</w:t>
      </w:r>
    </w:p>
    <w:p>
      <w:pPr>
        <w:pStyle w:val="Kicker"/>
      </w:pPr>
      <w:r>
        <w:t xml:space="preserve">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SYNTHESIS</w:t>
      </w:r>
    </w:p>
    <w:p>
      <w:pPr>
        <w:pStyle w:val="Heading1"/>
        <w:pStyle w:val="Heading1"/>
        <w:keepNext/>
      </w:pPr>
      <w:r>
        <w:t xml:space="preserve">8. Final Conclusions</w:t>
      </w:r>
    </w:p>
    <w:p>
      <w:pPr>
        <w:pStyle w:val="Tresc"/>
      </w:pPr>
      <w:r>
        <w:t xml:space="preserve">W całym programie oceniono 5 z 39 obszarów w 7 osiach. Żaden obszar nie ma policzalnej luki, a liczba luk krytycznych wynosi 0. Stan udokumentowany dotyczy 0 obszarów, niepełny 0, a zadeklarowany 5. 1A Procesy Sprzedaży: poziom obecny 7, docelowy nieustalony, luka nieustalona; bez zapisanej rekomendacji. 3A Modele E-commerce: poziom obecny 2, docelowy nieustalony, luka nieustalona; bez zapisanej rekomendacji. 4A Zbieranie Danych: poziom obecny 3, docelowy nieustalony, luka nieustalona; bez zapisanej rekomendacji. 5A Postawy przywódcze: poziom obecny 2, docelowy nieustalony, luka nieustalona; bez zapisanej rekomendacji. 5B Gotowość na zmianę: poziom obecny 3, docelowy nieustalony, luka nieustalona; bez zapisanej rekomendacji. Ograniczenia zapisanej oceny: „Wynik pochodzi z oceny prowadzonej w warsztacie DRD (magazyn zastany), nie z zamrożonego Outputu jądra metodycznego — poziomy są zadeklarowane, bez załączonych dowodów.”. Synteza nie dodaje porównań rynkowych, horyzontu czasowego ani prognozy. Wszystkie liczby pochodzą z findingów albo z policzalnych mianowników kontraktu.</w:t>
      </w:r>
    </w:p>
    <w:p>
      <w:pPr>
        <w:pStyle w:val="Heading2"/>
        <w:pStyle w:val="Heading2"/>
      </w:pPr>
      <w:r>
        <w:t xml:space="preserve">Program decision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Field</w:t>
            </w:r>
          </w:p>
        </w:tc>
        <w:tc>
          <w:tcPr>
            <w:shd w:fill="E2E9EF"/>
          </w:tcPr>
          <w:p>
            <w:pPr>
              <w:pStyle w:val="BodyText"/>
            </w:pPr>
            <w:r>
              <w:rPr>
                <w:b/>
                <w:bCs/>
                <w:color w:val="083152"/>
                <w:sz w:val="20"/>
                <w:szCs w:val="20"/>
              </w:rPr>
              <w:t xml:space="preserve">Content</w:t>
            </w:r>
          </w:p>
        </w:tc>
      </w:tr>
      <w:tr>
        <w:tc>
          <w:p>
            <w:pPr>
              <w:pStyle w:val="BodyText"/>
            </w:pPr>
            <w:r>
              <w:rPr>
                <w:sz w:val="20"/>
                <w:szCs w:val="20"/>
              </w:rPr>
              <w:t xml:space="preserve">Direction</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Priority</w:t>
            </w:r>
          </w:p>
        </w:tc>
        <w:tc>
          <w:p>
            <w:pPr>
              <w:pStyle w:val="BodyText"/>
            </w:pPr>
            <w:r>
              <w:rPr>
                <w:sz w:val="20"/>
                <w:szCs w:val="20"/>
              </w:rPr>
              <w:t xml:space="preserve">No content in this section — the assessment does not contain the data needed to write it.</w:t>
            </w:r>
          </w:p>
        </w:tc>
      </w:tr>
      <w:tr>
        <w:tc>
          <w:p>
            <w:pPr>
              <w:pStyle w:val="BodyText"/>
            </w:pPr>
            <w:r>
              <w:rPr>
                <w:sz w:val="20"/>
                <w:szCs w:val="20"/>
              </w:rPr>
              <w:t xml:space="preserve">Horizon</w:t>
            </w:r>
          </w:p>
        </w:tc>
        <w:tc>
          <w:p>
            <w:pPr>
              <w:pStyle w:val="BodyText"/>
            </w:pPr>
            <w:r>
              <w:rPr>
                <w:sz w:val="20"/>
                <w:szCs w:val="20"/>
              </w:rPr>
              <w:t xml:space="preserve">Not specified — no source in the data.</w:t>
            </w:r>
          </w:p>
        </w:tc>
      </w:tr>
      <w:tr>
        <w:tc>
          <w:p>
            <w:pPr>
              <w:pStyle w:val="BodyText"/>
            </w:pPr>
            <w:r>
              <w:rPr>
                <w:sz w:val="20"/>
                <w:szCs w:val="20"/>
              </w:rPr>
              <w:t xml:space="preserve">Success condition</w:t>
            </w:r>
          </w:p>
        </w:tc>
        <w:tc>
          <w:p>
            <w:pPr>
              <w:pStyle w:val="BodyText"/>
            </w:pPr>
            <w:r>
              <w:rPr>
                <w:sz w:val="20"/>
                <w:szCs w:val="20"/>
              </w:rPr>
              <w:t xml:space="preserve">No content in this section — the assessment does not contain the data needed to write it.</w:t>
            </w:r>
          </w:p>
        </w:tc>
      </w:tr>
    </w:tbl>
    <w:p>
      <w:pPr>
        <w:pStyle w:val="Kicker"/>
        <w:keepNext/>
        <w:pageBreakBefore/>
      </w:pPr>
      <w:r>
        <w:t xml:space="preserve">APPENDIX</w:t>
      </w:r>
    </w:p>
    <w:p>
      <w:pPr>
        <w:pStyle w:val="Heading1"/>
        <w:pStyle w:val="Heading1"/>
        <w:keepNext/>
      </w:pPr>
      <w:r>
        <w:t xml:space="preserve">Appendix A. Gap Register</w:t>
      </w:r>
    </w:p>
    <w:p>
      <w:pPr>
        <w:pStyle w:val="Kicker"/>
        <w:keepNext/>
      </w:pPr>
      <w:r>
        <w:t xml:space="preserve">APPENDIX</w:t>
      </w:r>
    </w:p>
    <w:p>
      <w:pPr>
        <w:pStyle w:val="Heading1"/>
        <w:pStyle w:val="Heading1"/>
        <w:keepNext/>
      </w:pPr>
      <w:r>
        <w:t xml:space="preserve">Appendix B. Methodology Note</w:t>
      </w:r>
    </w:p>
    <w:p>
      <w:pPr>
        <w:pStyle w:val="Tresc"/>
      </w:pPr>
      <w:r>
        <w:t xml:space="preserve">The assessment was carried out using the DRD structure: 7 axes and 39 areas. Each area has a recorded current level and target level on a scale specific to its axis. The gap is the difference between the target and current level; priority follows solely from the size of the gap and is not an expert judgement. The "Current" and "Target" columns in the axis summary are the average of that axis's area levels, expressed as a percentage of the axis's maximum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Axis</w:t>
            </w:r>
          </w:p>
        </w:tc>
        <w:tc>
          <w:tcPr>
            <w:shd w:fill="E2E9EF"/>
          </w:tcPr>
          <w:p>
            <w:pPr>
              <w:pStyle w:val="BodyText"/>
            </w:pPr>
            <w:r>
              <w:rPr>
                <w:b/>
                <w:bCs/>
                <w:color w:val="083152"/>
                <w:sz w:val="20"/>
                <w:szCs w:val="20"/>
              </w:rPr>
              <w:t xml:space="preserve">Name</w:t>
            </w:r>
          </w:p>
        </w:tc>
        <w:tc>
          <w:tcPr>
            <w:shd w:fill="E2E9EF"/>
          </w:tcPr>
          <w:p>
            <w:pPr>
              <w:pStyle w:val="BodyText"/>
            </w:pPr>
            <w:r>
              <w:rPr>
                <w:b/>
                <w:bCs/>
                <w:color w:val="083152"/>
                <w:sz w:val="20"/>
                <w:szCs w:val="20"/>
              </w:rPr>
              <w:t xml:space="preserve">Number of areas</w:t>
            </w:r>
          </w:p>
        </w:tc>
        <w:tc>
          <w:tcPr>
            <w:shd w:fill="E2E9EF"/>
          </w:tcPr>
          <w:p>
            <w:pPr>
              <w:pStyle w:val="BodyText"/>
            </w:pPr>
            <w:r>
              <w:rPr>
                <w:b/>
                <w:bCs/>
                <w:color w:val="083152"/>
                <w:sz w:val="20"/>
                <w:szCs w:val="20"/>
              </w:rPr>
              <w:t xml:space="preserve">Level scale</w:t>
            </w:r>
          </w:p>
        </w:tc>
      </w:tr>
      <w:tr>
        <w:tc>
          <w:p>
            <w:pPr>
              <w:pStyle w:val="BodyText"/>
            </w:pPr>
            <w:r>
              <w:rPr>
                <w:sz w:val="20"/>
                <w:szCs w:val="20"/>
              </w:rPr>
              <w:t xml:space="preserve">1</w:t>
            </w:r>
          </w:p>
        </w:tc>
        <w:tc>
          <w:p>
            <w:pPr>
              <w:pStyle w:val="BodyText"/>
            </w:pPr>
            <w:r>
              <w:rPr>
                <w:sz w:val="20"/>
                <w:szCs w:val="20"/>
              </w:rPr>
              <w:t xml:space="preserve">Digital Processes</w:t>
            </w:r>
          </w:p>
        </w:tc>
        <w:tc>
          <w:p>
            <w:pPr>
              <w:pStyle w:val="BodyText"/>
            </w:pPr>
            <w:r>
              <w:rPr>
                <w:sz w:val="20"/>
                <w:szCs w:val="20"/>
              </w:rPr>
              <w:t xml:space="preserve">9</w:t>
            </w:r>
          </w:p>
        </w:tc>
        <w:tc>
          <w:p>
            <w:pPr>
              <w:pStyle w:val="BodyText"/>
            </w:pPr>
            <w:r>
              <w:rPr>
                <w:sz w:val="20"/>
                <w:szCs w:val="20"/>
              </w:rPr>
              <w:t xml:space="preserve">1–7</w:t>
            </w:r>
          </w:p>
        </w:tc>
      </w:tr>
      <w:tr>
        <w:tc>
          <w:p>
            <w:pPr>
              <w:pStyle w:val="BodyText"/>
            </w:pPr>
            <w:r>
              <w:rPr>
                <w:sz w:val="20"/>
                <w:szCs w:val="20"/>
              </w:rPr>
              <w:t xml:space="preserve">2</w:t>
            </w:r>
          </w:p>
        </w:tc>
        <w:tc>
          <w:p>
            <w:pPr>
              <w:pStyle w:val="BodyText"/>
            </w:pPr>
            <w:r>
              <w:rPr>
                <w:sz w:val="20"/>
                <w:szCs w:val="20"/>
              </w:rPr>
              <w:t xml:space="preserve">Digital Products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3</w:t>
            </w:r>
          </w:p>
        </w:tc>
        <w:tc>
          <w:p>
            <w:pPr>
              <w:pStyle w:val="BodyText"/>
            </w:pPr>
            <w:r>
              <w:rPr>
                <w:sz w:val="20"/>
                <w:szCs w:val="20"/>
              </w:rPr>
              <w:t xml:space="preserve">Digital Business Models</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4</w:t>
            </w:r>
          </w:p>
        </w:tc>
        <w:tc>
          <w:p>
            <w:pPr>
              <w:pStyle w:val="BodyText"/>
            </w:pPr>
            <w:r>
              <w:rPr>
                <w:sz w:val="20"/>
                <w:szCs w:val="20"/>
              </w:rPr>
              <w:t xml:space="preserve">Data Management</w:t>
            </w:r>
          </w:p>
        </w:tc>
        <w:tc>
          <w:p>
            <w:pPr>
              <w:pStyle w:val="BodyText"/>
            </w:pPr>
            <w:r>
              <w:rPr>
                <w:sz w:val="20"/>
                <w:szCs w:val="20"/>
              </w:rPr>
              <w:t xml:space="preserve">5</w:t>
            </w:r>
          </w:p>
        </w:tc>
        <w:tc>
          <w:p>
            <w:pPr>
              <w:pStyle w:val="BodyText"/>
            </w:pPr>
            <w:r>
              <w:rPr>
                <w:sz w:val="20"/>
                <w:szCs w:val="20"/>
              </w:rPr>
              <w:t xml:space="preserve">1–7</w:t>
            </w:r>
          </w:p>
        </w:tc>
      </w:tr>
      <w:tr>
        <w:tc>
          <w:p>
            <w:pPr>
              <w:pStyle w:val="BodyText"/>
            </w:pPr>
            <w:r>
              <w:rPr>
                <w:sz w:val="20"/>
                <w:szCs w:val="20"/>
              </w:rPr>
              <w:t xml:space="preserve">5</w:t>
            </w:r>
          </w:p>
        </w:tc>
        <w:tc>
          <w:p>
            <w:pPr>
              <w:pStyle w:val="BodyText"/>
            </w:pPr>
            <w:r>
              <w:rPr>
                <w:sz w:val="20"/>
                <w:szCs w:val="20"/>
              </w:rPr>
              <w:t xml:space="preserve">Culture of Transformation</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6</w:t>
            </w:r>
          </w:p>
        </w:tc>
        <w:tc>
          <w:p>
            <w:pPr>
              <w:pStyle w:val="BodyText"/>
            </w:pPr>
            <w:r>
              <w:rPr>
                <w:sz w:val="20"/>
                <w:szCs w:val="20"/>
              </w:rPr>
              <w:t xml:space="preserve">Cybersecurity</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7</w:t>
            </w:r>
          </w:p>
        </w:tc>
        <w:tc>
          <w:p>
            <w:pPr>
              <w:pStyle w:val="BodyText"/>
            </w:pPr>
            <w:r>
              <w:rPr>
                <w:sz w:val="20"/>
                <w:szCs w:val="20"/>
              </w:rPr>
              <w:t xml:space="preserve">AI Maturity</w:t>
            </w:r>
          </w:p>
        </w:tc>
        <w:tc>
          <w:p>
            <w:pPr>
              <w:pStyle w:val="BodyText"/>
            </w:pPr>
            <w:r>
              <w:rPr>
                <w:sz w:val="20"/>
                <w:szCs w:val="20"/>
              </w:rPr>
              <w:t xml:space="preserve">5</w:t>
            </w:r>
          </w:p>
        </w:tc>
        <w:tc>
          <w:p>
            <w:pPr>
              <w:pStyle w:val="BodyText"/>
            </w:pPr>
            <w:r>
              <w:rPr>
                <w:sz w:val="20"/>
                <w:szCs w:val="20"/>
              </w:rPr>
              <w:t xml:space="preserve">1–5</w:t>
            </w:r>
          </w:p>
        </w:tc>
      </w:tr>
    </w:tbl>
    <w:p>
      <w:pPr>
        <w:pStyle w:val="Caption"/>
      </w:pPr>
      <w:r>
        <w:t xml:space="preserve">Tabela 17. DRD methodology structure used in this assessment.</w:t>
      </w:r>
    </w:p>
    <w:p>
      <w:pPr>
        <w:pStyle w:val="Heading2"/>
        <w:pStyle w:val="Heading2"/>
      </w:pPr>
      <w:r>
        <w:t xml:space="preserve">Data source and limitations</w:t>
      </w:r>
    </w:p>
    <w:p>
      <w:pPr>
        <w:pStyle w:val="Tresc"/>
      </w:pPr>
      <w:r>
        <w:t xml:space="preserve">The result comes from an assessment run in the DRD workshop (legacy store), not from a frozen method-core Output. This means the levels were declared by the assessor without attached evidence; the evidence-state column throughout the report reads "declared". Methodology version recorded with this assessment: DRD 7 axes / 39 areas (legacy-store assessment — no method-pack version pinned). Assessment signature: b901d4a3-fd10-42a6-97cb-accf57e0fd2d.</w:t>
      </w:r>
    </w:p>
    <w:p>
      <w:pPr>
        <w:pStyle w:val="Tresc"/>
      </w:pPr>
      <w:r>
        <w:t xml:space="preserve">The report does not contain a market comparison, a forecast, or a time horizon — this data does not exist in the assessment and was not added. An area with no recorded level is marked as not assessed, never as a zero level.</w:t>
      </w:r>
    </w:p>
    <w:p>
      <w:pPr>
        <w:pStyle w:val="Heading1"/>
        <w:pStyle w:val="Heading1"/>
      </w:pPr>
      <w:r>
        <w:t xml:space="preserve">Sources &amp; traceability</w:t>
      </w:r>
    </w:p>
    <w:p>
      <w:pPr>
        <w:pStyle w:val="AssumptionBody"/>
      </w:pPr>
      <w:r>
        <w:t xml:space="preserve">No sources attached. Substantive content blocks are flagged as assumptions and require a source pack before client distribution.</w:t>
      </w:r>
    </w:p>
    <w:sectPr>
      <w:footerReference w:type="default" r:id="rId6"/>
      <w:footerReference w:type="first" r:id="rId7"/>
      <w:pgSz w:w="11906" w:h="16838" w:orient="portrait"/>
      <w:pgMar w:top="1247" w:right="1247" w:bottom="1134"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FE8" w:sz="2" w:space="6"/>
      </w:pBdr>
      <w:tabs>
        <w:tab w:val="center" w:pos="4706"/>
        <w:tab w:val="right" w:pos="9412"/>
      </w:tabs>
      <w:jc w:val="left"/>
    </w:pPr>
    <w:r>
      <w:rPr>
        <w:color w:val="6B7280"/>
        <w:sz w:val="16"/>
        <w:szCs w:val="16"/>
      </w:rPr>
      <w:t xml:space="preserve">Confidential — DBR77</w:t>
    </w:r>
    <w:r>
      <w:rPr>
        <w:sz w:val="16"/>
        <w:szCs w:val="16"/>
      </w:rPr>
      <w:t xml:space="preserve">	</w:t>
    </w:r>
    <w:r>
      <w:rPr>
        <w:color w:val="6B7280"/>
        <w:sz w:val="16"/>
        <w:szCs w:val="16"/>
      </w:rPr>
      <w:t xml:space="preserve">Strona </w:t>
    </w:r>
    <w:r>
      <w:rPr>
        <w:color w:val="6B7280"/>
        <w:sz w:val="16"/>
        <w:szCs w:val="16"/>
      </w:rPr>
      <w:fldChar w:fldCharType="begin"/>
      <w:instrText xml:space="preserve">PAGE</w:instrText>
      <w:fldChar w:fldCharType="separate"/>
      <w:fldChar w:fldCharType="end"/>
    </w:r>
    <w:r>
      <w:rPr>
        <w:color w:val="6B7280"/>
        <w:sz w:val="16"/>
        <w:szCs w:val="16"/>
      </w:rPr>
      <w:t xml:space="preserve"> z </w:t>
    </w:r>
    <w:r>
      <w:rPr>
        <w:color w:val="6B7280"/>
        <w:sz w:val="16"/>
        <w:szCs w:val="16"/>
      </w:rPr>
      <w:fldChar w:fldCharType="begin"/>
      <w:instrText xml:space="preserve">NUMPAGES</w:instrText>
      <w:fldChar w:fldCharType="separate"/>
      <w:fldChar w:fldCharType="end"/>
    </w:r>
    <w:r>
      <w:rPr>
        <w:sz w:val="16"/>
        <w:szCs w:val="16"/>
      </w:rPr>
      <w:t xml:space="preserve">	</w:t>
    </w:r>
    <w:r>
      <w:rPr>
        <w:color w:val="85182F"/>
        <w:sz w:val="16"/>
        <w:szCs w:val="16"/>
      </w:rPr>
      <w:t xml:space="preserve">● </w:t>
    </w:r>
    <w:r>
      <w:rPr>
        <w:color w:val="6B7280"/>
        <w:sz w:val="16"/>
        <w:szCs w:val="16"/>
      </w:rPr>
      <w:t xml:space="preserve">Consultify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eastAsia="en-US" w:bidi="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Calibri Light" w:cs="Calibri Light" w:eastAsia="Calibri Light" w:hAnsi="Calibri Light"/>
      <w:b/>
      <w:bCs/>
      <w:color w:val="0C447C"/>
      <w:sz w:val="34"/>
      <w:szCs w:val="34"/>
    </w:rPr>
  </w:style>
  <w:style w:type="paragraph" w:styleId="Heading2">
    <w:name w:val="Heading 2"/>
    <w:basedOn w:val="Normal"/>
    <w:next w:val="Normal"/>
    <w:qFormat/>
    <w:pPr>
      <w:spacing w:before="220" w:after="110"/>
    </w:pPr>
    <w:rPr>
      <w:rFonts w:ascii="Calibri Light" w:cs="Calibri Light" w:eastAsia="Calibri Light" w:hAnsi="Calibri Light"/>
      <w:b/>
      <w:bCs/>
      <w:color w:val="1B5FA8"/>
      <w:sz w:val="28"/>
      <w:szCs w:val="28"/>
    </w:rPr>
  </w:style>
  <w:style w:type="paragraph" w:styleId="Heading3">
    <w:name w:val="Heading 3"/>
    <w:basedOn w:val="Normal"/>
    <w:next w:val="Normal"/>
    <w:qFormat/>
    <w:pPr>
      <w:spacing w:before="180" w:after="90"/>
    </w:pPr>
    <w:rPr>
      <w:rFonts w:ascii="Calibri Light" w:cs="Calibri Light" w:eastAsia="Calibri Light" w:hAnsi="Calibri Light"/>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Calibri Light" w:cs="Calibri Light" w:eastAsia="Calibri Light" w:hAnsi="Calibri Light"/>
      <w:b/>
      <w:bCs/>
      <w:color w:val="0A2F57"/>
      <w:sz w:val="56"/>
      <w:szCs w:val="56"/>
    </w:rPr>
  </w:style>
  <w:style w:type="paragraph" w:styleId="Subtitle">
    <w:name w:val="Subtitle"/>
    <w:basedOn w:val="Normal"/>
    <w:next w:val="BodyText"/>
    <w:qFormat/>
    <w:pPr>
      <w:spacing w:after="80"/>
      <w:jc w:val="center"/>
    </w:pPr>
    <w:rPr>
      <w:rFonts w:ascii="Calibri" w:cs="Calibri" w:eastAsia="Calibri" w:hAnsi="Calibri"/>
      <w:i/>
      <w:iCs/>
      <w:color w:val="475569"/>
      <w:sz w:val="26"/>
      <w:szCs w:val="26"/>
    </w:rPr>
  </w:style>
  <w:style w:type="paragraph" w:styleId="Heading1">
    <w:name w:val="Heading 1"/>
    <w:basedOn w:val="Normal"/>
    <w:next w:val="BodyText"/>
    <w:qFormat/>
    <w:pPr>
      <w:pBdr>
        <w:bottom w:val="single" w:color="1D9E75" w:sz="8" w:space="6"/>
      </w:pBdr>
      <w:spacing w:before="280" w:after="140"/>
    </w:pPr>
    <w:rPr>
      <w:rFonts w:ascii="Calibri Light" w:cs="Calibri Light" w:eastAsia="Calibri Light" w:hAnsi="Calibri Light"/>
      <w:b/>
      <w:bCs/>
      <w:color w:val="0C447C"/>
      <w:sz w:val="34"/>
      <w:szCs w:val="34"/>
    </w:rPr>
  </w:style>
  <w:style w:type="paragraph" w:styleId="Heading2">
    <w:name w:val="Heading 2"/>
    <w:basedOn w:val="Normal"/>
    <w:next w:val="BodyText"/>
    <w:qFormat/>
    <w:pPr>
      <w:spacing w:before="220" w:after="110"/>
    </w:pPr>
    <w:rPr>
      <w:rFonts w:ascii="Calibri Light" w:cs="Calibri Light" w:eastAsia="Calibri Light" w:hAnsi="Calibri Light"/>
      <w:b/>
      <w:bCs/>
      <w:color w:val="1B5FA8"/>
      <w:sz w:val="28"/>
      <w:szCs w:val="28"/>
    </w:rPr>
  </w:style>
  <w:style w:type="paragraph" w:styleId="Heading3">
    <w:name w:val="Heading 3"/>
    <w:basedOn w:val="Normal"/>
    <w:next w:val="BodyText"/>
    <w:qFormat/>
    <w:pPr>
      <w:spacing w:before="180" w:after="90"/>
    </w:pPr>
    <w:rPr>
      <w:rFonts w:ascii="Calibri Light" w:cs="Calibri Light" w:eastAsia="Calibri Light" w:hAnsi="Calibri Light"/>
      <w:b/>
      <w:bCs/>
      <w:color w:val="334155"/>
      <w:sz w:val="23"/>
      <w:szCs w:val="23"/>
    </w:rPr>
  </w:style>
  <w:style w:type="paragraph" w:styleId="BodyText">
    <w:name w:val="Body Text"/>
    <w:basedOn w:val="Normal"/>
    <w:next w:val="BodyText"/>
    <w:qFormat/>
    <w:pPr>
      <w:spacing w:after="120"/>
    </w:pPr>
    <w:rPr>
      <w:rFonts w:ascii="Calibri" w:cs="Calibri" w:eastAsia="Calibri" w:hAnsi="Calibri"/>
      <w:color w:val="1F2933"/>
      <w:sz w:val="22"/>
      <w:szCs w:val="22"/>
    </w:rPr>
  </w:style>
  <w:style w:type="paragraph" w:styleId="BlockQuote">
    <w:name w:val="Block Quote"/>
    <w:basedOn w:val="BodyText"/>
    <w:next w:val="BodyText"/>
    <w:pPr>
      <w:pBdr>
        <w:left w:val="single" w:color="0C447C" w:sz="18" w:space="12"/>
      </w:pBdr>
      <w:spacing w:before="80" w:after="120"/>
      <w:ind w:left="360"/>
    </w:pPr>
    <w:rPr>
      <w:rFonts w:ascii="Calibri" w:cs="Calibri" w:eastAsia="Calibri" w:hAnsi="Calibri"/>
      <w:i/>
      <w:iCs/>
      <w:color w:val="475569"/>
      <w:sz w:val="22"/>
      <w:szCs w:val="22"/>
    </w:rPr>
  </w:style>
  <w:style w:type="paragraph" w:styleId="Caption">
    <w:name w:val="Caption"/>
    <w:basedOn w:val="Normal"/>
    <w:next w:val="BodyText"/>
    <w:pPr>
      <w:spacing w:before="60" w:after="120"/>
    </w:pPr>
    <w:rPr>
      <w:rFonts w:ascii="Calibri" w:cs="Calibri" w:eastAsia="Calibri" w:hAnsi="Calibri"/>
      <w:i/>
      <w:iCs/>
      <w:color w:val="64748B"/>
      <w:sz w:val="18"/>
      <w:szCs w:val="18"/>
    </w:rPr>
  </w:style>
  <w:style w:type="paragraph" w:styleId="DocStudioFootnote">
    <w:name w:val="Doc Studio Footnote"/>
    <w:basedOn w:val="Normal"/>
    <w:next w:val="BodyText"/>
    <w:pPr>
      <w:spacing w:after="40"/>
    </w:pPr>
    <w:rPr>
      <w:rFonts w:ascii="Calibri" w:cs="Calibri" w:eastAsia="Calibri" w:hAnsi="Calibri"/>
      <w:color w:val="475569"/>
      <w:sz w:val="18"/>
      <w:szCs w:val="18"/>
    </w:rPr>
  </w:style>
  <w:style w:type="paragraph" w:styleId="AssumptionBody">
    <w:name w:val="Assumption Body"/>
    <w:basedOn w:val="BodyText"/>
    <w:next w:val="BodyText"/>
    <w:pPr>
      <w:spacing w:after="120"/>
    </w:pPr>
    <w:rPr>
      <w:rFonts w:ascii="Calibri" w:cs="Calibri" w:eastAsia="Calibri" w:hAnsi="Calibri"/>
      <w:i/>
      <w:iCs/>
      <w:color w:val="92400E"/>
      <w:sz w:val="22"/>
      <w:szCs w:val="22"/>
    </w:rPr>
  </w:style>
  <w:style w:type="paragraph" w:styleId="Callout">
    <w:name w:val="Callout"/>
    <w:basedOn w:val="BodyText"/>
    <w:next w:val="BodyText"/>
    <w:pPr>
      <w:pBdr>
        <w:left w:val="single" w:color="1D9E75" w:sz="24" w:space="12"/>
      </w:pBdr>
      <w:shd w:fill="F5F8FC" w:val="clear"/>
      <w:spacing w:before="80" w:after="120"/>
      <w:ind w:left="240"/>
    </w:pPr>
    <w:rPr>
      <w:rFonts w:ascii="Calibri" w:cs="Calibri" w:eastAsia="Calibri" w:hAnsi="Calibri"/>
      <w:color w:val="1F2933"/>
      <w:sz w:val="22"/>
      <w:szCs w:val="22"/>
    </w:rPr>
  </w:style>
  <w:style w:type="paragraph" w:styleId="SourceList">
    <w:name w:val="Source List"/>
    <w:basedOn w:val="BodyText"/>
    <w:next w:val="SourceList"/>
    <w:pPr>
      <w:spacing w:after="60"/>
    </w:pPr>
    <w:rPr>
      <w:rFonts w:ascii="Calibri" w:cs="Calibri" w:eastAsia="Calibri" w:hAnsi="Calibri"/>
      <w:color w:val="1F2933"/>
      <w:sz w:val="22"/>
      <w:szCs w:val="22"/>
    </w:rPr>
  </w:style>
  <w:style w:type="paragraph" w:styleId="TOCHeading">
    <w:name w:val="TOC Heading"/>
    <w:basedOn w:val="Heading1"/>
    <w:next w:val="BodyText"/>
    <w:qFormat/>
    <w:pPr>
      <w:spacing w:before="280" w:after="140"/>
    </w:pPr>
    <w:rPr>
      <w:rFonts w:ascii="Calibri Light" w:cs="Calibri Light" w:eastAsia="Calibri Light" w:hAnsi="Calibri Light"/>
      <w:b/>
      <w:bCs/>
      <w:color w:val="0C447C"/>
      <w:sz w:val="34"/>
      <w:szCs w:val="34"/>
    </w:rPr>
  </w:style>
  <w:style w:type="paragraph" w:styleId="Tresc">
    <w:name w:val="Treść"/>
    <w:basedOn w:val="Normal"/>
    <w:next w:val="Tresc"/>
    <w:qFormat/>
    <w:pPr>
      <w:spacing w:line="312" w:after="120"/>
    </w:pPr>
    <w:rPr>
      <w:rFonts w:ascii="Calibri" w:cs="Calibri" w:eastAsia="Calibri" w:hAnsi="Calibri"/>
      <w:color w:val="1F2937"/>
      <w:sz w:val="22"/>
      <w:szCs w:val="22"/>
    </w:rPr>
  </w:style>
  <w:style w:type="paragraph" w:styleId="Lead">
    <w:name w:val="Lead"/>
    <w:basedOn w:val="Tresc"/>
    <w:next w:val="Tresc"/>
    <w:pPr>
      <w:spacing w:line="336" w:after="160"/>
    </w:pPr>
    <w:rPr>
      <w:rFonts w:ascii="Calibri" w:cs="Calibri" w:eastAsia="Calibri" w:hAnsi="Calibri"/>
      <w:color w:val="1F2937"/>
      <w:sz w:val="24"/>
      <w:szCs w:val="24"/>
    </w:rPr>
  </w:style>
  <w:style w:type="paragraph" w:styleId="Kicker">
    <w:name w:val="Kicker"/>
    <w:basedOn w:val="Normal"/>
    <w:next w:val="Heading1"/>
    <w:pPr>
      <w:spacing w:after="80"/>
    </w:pPr>
    <w:rPr>
      <w:rFonts w:ascii="Calibri" w:cs="Calibri" w:eastAsia="Calibri" w:hAnsi="Calibri"/>
      <w:b/>
      <w:bCs/>
      <w:color w:val="1D9E75"/>
      <w:sz w:val="18"/>
      <w:szCs w:val="18"/>
    </w:rPr>
  </w:style>
  <w:style w:type="paragraph" w:styleId="Podpis">
    <w:name w:val="Podpis"/>
    <w:basedOn w:val="Tresc"/>
    <w:next w:val="Tresc"/>
    <w:pPr>
      <w:spacing w:before="60" w:after="120"/>
    </w:pPr>
    <w:rPr>
      <w:rFonts w:ascii="Calibri" w:cs="Calibri" w:eastAsia="Calibri" w:hAnsi="Calibri"/>
      <w:i/>
      <w:iCs/>
      <w:color w:val="6B7280"/>
      <w:sz w:val="18"/>
      <w:szCs w:val="18"/>
    </w:rPr>
  </w:style>
  <w:style w:type="paragraph" w:styleId="Sygnatura">
    <w:name w:val="Sygnatura"/>
    <w:basedOn w:val="Tresc"/>
    <w:next w:val="Tresc"/>
    <w:pPr>
      <w:pBdr>
        <w:left w:val="single" w:color="1D9E75" w:sz="18" w:space="10"/>
      </w:pBdr>
      <w:shd w:fill="E2E9EF" w:val="clear"/>
      <w:spacing w:before="80" w:after="100"/>
      <w:ind w:left="180"/>
    </w:pPr>
    <w:rPr>
      <w:rFonts w:ascii="Calibri" w:cs="Calibri" w:eastAsia="Calibri" w:hAnsi="Calibri"/>
      <w:color w:val="1F2937"/>
      <w:sz w:val="19"/>
      <w:szCs w:val="19"/>
    </w:rPr>
  </w:style>
  <w:style w:type="paragraph" w:styleId="TOC1">
    <w:name w:val="TOC 1"/>
    <w:basedOn w:val="Tresc"/>
    <w:next w:val="TOC1"/>
    <w:pPr>
      <w:spacing w:after="70"/>
    </w:pPr>
    <w:rPr>
      <w:rFonts w:ascii="Calibri" w:cs="Calibri" w:eastAsia="Calibri" w:hAnsi="Calibri"/>
      <w:color w:val="083152"/>
      <w:sz w:val="20"/>
      <w:szCs w:val="20"/>
    </w:rPr>
  </w:style>
  <w:style w:type="paragraph" w:styleId="TOC2">
    <w:name w:val="TOC 2"/>
    <w:basedOn w:val="Tresc"/>
    <w:next w:val="TOC2"/>
    <w:pPr>
      <w:spacing w:after="50"/>
      <w:ind w:left="360"/>
    </w:pPr>
    <w:rPr>
      <w:rFonts w:ascii="Calibri" w:cs="Calibri" w:eastAsia="Calibri" w:hAnsi="Calibri"/>
      <w:color w:val="6B7280"/>
      <w:sz w:val="18"/>
      <w:szCs w:val="18"/>
    </w:rPr>
  </w:style>
  <w:style w:type="paragraph" w:styleId="NaglowekBezNumeru">
    <w:name w:val="Nagłówek bez numeru"/>
    <w:basedOn w:val="Heading1"/>
    <w:next w:val="Tresc"/>
    <w:qFormat/>
    <w:pPr>
      <w:spacing w:before="240" w:after="120"/>
    </w:pPr>
    <w:rPr>
      <w:rFonts w:ascii="Calibri Light" w:cs="Calibri Light" w:eastAsia="Calibri Light" w:hAnsi="Calibri Light"/>
      <w:color w:val="0C447C"/>
      <w:sz w:val="40"/>
      <w:szCs w:val="40"/>
    </w:rPr>
  </w:style>
  <w:style w:type="paragraph" w:styleId="NaglowekBezNumeru2">
    <w:name w:val="Nagłówek sekcji bez spisu"/>
    <w:basedOn w:val="Heading2"/>
    <w:next w:val="Tresc"/>
    <w:pPr>
      <w:spacing w:before="200" w:after="100"/>
    </w:pPr>
    <w:rPr>
      <w:rFonts w:ascii="Calibri Light" w:cs="Calibri Light" w:eastAsia="Calibri Light" w:hAnsi="Calibri Light"/>
      <w:b/>
      <w:bCs/>
      <w:color w:val="08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68067cdbea445939df340df264c8a4d44eaa733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DBR77</dc:title>
  <dc:creator>Consultify Document Studio</dc:creator>
  <dc:description>Consultify Document Studio · client_final_report · executive</dc:description>
  <cp:lastModifiedBy>Un-named</cp:lastModifiedBy>
  <cp:revision>1</cp:revision>
  <dcterms:created xsi:type="dcterms:W3CDTF">2026-09-13T14:23:43.336Z</dcterms:created>
  <dcterms:modified xsi:type="dcterms:W3CDTF">2026-09-13T14:23:43.336Z</dcterms:modified>
</cp:coreProperties>
</file>

<file path=docProps/custom.xml><?xml version="1.0" encoding="utf-8"?>
<Properties xmlns="http://schemas.openxmlformats.org/officeDocument/2006/custom-properties" xmlns:vt="http://schemas.openxmlformats.org/officeDocument/2006/docPropsVTypes"/>
</file>