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rPr>
          <w:color w:val="85182F"/>
        </w:rPr>
        <w:t xml:space="preserve">● </w:t>
      </w:r>
      <w:r>
        <w:rPr>
          <w:color w:val="85182F"/>
        </w:rPr>
        <w:t xml:space="preserve">C O N S U L T I F Y</w:t>
      </w:r>
    </w:p>
    <w:p>
      <w:pPr>
        <w:pStyle w:val="Kicker"/>
      </w:pPr>
      <w:r>
        <w:rPr>
          <w:color w:val="1D9E75"/>
        </w:rPr>
        <w:t xml:space="preserve">OCENA DOJRZAŁOŚCI CYFROWEJ · DIGITAL PATHFINDER</w:t>
      </w:r>
    </w:p>
    <w:p>
      <w:pPr>
        <w:pStyle w:val="DocStudioTitle"/>
      </w:pPr>
      <w:r>
        <w:t xml:space="preserve">DBR77</w:t>
      </w:r>
    </w:p>
    <w:p>
      <w:pPr>
        <w:pStyle w:val="Subtitle"/>
      </w:pPr>
      <w:r>
        <w:t xml:space="preserve">DRD Assessment - Jul 12,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Klient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DBR77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Profil działalności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Zatrudnienie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Okres oceny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12 lipca 2026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Oceniający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Piotr Wiśniewski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Sponsor po stronie klienta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Metodyka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Digital Pathfinder — metodyka oceny dojrzałości cyfrowej DRD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Sygnatura sesji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DRD-2026-0913-DBR-3A3A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Data wydania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13 września 2026 · Ocena zaktualizowana: 5 września 2026</w:t>
            </w:r>
          </w:p>
        </w:tc>
      </w:tr>
    </w:tbl>
    <w:p>
      <w:r>
        <w:br w:type="page"/>
      </w:r>
    </w:p>
    <w:p>
      <w:pPr>
        <w:pStyle w:val="Kicker"/>
        <w:pageBreakBefore/>
      </w:pPr>
      <w:r>
        <w:t xml:space="preserve">NAWIGACJA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Kicker"/>
        <w:keepNext/>
      </w:pPr>
      <w:r>
        <w:t xml:space="preserve">STRESZCZENIE</w:t>
      </w:r>
    </w:p>
    <w:p>
      <w:pPr>
        <w:pStyle w:val="Heading1"/>
        <w:pStyle w:val="Heading1"/>
        <w:keepNext/>
      </w:pPr>
      <w:r>
        <w:t xml:space="preserve">Streszczenie zarządcze</w:t>
      </w:r>
    </w:p>
    <w:p>
      <w:pPr>
        <w:pStyle w:val="Tresc"/>
      </w:pPr>
      <w:r>
        <w:t xml:space="preserve">Ocena obejmuje 7 osi i 39 obszarów. Finding istnieje dla 5 obszarów. Stan udokumentowany dotyczy 0 obszarów, stan niepełny 0, a stan zadeklarowany 5. Żaden obszar nie ma policzalnej luki, a liczba luk krytycznych wynosi 0. Trzy pierwsze obszary po uporządkowaniu malejąco według luki to 1A Procesy Sprzedaży z luką nieustaloną, 3A Modele E-commerce z luką nieustaloną, 4A Zbieranie Danych z luką nieustaloną. Ich poziomy obecne to 1A: 7, 3A: 2, 4A: 3, a docelowe 1A: nieustalony, 3A: nieustalony, 4A: nieustalony. Zestawienie opiera się na zapisanej ocenie, poziomach, lukach i stanach dowodowych. Jest to obraz policzalny, ograniczony do danych obecnych w zaakceptowanym kontrakcie raportu. Nie korzysta z benchmarku branżowego i nie dodaje oceny jakościowej poza zamrożonymi etykietami priorytetu oraz wiarygodności.</w:t>
      </w:r>
    </w:p>
    <w:p>
      <w:pPr>
        <w:pStyle w:val="Caption"/>
        <w:jc w:val="center"/>
      </w:pPr>
      <w:r>
        <w:drawing>
          <wp:inline distT="0" distB="0" distL="0" distR="0">
            <wp:extent cx="57721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Rysunek 1. Profil dojrzałości cyfrowej według siedmiu osi DRD.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Oś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Obecny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Docelowy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Luki krytyczne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43%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42%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pStyle w:val="Caption"/>
      </w:pPr>
      <w:r>
        <w:t xml:space="preserve">Tabela 1. Zestawienie siedmiu osi DRD.</w:t>
      </w:r>
    </w:p>
    <w:p>
      <w:pPr>
        <w:pStyle w:val="Heading2"/>
        <w:pStyle w:val="Heading2"/>
      </w:pPr>
      <w:r>
        <w:t xml:space="preserve">Luki krytyczne i rekomendacja główna</w:t>
      </w:r>
    </w:p>
    <w:p>
      <w:pPr>
        <w:pStyle w:val="Podpis"/>
      </w:pPr>
      <w:r>
        <w:t xml:space="preserve">Brak treści w tej sekcji — ocena nie zawiera danych, z których dałoby się ją napisać.</w:t>
      </w:r>
    </w:p>
    <w:p>
      <w:pPr>
        <w:pStyle w:val="Kicker"/>
        <w:keepNext/>
        <w:pageBreakBefore/>
      </w:pPr>
      <w:r>
        <w:t xml:space="preserve">Rozdział 1 z 7 · oś 1 struktury DRD</w:t>
      </w:r>
    </w:p>
    <w:p>
      <w:pPr>
        <w:pStyle w:val="Heading1"/>
        <w:pStyle w:val="Heading1"/>
        <w:keepNext/>
      </w:pPr>
      <w:r>
        <w:t xml:space="preserve">1. Procesy Cyfrowe</w:t>
      </w:r>
    </w:p>
    <w:p>
      <w:pPr>
        <w:pStyle w:val="Podpis"/>
      </w:pPr>
      <w:r>
        <w:t xml:space="preserve">Oś nie została oceniona. Brak treści w tej sekcji — ocena nie zawiera danych, z których dałoby się ją napisać.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"/>
        <w:gridCol w:w="544"/>
        <w:gridCol w:w="544"/>
        <w:gridCol w:w="544"/>
        <w:gridCol w:w="544"/>
        <w:gridCol w:w="544"/>
        <w:gridCol w:w="544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Sprzedaży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Marketingowe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Technologia Procesowa i R&amp;D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Zakupowe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Logistyczne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Produkcyjne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Jakości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Finansami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HR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2. Tabela obejmuje 9 obszarów osi 1. Kolumny poziomów pokazują skalę od 1 do 7; Luka jest różnicą między poziomem docelowym i obecnym, a Priorytet wynika z wielkości luki. Źródłem są dane zapisanej oceny z dnia 2026-09-13.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1A Procesy Sprzedaży</w:t>
      </w:r>
    </w:p>
    <w:p>
      <w:pPr>
        <w:pStyle w:val="Sygnatura"/>
      </w:pPr>
      <w:r>
        <w:t xml:space="preserve">Poziom obecny: 7 (Wsparcie AI) · Poziom docelowy: — (—) · Luka: — · Priorytet: — · Dowody: zadeklarowane</w:t>
      </w:r>
    </w:p>
    <w:p>
      <w:pPr>
        <w:pStyle w:val="Tresc"/>
      </w:pPr>
      <w:r>
        <w:t xml:space="preserve">Stan faktyczny: poziom obecny 7 — Wsparcie AI; liczba dowodów: 0. Ocena i wiarygodność: pewność średnia, stan dowodów zadeklarowane. Luka: nieustalona; priorytet: —; poziom docelowy nieustalony. Brak treści wymaganej do pełnego komentarza: znaczenie dla przedsiębiorstwa oraz najbliższy krok.</w:t>
      </w:r>
    </w:p>
    <w:p>
      <w:pPr>
        <w:pStyle w:val="Heading3"/>
        <w:pStyle w:val="Heading3"/>
      </w:pPr>
      <w:r>
        <w:t xml:space="preserve">1B Procesy Marketingowe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1B nie oceniono — brak danych źródłowych.</w:t>
      </w:r>
    </w:p>
    <w:p>
      <w:pPr>
        <w:pStyle w:val="Heading3"/>
        <w:pStyle w:val="Heading3"/>
      </w:pPr>
      <w:r>
        <w:t xml:space="preserve">1C Technologia Procesowa i R&amp;D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1C nie oceniono — brak danych źródłowych.</w:t>
      </w:r>
    </w:p>
    <w:p>
      <w:pPr>
        <w:pStyle w:val="Heading3"/>
        <w:pStyle w:val="Heading3"/>
      </w:pPr>
      <w:r>
        <w:t xml:space="preserve">1D Procesy Zakupowe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1D nie oceniono — brak danych źródłowych.</w:t>
      </w:r>
    </w:p>
    <w:p>
      <w:pPr>
        <w:pStyle w:val="Heading3"/>
        <w:pStyle w:val="Heading3"/>
      </w:pPr>
      <w:r>
        <w:t xml:space="preserve">1E Procesy Logistyczne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1E nie oceniono — brak danych źródłowych.</w:t>
      </w:r>
    </w:p>
    <w:p>
      <w:pPr>
        <w:pStyle w:val="Heading3"/>
        <w:pStyle w:val="Heading3"/>
      </w:pPr>
      <w:r>
        <w:t xml:space="preserve">1F Procesy Produkcyjne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1F nie oceniono — brak danych źródłowych.</w:t>
      </w:r>
    </w:p>
    <w:p>
      <w:pPr>
        <w:pStyle w:val="Heading3"/>
        <w:pStyle w:val="Heading3"/>
      </w:pPr>
      <w:r>
        <w:t xml:space="preserve">1G Procesy Jakości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1G nie oceniono — brak danych źródłowych.</w:t>
      </w:r>
    </w:p>
    <w:p>
      <w:pPr>
        <w:pStyle w:val="Heading3"/>
        <w:pStyle w:val="Heading3"/>
      </w:pPr>
      <w:r>
        <w:t xml:space="preserve">1H Zarządzanie Finansami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1H nie oceniono — brak danych źródłowych.</w:t>
      </w:r>
    </w:p>
    <w:p>
      <w:pPr>
        <w:pStyle w:val="Heading3"/>
        <w:pStyle w:val="Heading3"/>
      </w:pPr>
      <w:r>
        <w:t xml:space="preserve">1I Procesy HR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1I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Brak treści w tej sekcji — ocena nie zawiera danych, z których dałoby się ją napisać.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</w:tbl>
    <w:p>
      <w:pPr>
        <w:pStyle w:val="Kicker"/>
        <w:keepNext/>
        <w:pageBreakBefore/>
      </w:pPr>
      <w:r>
        <w:t xml:space="preserve">Rozdział 2 z 7 · oś 2 struktury DRD</w:t>
      </w:r>
    </w:p>
    <w:p>
      <w:pPr>
        <w:pStyle w:val="Heading1"/>
        <w:pStyle w:val="Heading1"/>
        <w:keepNext/>
      </w:pPr>
      <w:r>
        <w:t xml:space="preserve">2. Produkty Cyfrowe</w:t>
      </w:r>
    </w:p>
    <w:p>
      <w:pPr>
        <w:pStyle w:val="Podpis"/>
      </w:pPr>
      <w:r>
        <w:t xml:space="preserve">Oś nie została oceniona. Brak treści w tej sekcji — ocena nie zawiera danych, z których dałoby się ją napisać.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Społecznościowe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ICT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Dopasowanie Produktu do Oczekiwań Klienta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Skalowalność Produktu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4. Tabela obejmuje 5 obszarów osi 2. Kolumny poziomów pokazują skalę od 1 do 5; Luka jest różnicą między poziomem docelowym i obecnym, a Priorytet wynika z wielkości luki. Źródłem są dane zapisanej oceny z dnia 2026-09-13.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2A Produkty Cyfrowe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2A nie oceniono — brak danych źródłowych.</w:t>
      </w:r>
    </w:p>
    <w:p>
      <w:pPr>
        <w:pStyle w:val="Heading3"/>
        <w:pStyle w:val="Heading3"/>
      </w:pPr>
      <w:r>
        <w:t xml:space="preserve">2B Produkty Społecznościowe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2B nie oceniono — brak danych źródłowych.</w:t>
      </w:r>
    </w:p>
    <w:p>
      <w:pPr>
        <w:pStyle w:val="Heading3"/>
        <w:pStyle w:val="Heading3"/>
      </w:pPr>
      <w:r>
        <w:t xml:space="preserve">2C Produkty ICT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2C nie oceniono — brak danych źródłowych.</w:t>
      </w:r>
    </w:p>
    <w:p>
      <w:pPr>
        <w:pStyle w:val="Heading3"/>
        <w:pStyle w:val="Heading3"/>
      </w:pPr>
      <w:r>
        <w:t xml:space="preserve">2D Dopasowanie Produktu do Oczekiwań Klienta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2D nie oceniono — brak danych źródłowych.</w:t>
      </w:r>
    </w:p>
    <w:p>
      <w:pPr>
        <w:pStyle w:val="Heading3"/>
        <w:pStyle w:val="Heading3"/>
      </w:pPr>
      <w:r>
        <w:t xml:space="preserve">2E Skalowalność Produktu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Brak treści w tej sekcji — ocena nie zawiera danych, z których dałoby się ją napisać.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</w:tbl>
    <w:p>
      <w:pPr>
        <w:pStyle w:val="Kicker"/>
        <w:keepNext/>
        <w:pageBreakBefore/>
      </w:pPr>
      <w:r>
        <w:t xml:space="preserve">Rozdział 3 z 7 · oś 3 struktury DRD</w:t>
      </w:r>
    </w:p>
    <w:p>
      <w:pPr>
        <w:pStyle w:val="Heading1"/>
        <w:pStyle w:val="Heading1"/>
        <w:keepNext/>
      </w:pPr>
      <w:r>
        <w:t xml:space="preserve">3. Cyfrowe Modele Biznesowe</w:t>
      </w:r>
    </w:p>
    <w:p>
      <w:pPr>
        <w:pStyle w:val="Podpis"/>
      </w:pPr>
      <w:r>
        <w:t xml:space="preserve">Oś nie została oceniona. Brak treści w tej sekcji — ocena nie zawiera danych, z których dałoby się ją napisać.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E-commerce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Rozwiązania Platformowe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 As-a-Service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Współdzielenia Zasobów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Monetyzacji Danych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6. Tabela obejmuje 5 obszarów osi 3. Kolumny poziomów pokazują skalę od 1 do 5; Luka jest różnicą między poziomem docelowym i obecnym, a Priorytet wynika z wielkości luki. Źródłem są dane zapisanej oceny z dnia 2026-09-13.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3A Modele E-commerce</w:t>
      </w:r>
    </w:p>
    <w:p>
      <w:pPr>
        <w:pStyle w:val="Sygnatura"/>
      </w:pPr>
      <w:r>
        <w:t xml:space="preserve">Poziom obecny: 2 (Intermediate) · Poziom docelowy: — (—) · Luka: — · Priorytet: — · Dowody: zadeklarowane</w:t>
      </w:r>
    </w:p>
    <w:p>
      <w:pPr>
        <w:pStyle w:val="Tresc"/>
      </w:pPr>
      <w:r>
        <w:t xml:space="preserve">Stan faktyczny: poziom obecny 2 — Intermediate; liczba dowodów: 0. Ocena i wiarygodność: pewność średnia, stan dowodów zadeklarowane. Luka: nieustalona; priorytet: —; poziom docelowy nieustalony. Brak treści wymaganej do pełnego komentarza: znaczenie dla przedsiębiorstwa oraz najbliższy krok.</w:t>
      </w:r>
    </w:p>
    <w:p>
      <w:pPr>
        <w:pStyle w:val="Heading3"/>
        <w:pStyle w:val="Heading3"/>
      </w:pPr>
      <w:r>
        <w:t xml:space="preserve">3B Rozwiązania Platformowe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3B nie oceniono — brak danych źródłowych.</w:t>
      </w:r>
    </w:p>
    <w:p>
      <w:pPr>
        <w:pStyle w:val="Heading3"/>
        <w:pStyle w:val="Heading3"/>
      </w:pPr>
      <w:r>
        <w:t xml:space="preserve">3C Model As-a-Service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3C nie oceniono — brak danych źródłowych.</w:t>
      </w:r>
    </w:p>
    <w:p>
      <w:pPr>
        <w:pStyle w:val="Heading3"/>
        <w:pStyle w:val="Heading3"/>
      </w:pPr>
      <w:r>
        <w:t xml:space="preserve">3D Modele Współdzielenia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3D nie oceniono — brak danych źródłowych.</w:t>
      </w:r>
    </w:p>
    <w:p>
      <w:pPr>
        <w:pStyle w:val="Heading3"/>
        <w:pStyle w:val="Heading3"/>
      </w:pPr>
      <w:r>
        <w:t xml:space="preserve">3E Modele Monetyzacji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Brak treści w tej sekcji — ocena nie zawiera danych, z których dałoby się ją napisać.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</w:tbl>
    <w:p>
      <w:pPr>
        <w:pStyle w:val="Kicker"/>
        <w:keepNext/>
        <w:pageBreakBefore/>
      </w:pPr>
      <w:r>
        <w:t xml:space="preserve">Rozdział 4 z 7 · oś 4 struktury DRD</w:t>
      </w:r>
    </w:p>
    <w:p>
      <w:pPr>
        <w:pStyle w:val="Heading1"/>
        <w:pStyle w:val="Heading1"/>
        <w:keepNext/>
      </w:pPr>
      <w:r>
        <w:t xml:space="preserve">4. Zarządzanie Danymi</w:t>
      </w:r>
    </w:p>
    <w:p>
      <w:pPr>
        <w:pStyle w:val="Podpis"/>
      </w:pPr>
      <w:r>
        <w:t xml:space="preserve">Oś nie została oceniona. Brak treści w tej sekcji — ocena nie zawiera danych, z których dałoby się ją napisać.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"/>
        <w:gridCol w:w="544"/>
        <w:gridCol w:w="544"/>
        <w:gridCol w:w="544"/>
        <w:gridCol w:w="544"/>
        <w:gridCol w:w="544"/>
        <w:gridCol w:w="544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Zbieranie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Metodologia Przechowywania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Komunikacja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Analiza Big Data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Przetwarzanie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8. Tabela obejmuje 5 obszarów osi 4. Kolumny poziomów pokazują skalę od 1 do 7; Luka jest różnicą między poziomem docelowym i obecnym, a Priorytet wynika z wielkości luki. Źródłem są dane zapisanej oceny z dnia 2026-09-13.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4A Zbieranie Danych</w:t>
      </w:r>
    </w:p>
    <w:p>
      <w:pPr>
        <w:pStyle w:val="Sygnatura"/>
      </w:pPr>
      <w:r>
        <w:t xml:space="preserve">Poziom obecny: 3 (Advanced Technological Solutions) · Poziom docelowy: — (—) · Luka: — · Priorytet: — · Dowody: zadeklarowane</w:t>
      </w:r>
    </w:p>
    <w:p>
      <w:pPr>
        <w:pStyle w:val="Tresc"/>
      </w:pPr>
      <w:r>
        <w:t xml:space="preserve">Stan faktyczny: poziom obecny 3 — Advanced Technological Solutions; liczba dowodów: 0. Ocena i wiarygodność: pewność średnia, stan dowodów zadeklarowane. Luka: nieustalona; priorytet: —; poziom docelowy nieustalony. Brak treści wymaganej do pełnego komentarza: znaczenie dla przedsiębiorstwa oraz najbliższy krok.</w:t>
      </w:r>
    </w:p>
    <w:p>
      <w:pPr>
        <w:pStyle w:val="Heading3"/>
        <w:pStyle w:val="Heading3"/>
      </w:pPr>
      <w:r>
        <w:t xml:space="preserve">4B Metodologia Przechowywania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4B nie oceniono — brak danych źródłowych.</w:t>
      </w:r>
    </w:p>
    <w:p>
      <w:pPr>
        <w:pStyle w:val="Heading3"/>
        <w:pStyle w:val="Heading3"/>
      </w:pPr>
      <w:r>
        <w:t xml:space="preserve">4C Komunikacja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4C nie oceniono — brak danych źródłowych.</w:t>
      </w:r>
    </w:p>
    <w:p>
      <w:pPr>
        <w:pStyle w:val="Heading3"/>
        <w:pStyle w:val="Heading3"/>
      </w:pPr>
      <w:r>
        <w:t xml:space="preserve">4D Analiza Big Data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4D nie oceniono — brak danych źródłowych.</w:t>
      </w:r>
    </w:p>
    <w:p>
      <w:pPr>
        <w:pStyle w:val="Heading3"/>
        <w:pStyle w:val="Heading3"/>
      </w:pPr>
      <w:r>
        <w:t xml:space="preserve">4E Przetwarzanie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4E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Brak treści w tej sekcji — ocena nie zawiera danych, z których dałoby się ją napisać.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</w:tbl>
    <w:p>
      <w:pPr>
        <w:pStyle w:val="Kicker"/>
        <w:keepNext/>
        <w:pageBreakBefore/>
      </w:pPr>
      <w:r>
        <w:t xml:space="preserve">Rozdział 5 z 7 · oś 5 struktury DRD</w:t>
      </w:r>
    </w:p>
    <w:p>
      <w:pPr>
        <w:pStyle w:val="Heading1"/>
        <w:pStyle w:val="Heading1"/>
        <w:keepNext/>
      </w:pPr>
      <w:r>
        <w:t xml:space="preserve">5. Kultura Transformacji</w:t>
      </w:r>
    </w:p>
    <w:p>
      <w:pPr>
        <w:pStyle w:val="Podpis"/>
      </w:pPr>
      <w:r>
        <w:t xml:space="preserve">Oś nie została oceniona. Brak treści w tej sekcji — ocena nie zawiera danych, z których dałoby się ją napisać.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5"/>
        <w:gridCol w:w="635"/>
        <w:gridCol w:w="635"/>
        <w:gridCol w:w="635"/>
        <w:gridCol w:w="635"/>
        <w:gridCol w:w="635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Postawy przywódcze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Gotowość na zmianę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Ciągły rozwój kompetencji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innowacji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Dostępność zasobów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10. Tabela obejmuje 5 obszarów osi 5. Kolumny poziomów pokazują skalę od 1 do 6; Luka jest różnicą między poziomem docelowym i obecnym, a Priorytet wynika z wielkości luki. Źródłem są dane zapisanej oceny z dnia 2026-09-13.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5A Postawy przywódcze</w:t>
      </w:r>
    </w:p>
    <w:p>
      <w:pPr>
        <w:pStyle w:val="Sygnatura"/>
      </w:pPr>
      <w:r>
        <w:t xml:space="preserve">Poziom obecny: 2 (Autokratyczny) · Poziom docelowy: — (—) · Luka: — · Priorytet: — · Dowody: zadeklarowane</w:t>
      </w:r>
    </w:p>
    <w:p>
      <w:pPr>
        <w:pStyle w:val="Tresc"/>
      </w:pPr>
      <w:r>
        <w:t xml:space="preserve">Stan faktyczny: poziom obecny 2 — Autokratyczny; liczba dowodów: 0. Ocena i wiarygodność: pewność średnia, stan dowodów zadeklarowane. Luka: nieustalona; priorytet: —; poziom docelowy nieustalony. Brak treści wymaganej do pełnego komentarza: znaczenie dla przedsiębiorstwa oraz najbliższy krok.</w:t>
      </w:r>
    </w:p>
    <w:p>
      <w:pPr>
        <w:pStyle w:val="Heading3"/>
        <w:pStyle w:val="Heading3"/>
      </w:pPr>
      <w:r>
        <w:t xml:space="preserve">5B Gotowość na zmianę</w:t>
      </w:r>
    </w:p>
    <w:p>
      <w:pPr>
        <w:pStyle w:val="Sygnatura"/>
      </w:pPr>
      <w:r>
        <w:t xml:space="preserve">Poziom obecny: 3 (Dyrektywny) · Poziom docelowy: — (—) · Luka: — · Priorytet: — · Dowody: zadeklarowane</w:t>
      </w:r>
    </w:p>
    <w:p>
      <w:pPr>
        <w:pStyle w:val="Tresc"/>
      </w:pPr>
      <w:r>
        <w:t xml:space="preserve">Stan faktyczny: poziom obecny 3 — Dyrektywny; liczba dowodów: 0. Ocena i wiarygodność: pewność średnia, stan dowodów zadeklarowane. Luka: nieustalona; priorytet: —; poziom docelowy nieustalony. Brak treści wymaganej do pełnego komentarza: znaczenie dla przedsiębiorstwa oraz najbliższy krok.</w:t>
      </w:r>
    </w:p>
    <w:p>
      <w:pPr>
        <w:pStyle w:val="Heading3"/>
        <w:pStyle w:val="Heading3"/>
      </w:pPr>
      <w:r>
        <w:t xml:space="preserve">5C Ciągły rozwój kompetencji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5C nie oceniono — brak danych źródłowych.</w:t>
      </w:r>
    </w:p>
    <w:p>
      <w:pPr>
        <w:pStyle w:val="Heading3"/>
        <w:pStyle w:val="Heading3"/>
      </w:pPr>
      <w:r>
        <w:t xml:space="preserve">5D Kultura innowacji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5D nie oceniono — brak danych źródłowych.</w:t>
      </w:r>
    </w:p>
    <w:p>
      <w:pPr>
        <w:pStyle w:val="Heading3"/>
        <w:pStyle w:val="Heading3"/>
      </w:pPr>
      <w:r>
        <w:t xml:space="preserve">5E Dostępność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5E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Brak treści w tej sekcji — ocena nie zawiera danych, z których dałoby się ją napisać.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</w:tbl>
    <w:p>
      <w:pPr>
        <w:pStyle w:val="Kicker"/>
        <w:keepNext/>
        <w:pageBreakBefore/>
      </w:pPr>
      <w:r>
        <w:t xml:space="preserve">Rozdział 6 z 7 · oś 6 struktury DRD</w:t>
      </w:r>
    </w:p>
    <w:p>
      <w:pPr>
        <w:pStyle w:val="Heading1"/>
        <w:pStyle w:val="Heading1"/>
        <w:keepNext/>
      </w:pPr>
      <w:r>
        <w:t xml:space="preserve">6. Cyberbezpieczeństwo</w:t>
      </w:r>
    </w:p>
    <w:p>
      <w:pPr>
        <w:pStyle w:val="Podpis"/>
      </w:pPr>
      <w:r>
        <w:t xml:space="preserve">Oś nie została oceniona. Brak treści w tej sekcji — ocena nie zawiera danych, z których dałoby się ją napisać.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5"/>
        <w:gridCol w:w="635"/>
        <w:gridCol w:w="635"/>
        <w:gridCol w:w="635"/>
        <w:gridCol w:w="635"/>
        <w:gridCol w:w="635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Strategia i zarządzanie ryzykiem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sieci i systemów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danych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Edukacja i jakość systemów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Plany awaryjne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12. Tabela obejmuje 5 obszarów osi 6. Kolumny poziomów pokazują skalę od 1 do 6; Luka jest różnicą między poziomem docelowym i obecnym, a Priorytet wynika z wielkości luki. Źródłem są dane zapisanej oceny z dnia 2026-09-13.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6A Strategia i zarządzanie ryzykiem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6A nie oceniono — brak danych źródłowych.</w:t>
      </w:r>
    </w:p>
    <w:p>
      <w:pPr>
        <w:pStyle w:val="Heading3"/>
        <w:pStyle w:val="Heading3"/>
      </w:pPr>
      <w:r>
        <w:t xml:space="preserve">6B Ochrona sieci i 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6B nie oceniono — brak danych źródłowych.</w:t>
      </w:r>
    </w:p>
    <w:p>
      <w:pPr>
        <w:pStyle w:val="Heading3"/>
        <w:pStyle w:val="Heading3"/>
      </w:pPr>
      <w:r>
        <w:t xml:space="preserve">6C Ochrona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6C nie oceniono — brak danych źródłowych.</w:t>
      </w:r>
    </w:p>
    <w:p>
      <w:pPr>
        <w:pStyle w:val="Heading3"/>
        <w:pStyle w:val="Heading3"/>
      </w:pPr>
      <w:r>
        <w:t xml:space="preserve">6D Edukacja i jakość 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6D nie oceniono — brak danych źródłowych.</w:t>
      </w:r>
    </w:p>
    <w:p>
      <w:pPr>
        <w:pStyle w:val="Heading3"/>
        <w:pStyle w:val="Heading3"/>
      </w:pPr>
      <w:r>
        <w:t xml:space="preserve">6E Plany awaryjne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Brak treści w tej sekcji — ocena nie zawiera danych, z których dałoby się ją napisać.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</w:tbl>
    <w:p>
      <w:pPr>
        <w:pStyle w:val="Kicker"/>
        <w:keepNext/>
        <w:pageBreakBefore/>
      </w:pPr>
      <w:r>
        <w:t xml:space="preserve">Rozdział 7 z 7 · oś 7 struktury DRD</w:t>
      </w:r>
    </w:p>
    <w:p>
      <w:pPr>
        <w:pStyle w:val="Heading1"/>
        <w:pStyle w:val="Heading1"/>
        <w:keepNext/>
      </w:pPr>
      <w:r>
        <w:t xml:space="preserve">7. Dojrzałość AI</w:t>
      </w:r>
    </w:p>
    <w:p>
      <w:pPr>
        <w:pStyle w:val="Podpis"/>
      </w:pPr>
      <w:r>
        <w:t xml:space="preserve">Oś nie została oceniona. Brak treści w tej sekcji — ocena nie zawiera danych, z których dałoby się ją napisać.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Dane i Fundamenty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Wspierane przez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AI w Produktach i Usługach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Governance, Bezpieczeństwo i Etyka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Kompetencje i Kultura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14. Tabela obejmuje 5 obszarów osi 7. Kolumny poziomów pokazują skalę od 1 do 5; Luka jest różnicą między poziomem docelowym i obecnym, a Priorytet wynika z wielkości luki. Źródłem są dane zapisanej oceny z dnia 2026-09-13.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7A Dane i Fundamenty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7A nie oceniono — brak danych źródłowych.</w:t>
      </w:r>
    </w:p>
    <w:p>
      <w:pPr>
        <w:pStyle w:val="Heading3"/>
        <w:pStyle w:val="Heading3"/>
      </w:pPr>
      <w:r>
        <w:t xml:space="preserve">7B Procesy Wspierane przez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7B nie oceniono — brak danych źródłowych.</w:t>
      </w:r>
    </w:p>
    <w:p>
      <w:pPr>
        <w:pStyle w:val="Heading3"/>
        <w:pStyle w:val="Heading3"/>
      </w:pPr>
      <w:r>
        <w:t xml:space="preserve">7C AI w Produktach i Usługach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7C nie oceniono — brak danych źródłowych.</w:t>
      </w:r>
    </w:p>
    <w:p>
      <w:pPr>
        <w:pStyle w:val="Heading3"/>
        <w:pStyle w:val="Heading3"/>
      </w:pPr>
      <w:r>
        <w:t xml:space="preserve">7D Governance, Bezpieczeństwo i Etyka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7D nie oceniono — brak danych źródłowych.</w:t>
      </w:r>
    </w:p>
    <w:p>
      <w:pPr>
        <w:pStyle w:val="Heading3"/>
        <w:pStyle w:val="Heading3"/>
      </w:pPr>
      <w:r>
        <w:t xml:space="preserve">7E Kompetencje i Kultura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Brak treści w tej sekcji — ocena nie zawiera danych, z których dałoby się ją napisać.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</w:tbl>
    <w:p>
      <w:pPr>
        <w:pStyle w:val="Kicker"/>
        <w:keepNext/>
        <w:pageBreakBefore/>
      </w:pPr>
      <w:r>
        <w:t xml:space="preserve">SYNTEZA</w:t>
      </w:r>
    </w:p>
    <w:p>
      <w:pPr>
        <w:pStyle w:val="Heading1"/>
        <w:pStyle w:val="Heading1"/>
        <w:keepNext/>
      </w:pPr>
      <w:r>
        <w:t xml:space="preserve">8. Wnioski końcowe</w:t>
      </w:r>
    </w:p>
    <w:p>
      <w:pPr>
        <w:pStyle w:val="Tresc"/>
      </w:pPr>
      <w:r>
        <w:t xml:space="preserve">W całym programie oceniono 5 z 39 obszarów w 7 osiach. Żaden obszar nie ma policzalnej luki, a liczba luk krytycznych wynosi 0. Stan udokumentowany dotyczy 0 obszarów, niepełny 0, a zadeklarowany 5. 1A Procesy Sprzedaży: poziom obecny 7, docelowy nieustalony, luka nieustalona; bez zapisanej rekomendacji. 3A Modele E-commerce: poziom obecny 2, docelowy nieustalony, luka nieustalona; bez zapisanej rekomendacji. 4A Zbieranie Danych: poziom obecny 3, docelowy nieustalony, luka nieustalona; bez zapisanej rekomendacji. 5A Postawy przywódcze: poziom obecny 2, docelowy nieustalony, luka nieustalona; bez zapisanej rekomendacji. 5B Gotowość na zmianę: poziom obecny 3, docelowy nieustalony, luka nieustalona; bez zapisanej rekomendacji. Ograniczenia zapisanej oceny: „Wynik pochodzi z oceny prowadzonej w warsztacie DRD (magazyn zastany), nie z zamrożonego Outputu jądra metodycznego — poziomy są zadeklarowane, bez załączonych dowodów.”. Synteza nie dodaje porównań rynkowych, horyzontu czasowego ani prognozy. Wszystkie liczby pochodzą z findingów albo z policzalnych mianowników kontraktu.</w:t>
      </w:r>
    </w:p>
    <w:p>
      <w:pPr>
        <w:pStyle w:val="Heading2"/>
        <w:pStyle w:val="Heading2"/>
      </w:pPr>
      <w:r>
        <w:t xml:space="preserve">Linia decyzyjna programu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</w:tbl>
    <w:p>
      <w:pPr>
        <w:pStyle w:val="Kicker"/>
        <w:keepNext/>
        <w:pageBreakBefore/>
      </w:pPr>
      <w:r>
        <w:t xml:space="preserve">ZAŁĄCZNIK</w:t>
      </w:r>
    </w:p>
    <w:p>
      <w:pPr>
        <w:pStyle w:val="Heading1"/>
        <w:pStyle w:val="Heading1"/>
        <w:keepNext/>
      </w:pPr>
      <w:r>
        <w:t xml:space="preserve">Załącznik A. Rejestr luk</w:t>
      </w:r>
    </w:p>
    <w:p>
      <w:pPr>
        <w:pStyle w:val="Kicker"/>
        <w:keepNext/>
      </w:pPr>
      <w:r>
        <w:t xml:space="preserve">ZAŁĄCZNIK</w:t>
      </w:r>
    </w:p>
    <w:p>
      <w:pPr>
        <w:pStyle w:val="Heading1"/>
        <w:pStyle w:val="Heading1"/>
        <w:keepNext/>
      </w:pPr>
      <w:r>
        <w:t xml:space="preserve">Załącznik B. Nota metodyczna</w:t>
      </w:r>
    </w:p>
    <w:p>
      <w:pPr>
        <w:pStyle w:val="Tresc"/>
      </w:pPr>
      <w:r>
        <w:t xml:space="preserve">Ocena została przeprowadzona według struktury DRD: 7 osi i 39 obszarów. Każdy obszar ma zapisany poziom obecny i poziom docelowy na skali własnej dla swojej osi. Luka jest różnicą poziomu docelowego i obecnego; priorytet wynika wyłącznie z wielkości luki i nie jest oceną ekspercką. Kolumna „Obecny" i „Docelowy" w zestawieniu osi to średnia poziomów obszarów tej osi wyrażona jako procent maksymalnego poziomu osi.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Oś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Nazwa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Liczba obszarów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Skala poziomów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1–7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1–5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1–5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1–7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1–6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1–6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1–5</w:t>
            </w:r>
          </w:p>
        </w:tc>
      </w:tr>
    </w:tbl>
    <w:p>
      <w:pPr>
        <w:pStyle w:val="Caption"/>
      </w:pPr>
      <w:r>
        <w:t xml:space="preserve">Tabela 17. Struktura metodyki DRD użyta w tej ocenie.</w:t>
      </w:r>
    </w:p>
    <w:p>
      <w:pPr>
        <w:pStyle w:val="Heading2"/>
        <w:pStyle w:val="Heading2"/>
      </w:pPr>
      <w:r>
        <w:t xml:space="preserve">Źródło danych i ograniczenia</w:t>
      </w:r>
    </w:p>
    <w:p>
      <w:pPr>
        <w:pStyle w:val="Tresc"/>
      </w:pPr>
      <w:r>
        <w:t xml:space="preserve">Źródłem wyniku jest ocena prowadzona w warsztacie DRD (magazyn zastany), nie zamrożony Output jądra metodycznego. Oznacza to, że poziomy zostały zadeklarowane przez oceniającego i nie mają załączonych dowodów; kolumna stanu dowodowego w całym raporcie przyjmuje wartość „zadeklarowane". Wersja metodyki zapisana przy tej ocenie: DRD 7 osi / 39 obszarów (ocena zastana — bez przypiętej wersji paczki). Sygnatura oceny: b901d4a3-fd10-42a6-97cb-accf57e0fd2d.</w:t>
      </w:r>
    </w:p>
    <w:p>
      <w:pPr>
        <w:pStyle w:val="Tresc"/>
      </w:pPr>
      <w:r>
        <w:t xml:space="preserve">Raport nie zawiera porównania z rynkiem, prognozy ani horyzontu czasowego — te dane nie istnieją w ocenie i nie zostały dopisane. Obszar bez zapisanego poziomu jest oznaczony jako nieoceniony, a nie jako poziom zerowy.</w:t>
      </w:r>
    </w:p>
    <w:p>
      <w:pPr>
        <w:pStyle w:val="Heading1"/>
        <w:pStyle w:val="Heading1"/>
      </w:pPr>
      <w:r>
        <w:t xml:space="preserve">Źródła i identyfikowalność</w:t>
      </w:r>
    </w:p>
    <w:p>
      <w:pPr>
        <w:pStyle w:val="AssumptionBody"/>
      </w:pPr>
      <w:r>
        <w:t xml:space="preserve">Nie dołączono źródeł. Merytoryczne bloki treści oznaczono jako założenia i przed dystrybucją do klienta wymagają pakietu źródłowego.</w:t>
      </w:r>
    </w:p>
    <w:sectPr>
      <w:footerReference w:type="default" r:id="rId6"/>
      <w:footerReference w:type="first" r:id="rId7"/>
      <w:pgSz w:w="11906" w:h="16838" w:orient="portrait"/>
      <w:pgMar w:top="1247" w:right="1247" w:bottom="1134" w:left="1247" w:header="708" w:footer="62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FE8" w:sz="2" w:space="6"/>
      </w:pBdr>
      <w:tabs>
        <w:tab w:val="center" w:pos="4706"/>
        <w:tab w:val="right" w:pos="9412"/>
      </w:tabs>
      <w:jc w:val="left"/>
    </w:pPr>
    <w:r>
      <w:rPr>
        <w:color w:val="6B7280"/>
        <w:sz w:val="16"/>
        <w:szCs w:val="16"/>
      </w:rPr>
      <w:t xml:space="preserve">Poufne — DBR77</w:t>
    </w:r>
    <w:r>
      <w:rPr>
        <w:sz w:val="16"/>
        <w:szCs w:val="16"/>
      </w:rPr>
      <w:t xml:space="preserve">	</w:t>
    </w:r>
    <w:r>
      <w:rPr>
        <w:color w:val="6B7280"/>
        <w:sz w:val="16"/>
        <w:szCs w:val="16"/>
      </w:rPr>
      <w:t xml:space="preserve">Strona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z 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sz w:val="16"/>
        <w:szCs w:val="16"/>
      </w:rPr>
      <w:t xml:space="preserve">	</w:t>
    </w:r>
    <w:r>
      <w:rPr>
        <w:color w:val="85182F"/>
        <w:sz w:val="16"/>
        <w:szCs w:val="16"/>
      </w:rPr>
      <w:t xml:space="preserve">● </w:t>
    </w:r>
    <w:r>
      <w:rPr>
        <w:color w:val="6B7280"/>
        <w:sz w:val="16"/>
        <w:szCs w:val="16"/>
      </w:rPr>
      <w:t xml:space="preserve">Consultify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pl-PL" w:eastAsia="pl-PL" w:bidi="pl-P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DocStudioTitle">
    <w:name w:val="Doc Studio Title"/>
    <w:basedOn w:val="Normal"/>
    <w:next w:val="Subtitle"/>
    <w:qFormat/>
    <w:pPr>
      <w:spacing w:before="600" w:after="200"/>
      <w:jc w:val="center"/>
    </w:pPr>
    <w:rPr>
      <w:rFonts w:ascii="Calibri Light" w:cs="Calibri Light" w:eastAsia="Calibri Light" w:hAnsi="Calibri Light"/>
      <w:b/>
      <w:bCs/>
      <w:color w:val="0A2F57"/>
      <w:sz w:val="56"/>
      <w:szCs w:val="56"/>
    </w:rPr>
  </w:style>
  <w:style w:type="paragraph" w:styleId="Subtitle">
    <w:name w:val="Subtitle"/>
    <w:basedOn w:val="Normal"/>
    <w:next w:val="BodyText"/>
    <w:qFormat/>
    <w:pPr>
      <w:spacing w:after="80"/>
      <w:jc w:val="center"/>
    </w:pPr>
    <w:rPr>
      <w:rFonts w:ascii="Calibri" w:cs="Calibri" w:eastAsia="Calibri" w:hAnsi="Calibri"/>
      <w:i/>
      <w:iCs/>
      <w:color w:val="475569"/>
      <w:sz w:val="26"/>
      <w:szCs w:val="26"/>
    </w:rPr>
  </w:style>
  <w:style w:type="paragraph" w:styleId="Heading1">
    <w:name w:val="Heading 1"/>
    <w:basedOn w:val="Normal"/>
    <w:next w:val="BodyText"/>
    <w:qFormat/>
    <w:pPr>
      <w:pBdr>
        <w:bottom w:val="single" w:color="1D9E75" w:sz="8" w:space="6"/>
      </w:pBd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BodyText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BodyText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BodyText">
    <w:name w:val="Body Text"/>
    <w:basedOn w:val="Normal"/>
    <w:next w:val="BodyText"/>
    <w:qFormat/>
    <w:pPr>
      <w:spacing w:after="120"/>
    </w:pPr>
    <w:rPr>
      <w:rFonts w:ascii="Calibri" w:cs="Calibri" w:eastAsia="Calibri" w:hAnsi="Calibri"/>
      <w:color w:val="1F2933"/>
      <w:sz w:val="22"/>
      <w:szCs w:val="22"/>
    </w:rPr>
  </w:style>
  <w:style w:type="paragraph" w:styleId="BlockQuote">
    <w:name w:val="Block Quote"/>
    <w:basedOn w:val="BodyText"/>
    <w:next w:val="BodyText"/>
    <w:pPr>
      <w:pBdr>
        <w:left w:val="single" w:color="0C447C" w:sz="18" w:space="12"/>
      </w:pBdr>
      <w:spacing w:before="80" w:after="120"/>
      <w:ind w:left="360"/>
    </w:pPr>
    <w:rPr>
      <w:rFonts w:ascii="Calibri" w:cs="Calibri" w:eastAsia="Calibri" w:hAnsi="Calibri"/>
      <w:i/>
      <w:iCs/>
      <w:color w:val="475569"/>
      <w:sz w:val="22"/>
      <w:szCs w:val="22"/>
    </w:rPr>
  </w:style>
  <w:style w:type="paragraph" w:styleId="Caption">
    <w:name w:val="Caption"/>
    <w:basedOn w:val="Normal"/>
    <w:next w:val="BodyText"/>
    <w:pPr>
      <w:spacing w:before="60" w:after="120"/>
    </w:pPr>
    <w:rPr>
      <w:rFonts w:ascii="Calibri" w:cs="Calibri" w:eastAsia="Calibri" w:hAnsi="Calibri"/>
      <w:i/>
      <w:iCs/>
      <w:color w:val="64748B"/>
      <w:sz w:val="18"/>
      <w:szCs w:val="18"/>
    </w:rPr>
  </w:style>
  <w:style w:type="paragraph" w:styleId="DocStudioFootnote">
    <w:name w:val="Doc Studio Footnote"/>
    <w:basedOn w:val="Normal"/>
    <w:next w:val="BodyText"/>
    <w:pPr>
      <w:spacing w:after="40"/>
    </w:pPr>
    <w:rPr>
      <w:rFonts w:ascii="Calibri" w:cs="Calibri" w:eastAsia="Calibri" w:hAnsi="Calibri"/>
      <w:color w:val="475569"/>
      <w:sz w:val="18"/>
      <w:szCs w:val="18"/>
    </w:rPr>
  </w:style>
  <w:style w:type="paragraph" w:styleId="AssumptionBody">
    <w:name w:val="Assumption Body"/>
    <w:basedOn w:val="BodyText"/>
    <w:next w:val="BodyText"/>
    <w:pPr>
      <w:spacing w:after="120"/>
    </w:pPr>
    <w:rPr>
      <w:rFonts w:ascii="Calibri" w:cs="Calibri" w:eastAsia="Calibri" w:hAnsi="Calibri"/>
      <w:i/>
      <w:iCs/>
      <w:color w:val="92400E"/>
      <w:sz w:val="22"/>
      <w:szCs w:val="22"/>
    </w:rPr>
  </w:style>
  <w:style w:type="paragraph" w:styleId="Callout">
    <w:name w:val="Callout"/>
    <w:basedOn w:val="BodyText"/>
    <w:next w:val="BodyText"/>
    <w:pPr>
      <w:pBdr>
        <w:left w:val="single" w:color="1D9E75" w:sz="24" w:space="12"/>
      </w:pBdr>
      <w:shd w:fill="F5F8FC" w:val="clear"/>
      <w:spacing w:before="80" w:after="120"/>
      <w:ind w:left="240"/>
    </w:pPr>
    <w:rPr>
      <w:rFonts w:ascii="Calibri" w:cs="Calibri" w:eastAsia="Calibri" w:hAnsi="Calibri"/>
      <w:color w:val="1F2933"/>
      <w:sz w:val="22"/>
      <w:szCs w:val="22"/>
    </w:rPr>
  </w:style>
  <w:style w:type="paragraph" w:styleId="SourceList">
    <w:name w:val="Source List"/>
    <w:basedOn w:val="BodyText"/>
    <w:next w:val="SourceList"/>
    <w:pPr>
      <w:spacing w:after="60"/>
    </w:pPr>
    <w:rPr>
      <w:rFonts w:ascii="Calibri" w:cs="Calibri" w:eastAsia="Calibri" w:hAnsi="Calibri"/>
      <w:color w:val="1F2933"/>
      <w:sz w:val="22"/>
      <w:szCs w:val="22"/>
    </w:rPr>
  </w:style>
  <w:style w:type="paragraph" w:styleId="TOCHeading">
    <w:name w:val="TOC Heading"/>
    <w:basedOn w:val="Heading1"/>
    <w:next w:val="BodyText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Tresc">
    <w:name w:val="Treść"/>
    <w:basedOn w:val="Normal"/>
    <w:next w:val="Tresc"/>
    <w:qFormat/>
    <w:pPr>
      <w:spacing w:line="312" w:after="120"/>
    </w:pPr>
    <w:rPr>
      <w:rFonts w:ascii="Calibri" w:cs="Calibri" w:eastAsia="Calibri" w:hAnsi="Calibri"/>
      <w:color w:val="1F2937"/>
      <w:sz w:val="22"/>
      <w:szCs w:val="22"/>
    </w:rPr>
  </w:style>
  <w:style w:type="paragraph" w:styleId="Lead">
    <w:name w:val="Lead"/>
    <w:basedOn w:val="Tresc"/>
    <w:next w:val="Tresc"/>
    <w:pPr>
      <w:spacing w:line="336" w:after="160"/>
    </w:pPr>
    <w:rPr>
      <w:rFonts w:ascii="Calibri" w:cs="Calibri" w:eastAsia="Calibri" w:hAnsi="Calibri"/>
      <w:color w:val="1F2937"/>
      <w:sz w:val="24"/>
      <w:szCs w:val="24"/>
    </w:rPr>
  </w:style>
  <w:style w:type="paragraph" w:styleId="Kicker">
    <w:name w:val="Kicker"/>
    <w:basedOn w:val="Normal"/>
    <w:next w:val="Heading1"/>
    <w:pPr>
      <w:spacing w:after="80"/>
    </w:pPr>
    <w:rPr>
      <w:rFonts w:ascii="Calibri" w:cs="Calibri" w:eastAsia="Calibri" w:hAnsi="Calibri"/>
      <w:b/>
      <w:bCs/>
      <w:color w:val="1D9E75"/>
      <w:sz w:val="18"/>
      <w:szCs w:val="18"/>
    </w:rPr>
  </w:style>
  <w:style w:type="paragraph" w:styleId="Podpis">
    <w:name w:val="Podpis"/>
    <w:basedOn w:val="Tresc"/>
    <w:next w:val="Tresc"/>
    <w:pPr>
      <w:spacing w:before="60" w:after="120"/>
    </w:pPr>
    <w:rPr>
      <w:rFonts w:ascii="Calibri" w:cs="Calibri" w:eastAsia="Calibri" w:hAnsi="Calibri"/>
      <w:i/>
      <w:iCs/>
      <w:color w:val="6B7280"/>
      <w:sz w:val="18"/>
      <w:szCs w:val="18"/>
    </w:rPr>
  </w:style>
  <w:style w:type="paragraph" w:styleId="Sygnatura">
    <w:name w:val="Sygnatura"/>
    <w:basedOn w:val="Tresc"/>
    <w:next w:val="Tresc"/>
    <w:pPr>
      <w:pBdr>
        <w:left w:val="single" w:color="1D9E75" w:sz="18" w:space="10"/>
      </w:pBdr>
      <w:shd w:fill="E2E9EF" w:val="clear"/>
      <w:spacing w:before="80" w:after="100"/>
      <w:ind w:left="180"/>
    </w:pPr>
    <w:rPr>
      <w:rFonts w:ascii="Calibri" w:cs="Calibri" w:eastAsia="Calibri" w:hAnsi="Calibri"/>
      <w:color w:val="1F2937"/>
      <w:sz w:val="19"/>
      <w:szCs w:val="19"/>
    </w:rPr>
  </w:style>
  <w:style w:type="paragraph" w:styleId="TOC1">
    <w:name w:val="TOC 1"/>
    <w:basedOn w:val="Tresc"/>
    <w:next w:val="TOC1"/>
    <w:pPr>
      <w:spacing w:after="70"/>
    </w:pPr>
    <w:rPr>
      <w:rFonts w:ascii="Calibri" w:cs="Calibri" w:eastAsia="Calibri" w:hAnsi="Calibri"/>
      <w:color w:val="083152"/>
      <w:sz w:val="20"/>
      <w:szCs w:val="20"/>
    </w:rPr>
  </w:style>
  <w:style w:type="paragraph" w:styleId="TOC2">
    <w:name w:val="TOC 2"/>
    <w:basedOn w:val="Tresc"/>
    <w:next w:val="TOC2"/>
    <w:pPr>
      <w:spacing w:after="50"/>
      <w:ind w:left="360"/>
    </w:pPr>
    <w:rPr>
      <w:rFonts w:ascii="Calibri" w:cs="Calibri" w:eastAsia="Calibri" w:hAnsi="Calibri"/>
      <w:color w:val="6B7280"/>
      <w:sz w:val="18"/>
      <w:szCs w:val="18"/>
    </w:rPr>
  </w:style>
  <w:style w:type="paragraph" w:styleId="NaglowekBezNumeru">
    <w:name w:val="Nagłówek bez numeru"/>
    <w:basedOn w:val="Heading1"/>
    <w:next w:val="Tresc"/>
    <w:qFormat/>
    <w:pPr>
      <w:spacing w:before="240" w:after="120"/>
    </w:pPr>
    <w:rPr>
      <w:rFonts w:ascii="Calibri Light" w:cs="Calibri Light" w:eastAsia="Calibri Light" w:hAnsi="Calibri Light"/>
      <w:color w:val="0C447C"/>
      <w:sz w:val="40"/>
      <w:szCs w:val="40"/>
    </w:rPr>
  </w:style>
  <w:style w:type="paragraph" w:styleId="NaglowekBezNumeru2">
    <w:name w:val="Nagłówek sekcji bez spisu"/>
    <w:basedOn w:val="Heading2"/>
    <w:next w:val="Tresc"/>
    <w:pPr>
      <w:spacing w:before="200" w:after="100"/>
    </w:pPr>
    <w:rPr>
      <w:rFonts w:ascii="Calibri Light" w:cs="Calibri Light" w:eastAsia="Calibri Light" w:hAnsi="Calibri Light"/>
      <w:b/>
      <w:bCs/>
      <w:color w:val="083152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159958398eff7493fced42942b5af060a2bf7e02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DBR77</dc:title>
  <dc:creator>Consultify Document Studio</dc:creator>
  <dc:description>Consultify Document Studio · client_final_report · executive</dc:description>
  <cp:lastModifiedBy>Un-named</cp:lastModifiedBy>
  <cp:revision>1</cp:revision>
  <dcterms:created xsi:type="dcterms:W3CDTF">2026-09-13T14:23:43.911Z</dcterms:created>
  <dcterms:modified xsi:type="dcterms:W3CDTF">2026-09-13T14:23:43.911Z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