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r>
              <w:rPr>
                <w:rFonts w:ascii="Arial" w:cs="Arial" w:eastAsia="Arial" w:hAnsi="Arial"/>
                <w:b/>
                <w:bCs/>
                <w:color w:val="1B2A41"/>
                <w:sz w:val="18"/>
                <w:szCs w:val="18"/>
              </w:rPr>
              <w:t xml:space="preserve">Consultify · DBR77</w:t>
            </w:r>
          </w:p>
        </w:tc>
        <w:tc>
          <w:tcPr>
            <w:tcW w:type="pct" w:w="28%"/>
            <w:tcBorders>
              <w:top w:val="single" w:color="D8DEE8" w:sz="4"/>
              <w:left w:val="single" w:color="D8DEE8" w:sz="4"/>
              <w:bottom w:val="single" w:color="D8DEE8" w:sz="4"/>
              <w:right w:val="single" w:color="D8DEE8" w:sz="4"/>
            </w:tcBorders>
            <w:tcMar>
              <w:top w:type="dxa" w:w="140"/>
              <w:bottom w:type="dxa" w:w="140"/>
            </w:tcMar>
          </w:tcPr>
          <w:p>
            <w:pPr>
              <w:jc w:val="center"/>
            </w:pPr>
            <w:r>
              <w:rPr>
                <w:rFonts w:ascii="Arial" w:cs="Arial" w:eastAsia="Arial" w:hAnsi="Arial"/>
                <w:color w:val="667085"/>
                <w:sz w:val="15"/>
                <w:szCs w:val="15"/>
              </w:rPr>
              <w:t xml:space="preserve">[ LOGO ]</w:t>
            </w:r>
          </w:p>
        </w:tc>
      </w:tr>
    </w:tbl>
    <w:p>
      <w:pPr>
        <w:spacing w:after="2600"/>
      </w:pPr>
    </w:p>
    <w:p>
      <w:pPr>
        <w:spacing w:after="160"/>
      </w:pPr>
      <w:r>
        <w:rPr>
          <w:rFonts w:ascii="Arial" w:cs="Arial" w:eastAsia="Arial" w:hAnsi="Arial"/>
          <w:b/>
          <w:bCs/>
          <w:color w:val="2563EB"/>
          <w:spacing w:val="32"/>
          <w:sz w:val="16"/>
          <w:szCs w:val="16"/>
        </w:rPr>
        <w:t xml:space="preserve">CLIENT FINAL REPORT</w:t>
      </w:r>
    </w:p>
    <w:p>
      <w:pPr>
        <w:spacing w:after="180"/>
      </w:pPr>
      <w:r>
        <w:rPr>
          <w:rFonts w:ascii="Arial" w:cs="Arial" w:eastAsia="Arial" w:hAnsi="Arial"/>
          <w:b/>
          <w:bCs/>
          <w:color w:val="1B2A41"/>
          <w:sz w:val="52"/>
          <w:szCs w:val="52"/>
        </w:rPr>
        <w:t xml:space="preserve">Northwind 2027 — Operational Maturity Assessment</w:t>
      </w:r>
    </w:p>
    <w:p>
      <w:pPr>
        <w:pBdr>
          <w:bottom w:val="single" w:color="2563EB" w:sz="12" w:space="1"/>
        </w:pBdr>
        <w:spacing w:after="260"/>
        <w:ind w:right="7370"/>
      </w:pPr>
    </w:p>
    <w:p>
      <w:pPr>
        <w:spacing w:after="90"/>
      </w:pPr>
      <w:r>
        <w:rPr>
          <w:rFonts w:ascii="Arial" w:cs="Arial" w:eastAsia="Arial" w:hAnsi="Arial"/>
          <w:color w:val="101828"/>
          <w:sz w:val="26"/>
          <w:szCs w:val="26"/>
        </w:rPr>
        <w:t xml:space="preserve">Northwind Manufacturing Ltd.</w:t>
      </w:r>
    </w:p>
    <w:p>
      <w:pPr>
        <w:spacing w:after="90"/>
      </w:pPr>
      <w:r>
        <w:rPr>
          <w:rFonts w:ascii="Arial" w:cs="Arial" w:eastAsia="Arial" w:hAnsi="Arial"/>
          <w:color w:val="46556B"/>
          <w:sz w:val="20"/>
          <w:szCs w:val="20"/>
        </w:rPr>
        <w:t xml:space="preserve">Operational Maturity &amp; Transformation Programme</w:t>
      </w:r>
    </w:p>
    <w:p>
      <w:pPr>
        <w:spacing w:after="1400"/>
      </w:pPr>
      <w:r>
        <w:rPr>
          <w:rFonts w:ascii="Arial" w:cs="Arial" w:eastAsia="Arial" w:hAnsi="Arial"/>
          <w:color w:val="667085"/>
          <w:sz w:val="18"/>
          <w:szCs w:val="18"/>
        </w:rPr>
        <w:t xml:space="preserve">16 September 2026  ·  Version 1.0  ·  Confidential</w:t>
      </w:r>
    </w:p>
    <w:tbl>
      <w:tblPr>
        <w:tblW w:type="pct" w:w="100%"/>
        <w:tblBorders>
          <w:top w:val="single" w:color="D8DEE8" w:sz="4"/>
          <w:left w:val="none" w:color="FFFFFF" w:sz="0"/>
          <w:bottom w:val="none" w:color="FFFFFF" w:sz="0"/>
          <w:right w:val="none" w:color="FFFFFF" w:sz="0"/>
          <w:insideH w:val="single" w:color="auto" w:sz="4"/>
          <w:insideV w:val="single" w:color="auto" w:sz="4"/>
        </w:tblBorders>
      </w:tblPr>
      <w:tblGrid>
        <w:gridCol w:w="100"/>
        <w:gridCol w:w="100"/>
        <w:gridCol w:w="100"/>
      </w:tblGrid>
      <w:tr>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Arial" w:cs="Arial" w:eastAsia="Arial" w:hAnsi="Arial"/>
                <w:b/>
                <w:bCs/>
                <w:color w:val="667085"/>
                <w:spacing w:val="18"/>
                <w:sz w:val="13"/>
                <w:szCs w:val="13"/>
              </w:rPr>
              <w:t xml:space="preserve">PREPARED FOR</w:t>
            </w:r>
          </w:p>
          <w:p>
            <w:r>
              <w:rPr>
                <w:rFonts w:ascii="Arial" w:cs="Arial" w:eastAsia="Arial" w:hAnsi="Arial"/>
                <w:color w:val="101828"/>
                <w:sz w:val="17"/>
                <w:szCs w:val="17"/>
              </w:rPr>
              <w:t xml:space="preserve">Board — Operations &amp; Capital Committee</w:t>
            </w:r>
          </w:p>
        </w:tc>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Arial" w:cs="Arial" w:eastAsia="Arial" w:hAnsi="Arial"/>
                <w:b/>
                <w:bCs/>
                <w:color w:val="667085"/>
                <w:spacing w:val="18"/>
                <w:sz w:val="13"/>
                <w:szCs w:val="13"/>
              </w:rPr>
              <w:t xml:space="preserve">PREPARED BY</w:t>
            </w:r>
          </w:p>
          <w:p>
            <w:r>
              <w:rPr>
                <w:rFonts w:ascii="Arial" w:cs="Arial" w:eastAsia="Arial" w:hAnsi="Arial"/>
                <w:color w:val="101828"/>
                <w:sz w:val="17"/>
                <w:szCs w:val="17"/>
              </w:rPr>
              <w:t xml:space="preserve">Consultify · DBR77</w:t>
            </w:r>
          </w:p>
        </w:tc>
        <w:tc>
          <w:tcPr>
            <w:tcBorders>
              <w:top w:val="none" w:color="FFFFFF" w:sz="0"/>
              <w:left w:val="none" w:color="FFFFFF" w:sz="0"/>
              <w:bottom w:val="none" w:color="FFFFFF" w:sz="0"/>
              <w:right w:val="none" w:color="FFFFFF" w:sz="0"/>
            </w:tcBorders>
            <w:tcMar>
              <w:top w:type="dxa" w:w="160"/>
              <w:right w:type="dxa" w:w="160"/>
            </w:tcMar>
          </w:tcPr>
          <w:p>
            <w:pPr>
              <w:spacing w:after="40"/>
            </w:pPr>
            <w:r>
              <w:rPr>
                <w:rFonts w:ascii="Arial" w:cs="Arial" w:eastAsia="Arial" w:hAnsi="Arial"/>
                <w:b/>
                <w:bCs/>
                <w:color w:val="667085"/>
                <w:spacing w:val="18"/>
                <w:sz w:val="13"/>
                <w:szCs w:val="13"/>
              </w:rPr>
              <w:t xml:space="preserve">SOURCE</w:t>
            </w:r>
          </w:p>
          <w:p>
            <w:r>
              <w:rPr>
                <w:rFonts w:ascii="Arial" w:cs="Arial" w:eastAsia="Arial" w:hAnsi="Arial"/>
                <w:color w:val="101828"/>
                <w:sz w:val="17"/>
                <w:szCs w:val="17"/>
              </w:rPr>
              <w:t xml:space="preserve">Assessment b2de5832 (DRD, approved)</w:t>
            </w:r>
          </w:p>
        </w:tc>
      </w:tr>
    </w:tbl>
    <w:p>
      <w:r>
        <w:br w:type="page"/>
      </w:r>
    </w:p>
    <w:p>
      <w:pPr>
        <w:pBdr>
          <w:bottom w:val="single" w:color="2563EB" w:sz="6" w:space="6"/>
        </w:pBdr>
        <w:spacing w:after="240"/>
      </w:pPr>
      <w:r>
        <w:rPr>
          <w:rFonts w:ascii="Arial" w:cs="Arial" w:eastAsia="Arial" w:hAnsi="Arial"/>
          <w:b/>
          <w:bCs/>
          <w:color w:val="1B2A41"/>
          <w:sz w:val="30"/>
          <w:szCs w:val="30"/>
        </w:rPr>
        <w:t xml:space="preserve">Contents</w:t>
      </w:r>
    </w:p>
    <w:p>
      <w:pPr>
        <w:tabs>
          <w:tab w:val="right" w:pos="9026" w:leader="dot"/>
        </w:tabs>
        <w:spacing w:after="150"/>
      </w:pPr>
      <w:r>
        <w:rPr>
          <w:rFonts w:ascii="Arial" w:cs="Arial" w:eastAsia="Arial" w:hAnsi="Arial"/>
          <w:b/>
          <w:bCs/>
          <w:color w:val="2563EB"/>
          <w:sz w:val="21"/>
          <w:szCs w:val="21"/>
        </w:rPr>
        <w:t xml:space="preserve">1.  </w:t>
      </w:r>
      <w:r>
        <w:rPr>
          <w:rFonts w:ascii="Arial" w:cs="Arial" w:eastAsia="Arial" w:hAnsi="Arial"/>
          <w:color w:val="101828"/>
          <w:sz w:val="21"/>
          <w:szCs w:val="21"/>
        </w:rPr>
        <w:t xml:space="preserve">Executive summary</w:t>
      </w:r>
      <w:r>
        <w:rPr>
          <w:rFonts w:ascii="Arial" w:cs="Arial" w:eastAsia="Arial" w:hAnsi="Arial"/>
          <w:sz w:val="21"/>
          <w:szCs w:val="21"/>
        </w:rPr>
        <w:t xml:space="preserve">	</w:t>
      </w:r>
      <w:r>
        <w:rPr>
          <w:rFonts w:ascii="Arial" w:cs="Arial" w:eastAsia="Arial" w:hAnsi="Arial"/>
          <w:color w:val="46556B"/>
          <w:sz w:val="21"/>
          <w:szCs w:val="21"/>
        </w:rPr>
        <w:t xml:space="preserve">3</w:t>
      </w:r>
    </w:p>
    <w:p>
      <w:pPr>
        <w:tabs>
          <w:tab w:val="right" w:pos="9026" w:leader="dot"/>
        </w:tabs>
        <w:spacing w:after="150"/>
      </w:pPr>
      <w:r>
        <w:rPr>
          <w:rFonts w:ascii="Arial" w:cs="Arial" w:eastAsia="Arial" w:hAnsi="Arial"/>
          <w:b/>
          <w:bCs/>
          <w:color w:val="2563EB"/>
          <w:sz w:val="21"/>
          <w:szCs w:val="21"/>
        </w:rPr>
        <w:t xml:space="preserve">2.  </w:t>
      </w:r>
      <w:r>
        <w:rPr>
          <w:rFonts w:ascii="Arial" w:cs="Arial" w:eastAsia="Arial" w:hAnsi="Arial"/>
          <w:color w:val="101828"/>
          <w:sz w:val="21"/>
          <w:szCs w:val="21"/>
        </w:rPr>
        <w:t xml:space="preserve">Context and scope</w:t>
      </w:r>
      <w:r>
        <w:rPr>
          <w:rFonts w:ascii="Arial" w:cs="Arial" w:eastAsia="Arial" w:hAnsi="Arial"/>
          <w:sz w:val="21"/>
          <w:szCs w:val="21"/>
        </w:rPr>
        <w:t xml:space="preserve">	</w:t>
      </w:r>
      <w:r>
        <w:rPr>
          <w:rFonts w:ascii="Arial" w:cs="Arial" w:eastAsia="Arial" w:hAnsi="Arial"/>
          <w:color w:val="46556B"/>
          <w:sz w:val="21"/>
          <w:szCs w:val="21"/>
        </w:rPr>
        <w:t xml:space="preserve">3</w:t>
      </w:r>
    </w:p>
    <w:p>
      <w:pPr>
        <w:tabs>
          <w:tab w:val="right" w:pos="9026" w:leader="dot"/>
        </w:tabs>
        <w:spacing w:after="150"/>
      </w:pPr>
      <w:r>
        <w:rPr>
          <w:rFonts w:ascii="Arial" w:cs="Arial" w:eastAsia="Arial" w:hAnsi="Arial"/>
          <w:b/>
          <w:bCs/>
          <w:color w:val="2563EB"/>
          <w:sz w:val="21"/>
          <w:szCs w:val="21"/>
        </w:rPr>
        <w:t xml:space="preserve">3.  </w:t>
      </w:r>
      <w:r>
        <w:rPr>
          <w:rFonts w:ascii="Arial" w:cs="Arial" w:eastAsia="Arial" w:hAnsi="Arial"/>
          <w:color w:val="101828"/>
          <w:sz w:val="21"/>
          <w:szCs w:val="21"/>
        </w:rPr>
        <w:t xml:space="preserve">Methodology</w:t>
      </w:r>
      <w:r>
        <w:rPr>
          <w:rFonts w:ascii="Arial" w:cs="Arial" w:eastAsia="Arial" w:hAnsi="Arial"/>
          <w:sz w:val="21"/>
          <w:szCs w:val="21"/>
        </w:rPr>
        <w:t xml:space="preserve">	</w:t>
      </w:r>
      <w:r>
        <w:rPr>
          <w:rFonts w:ascii="Arial" w:cs="Arial" w:eastAsia="Arial" w:hAnsi="Arial"/>
          <w:color w:val="46556B"/>
          <w:sz w:val="21"/>
          <w:szCs w:val="21"/>
        </w:rPr>
        <w:t xml:space="preserve">3</w:t>
      </w:r>
    </w:p>
    <w:p>
      <w:pPr>
        <w:tabs>
          <w:tab w:val="right" w:pos="9026" w:leader="dot"/>
        </w:tabs>
        <w:spacing w:after="150"/>
      </w:pPr>
      <w:r>
        <w:rPr>
          <w:rFonts w:ascii="Arial" w:cs="Arial" w:eastAsia="Arial" w:hAnsi="Arial"/>
          <w:b/>
          <w:bCs/>
          <w:color w:val="2563EB"/>
          <w:sz w:val="21"/>
          <w:szCs w:val="21"/>
        </w:rPr>
        <w:t xml:space="preserve">4.  </w:t>
      </w:r>
      <w:r>
        <w:rPr>
          <w:rFonts w:ascii="Arial" w:cs="Arial" w:eastAsia="Arial" w:hAnsi="Arial"/>
          <w:color w:val="101828"/>
          <w:sz w:val="21"/>
          <w:szCs w:val="21"/>
        </w:rPr>
        <w:t xml:space="preserve">Findings by axis</w:t>
      </w:r>
      <w:r>
        <w:rPr>
          <w:rFonts w:ascii="Arial" w:cs="Arial" w:eastAsia="Arial" w:hAnsi="Arial"/>
          <w:sz w:val="21"/>
          <w:szCs w:val="21"/>
        </w:rPr>
        <w:t xml:space="preserve">	</w:t>
      </w:r>
      <w:r>
        <w:rPr>
          <w:rFonts w:ascii="Arial" w:cs="Arial" w:eastAsia="Arial" w:hAnsi="Arial"/>
          <w:color w:val="46556B"/>
          <w:sz w:val="21"/>
          <w:szCs w:val="21"/>
        </w:rPr>
        <w:t xml:space="preserve">4</w:t>
      </w:r>
    </w:p>
    <w:p>
      <w:pPr>
        <w:tabs>
          <w:tab w:val="right" w:pos="9026" w:leader="dot"/>
        </w:tabs>
        <w:spacing w:after="150"/>
      </w:pPr>
      <w:r>
        <w:rPr>
          <w:rFonts w:ascii="Arial" w:cs="Arial" w:eastAsia="Arial" w:hAnsi="Arial"/>
          <w:b/>
          <w:bCs/>
          <w:color w:val="2563EB"/>
          <w:sz w:val="21"/>
          <w:szCs w:val="21"/>
        </w:rPr>
        <w:t xml:space="preserve">5.  </w:t>
      </w:r>
      <w:r>
        <w:rPr>
          <w:rFonts w:ascii="Arial" w:cs="Arial" w:eastAsia="Arial" w:hAnsi="Arial"/>
          <w:color w:val="101828"/>
          <w:sz w:val="21"/>
          <w:szCs w:val="21"/>
        </w:rPr>
        <w:t xml:space="preserve">Maturity matrix</w:t>
      </w:r>
      <w:r>
        <w:rPr>
          <w:rFonts w:ascii="Arial" w:cs="Arial" w:eastAsia="Arial" w:hAnsi="Arial"/>
          <w:sz w:val="21"/>
          <w:szCs w:val="21"/>
        </w:rPr>
        <w:t xml:space="preserve">	</w:t>
      </w:r>
      <w:r>
        <w:rPr>
          <w:rFonts w:ascii="Arial" w:cs="Arial" w:eastAsia="Arial" w:hAnsi="Arial"/>
          <w:color w:val="46556B"/>
          <w:sz w:val="21"/>
          <w:szCs w:val="21"/>
        </w:rPr>
        <w:t xml:space="preserve">4</w:t>
      </w:r>
    </w:p>
    <w:p>
      <w:pPr>
        <w:tabs>
          <w:tab w:val="right" w:pos="9026" w:leader="dot"/>
        </w:tabs>
        <w:spacing w:after="150"/>
      </w:pPr>
      <w:r>
        <w:rPr>
          <w:rFonts w:ascii="Arial" w:cs="Arial" w:eastAsia="Arial" w:hAnsi="Arial"/>
          <w:b/>
          <w:bCs/>
          <w:color w:val="2563EB"/>
          <w:sz w:val="21"/>
          <w:szCs w:val="21"/>
        </w:rPr>
        <w:t xml:space="preserve">6.  </w:t>
      </w:r>
      <w:r>
        <w:rPr>
          <w:rFonts w:ascii="Arial" w:cs="Arial" w:eastAsia="Arial" w:hAnsi="Arial"/>
          <w:color w:val="101828"/>
          <w:sz w:val="21"/>
          <w:szCs w:val="21"/>
        </w:rPr>
        <w:t xml:space="preserve">Recommendations</w:t>
      </w:r>
      <w:r>
        <w:rPr>
          <w:rFonts w:ascii="Arial" w:cs="Arial" w:eastAsia="Arial" w:hAnsi="Arial"/>
          <w:sz w:val="21"/>
          <w:szCs w:val="21"/>
        </w:rPr>
        <w:t xml:space="preserve">	</w:t>
      </w:r>
      <w:r>
        <w:rPr>
          <w:rFonts w:ascii="Arial" w:cs="Arial" w:eastAsia="Arial" w:hAnsi="Arial"/>
          <w:color w:val="46556B"/>
          <w:sz w:val="21"/>
          <w:szCs w:val="21"/>
        </w:rPr>
        <w:t xml:space="preserve">5</w:t>
      </w:r>
    </w:p>
    <w:p>
      <w:pPr>
        <w:tabs>
          <w:tab w:val="right" w:pos="9026" w:leader="dot"/>
        </w:tabs>
        <w:spacing w:after="150"/>
      </w:pPr>
      <w:r>
        <w:rPr>
          <w:rFonts w:ascii="Arial" w:cs="Arial" w:eastAsia="Arial" w:hAnsi="Arial"/>
          <w:b/>
          <w:bCs/>
          <w:color w:val="2563EB"/>
          <w:sz w:val="21"/>
          <w:szCs w:val="21"/>
        </w:rPr>
        <w:t xml:space="preserve">7.  </w:t>
      </w:r>
      <w:r>
        <w:rPr>
          <w:rFonts w:ascii="Arial" w:cs="Arial" w:eastAsia="Arial" w:hAnsi="Arial"/>
          <w:color w:val="101828"/>
          <w:sz w:val="21"/>
          <w:szCs w:val="21"/>
        </w:rPr>
        <w:t xml:space="preserve">Roadmap</w:t>
      </w:r>
      <w:r>
        <w:rPr>
          <w:rFonts w:ascii="Arial" w:cs="Arial" w:eastAsia="Arial" w:hAnsi="Arial"/>
          <w:sz w:val="21"/>
          <w:szCs w:val="21"/>
        </w:rPr>
        <w:t xml:space="preserve">	</w:t>
      </w:r>
      <w:r>
        <w:rPr>
          <w:rFonts w:ascii="Arial" w:cs="Arial" w:eastAsia="Arial" w:hAnsi="Arial"/>
          <w:color w:val="46556B"/>
          <w:sz w:val="21"/>
          <w:szCs w:val="21"/>
        </w:rPr>
        <w:t xml:space="preserve">5</w:t>
      </w:r>
    </w:p>
    <w:p>
      <w:pPr>
        <w:tabs>
          <w:tab w:val="right" w:pos="9026" w:leader="dot"/>
        </w:tabs>
        <w:spacing w:after="150"/>
      </w:pPr>
      <w:r>
        <w:rPr>
          <w:rFonts w:ascii="Arial" w:cs="Arial" w:eastAsia="Arial" w:hAnsi="Arial"/>
          <w:b/>
          <w:bCs/>
          <w:color w:val="2563EB"/>
          <w:sz w:val="21"/>
          <w:szCs w:val="21"/>
        </w:rPr>
        <w:t xml:space="preserve">8.  </w:t>
      </w:r>
      <w:r>
        <w:rPr>
          <w:rFonts w:ascii="Arial" w:cs="Arial" w:eastAsia="Arial" w:hAnsi="Arial"/>
          <w:color w:val="101828"/>
          <w:sz w:val="21"/>
          <w:szCs w:val="21"/>
        </w:rPr>
        <w:t xml:space="preserve">Appendix</w:t>
      </w:r>
      <w:r>
        <w:rPr>
          <w:rFonts w:ascii="Arial" w:cs="Arial" w:eastAsia="Arial" w:hAnsi="Arial"/>
          <w:sz w:val="21"/>
          <w:szCs w:val="21"/>
        </w:rPr>
        <w:t xml:space="preserve">	</w:t>
      </w:r>
      <w:r>
        <w:rPr>
          <w:rFonts w:ascii="Arial" w:cs="Arial" w:eastAsia="Arial" w:hAnsi="Arial"/>
          <w:color w:val="46556B"/>
          <w:sz w:val="21"/>
          <w:szCs w:val="21"/>
        </w:rPr>
        <w:t xml:space="preserve">6</w:t>
      </w:r>
    </w:p>
    <w:p>
      <w:pPr>
        <w:spacing w:before="400"/>
      </w:pPr>
      <w:r>
        <w:rPr>
          <w:rFonts w:ascii="Arial" w:cs="Arial" w:eastAsia="Arial" w:hAnsi="Arial"/>
          <w:i/>
          <w:iCs/>
          <w:color w:val="667085"/>
          <w:sz w:val="16"/>
          <w:szCs w:val="16"/>
        </w:rPr>
        <w:t xml:space="preserve">Mock-up note: this page is a static contents list. The production template inserts a live TOC field driven by the H1/H2 styles.</w:t>
      </w:r>
    </w:p>
    <w:p>
      <w:r>
        <w:br w:type="page"/>
      </w:r>
    </w:p>
    <w:p>
      <w:pPr>
        <w:sectPr>
          <w:footerReference w:type="default" r:id="rId7"/>
          <w:pgSz w:w="11905" w:h="16837" w:orient="portrait"/>
          <w:pgMar w:top="1133" w:right="1303" w:bottom="1133" w:left="1303" w:header="708" w:footer="708" w:gutter="0"/>
          <w:pgNumType/>
          <w:titlePg w:val="false"/>
          <w:docGrid w:linePitch="360"/>
        </w:sectPr>
      </w:pPr>
    </w:p>
    <w:p>
      <w:pPr>
        <w:pStyle w:val="Heading1"/>
        <w:pBdr>
          <w:bottom w:val="single" w:color="2563EB" w:sz="6" w:space="6"/>
        </w:pBdr>
        <w:spacing w:after="170" w:before="380"/>
      </w:pPr>
      <w:r>
        <w:rPr>
          <w:rFonts w:ascii="Arial" w:cs="Arial" w:eastAsia="Arial" w:hAnsi="Arial"/>
          <w:b/>
          <w:bCs/>
          <w:color w:val="2563EB"/>
          <w:sz w:val="30"/>
          <w:szCs w:val="30"/>
        </w:rPr>
        <w:t xml:space="preserve">1.  </w:t>
      </w:r>
      <w:r>
        <w:rPr>
          <w:rFonts w:ascii="Arial" w:cs="Arial" w:eastAsia="Arial" w:hAnsi="Arial"/>
          <w:b/>
          <w:bCs/>
          <w:color w:val="1B2A41"/>
          <w:sz w:val="30"/>
          <w:szCs w:val="30"/>
        </w:rPr>
        <w:t xml:space="preserve">Executive summary</w:t>
      </w:r>
    </w:p>
    <w:p>
      <w:pPr>
        <w:spacing w:after="140" w:line="276"/>
        <w:jc w:val="both"/>
      </w:pPr>
      <w:r>
        <w:rPr>
          <w:rFonts w:ascii="Arial" w:cs="Arial" w:eastAsia="Arial" w:hAnsi="Arial"/>
          <w:color w:val="101828"/>
          <w:sz w:val="21"/>
          <w:szCs w:val="21"/>
        </w:rPr>
        <w:t xml:space="preserve">Northwind Manufacturing has strong customer trust and shopfloor engineering talent, but its production, quality and supplier data remain fragmented across spreadsheets and paper records. Closing that data foundation gap is the single highest-leverage move before scaling automation or predictive maintenance investment.</w:t>
      </w:r>
    </w:p>
    <w:tbl>
      <w:tblPr>
        <w:tblW w:type="pct" w:w="100%"/>
        <w:tblBorders>
          <w:top w:val="none" w:color="FFFFFF" w:sz="0"/>
          <w:left w:val="single" w:color="2563EB" w:sz="18"/>
          <w:bottom w:val="none" w:color="FFFFFF" w:sz="0"/>
          <w:right w:val="none" w:color="FFFFFF" w:sz="0"/>
          <w:insideH w:val="single" w:color="auto" w:sz="4"/>
          <w:insideV w:val="single" w:color="auto" w:sz="4"/>
        </w:tblBorders>
      </w:tblPr>
      <w:tblGrid>
        <w:gridCol w:w="100"/>
      </w:tblGrid>
      <w:tr>
        <w:tc>
          <w:tcPr>
            <w:shd w:fill="F1F4F8" w:val="clear"/>
            <w:tcMar>
              <w:top w:type="dxa" w:w="170"/>
              <w:left w:type="dxa" w:w="200"/>
              <w:bottom w:type="dxa" w:w="170"/>
              <w:right w:type="dxa" w:w="200"/>
            </w:tcMar>
          </w:tcPr>
          <w:p>
            <w:pPr>
              <w:spacing w:after="60"/>
            </w:pPr>
            <w:r>
              <w:rPr>
                <w:rFonts w:ascii="Arial" w:cs="Arial" w:eastAsia="Arial" w:hAnsi="Arial"/>
                <w:b/>
                <w:bCs/>
                <w:color w:val="2563EB"/>
                <w:spacing w:val="24"/>
                <w:sz w:val="15"/>
                <w:szCs w:val="15"/>
              </w:rPr>
              <w:t xml:space="preserve">KEY MESSAGE</w:t>
            </w:r>
          </w:p>
          <w:p>
            <w:r>
              <w:rPr>
                <w:rFonts w:ascii="Arial" w:cs="Arial" w:eastAsia="Arial" w:hAnsi="Arial"/>
                <w:b/>
                <w:bCs/>
                <w:color w:val="1B2A41"/>
                <w:sz w:val="21"/>
                <w:szCs w:val="21"/>
              </w:rPr>
              <w:t xml:space="preserve">Close the data foundation gap before scaling automation or predictive maintenance investment.</w:t>
            </w:r>
          </w:p>
        </w:tc>
      </w:tr>
    </w:tbl>
    <w:p>
      <w:pPr>
        <w:spacing w:after="200"/>
      </w:pPr>
    </w:p>
    <w:p>
      <w:pPr>
        <w:pStyle w:val="Heading2"/>
        <w:spacing w:after="110" w:before="240"/>
      </w:pPr>
      <w:r>
        <w:rPr>
          <w:rFonts w:ascii="Arial" w:cs="Arial" w:eastAsia="Arial" w:hAnsi="Arial"/>
          <w:b/>
          <w:bCs/>
          <w:color w:val="2563EB"/>
          <w:sz w:val="23"/>
          <w:szCs w:val="23"/>
        </w:rPr>
        <w:t xml:space="preserve">1.1  </w:t>
      </w:r>
      <w:r>
        <w:rPr>
          <w:rFonts w:ascii="Arial" w:cs="Arial" w:eastAsia="Arial" w:hAnsi="Arial"/>
          <w:b/>
          <w:bCs/>
          <w:color w:val="1B2A41"/>
          <w:sz w:val="23"/>
          <w:szCs w:val="23"/>
        </w:rPr>
        <w:t xml:space="preserve">Headline numbers</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2600"/>
        <w:gridCol w:w="1400"/>
        <w:gridCol w:w="1300"/>
        <w:gridCol w:w="1300"/>
        <w:gridCol w:w="2100"/>
      </w:tblGrid>
      <w:tr>
        <w:trPr>
          <w:cantSplit/>
          <w:tblHeader/>
        </w:trPr>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KPI</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Unit</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Actual</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Target</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Status</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OEE — Line 3</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76.2</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78</w:t>
            </w:r>
          </w:p>
        </w:tc>
        <w:tc>
          <w:tcP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Below target</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First Pass Yield</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93.4</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94</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Below target</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On-Time Delivery</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95.6</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96</w:t>
            </w:r>
          </w:p>
        </w:tc>
        <w:tc>
          <w:tcP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Below target</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Scrap Rate</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2.71</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2.5</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Below target</w:t>
            </w:r>
          </w:p>
        </w:tc>
      </w:tr>
    </w:tbl>
    <w:p>
      <w:pPr>
        <w:spacing w:after="240" w:before="60"/>
      </w:pPr>
      <w:r>
        <w:rPr>
          <w:rFonts w:ascii="Arial" w:cs="Arial" w:eastAsia="Arial" w:hAnsi="Arial"/>
          <w:i/>
          <w:iCs/>
          <w:color w:val="667085"/>
          <w:sz w:val="16"/>
          <w:szCs w:val="16"/>
        </w:rPr>
        <w:t xml:space="preserve">Table 1 — Operational KPIs, latest measurement (June 2026). Source: Consultify · Results → KPI.</w:t>
      </w:r>
    </w:p>
    <w:p>
      <w:pPr>
        <w:pStyle w:val="Heading1"/>
        <w:pBdr>
          <w:bottom w:val="single" w:color="2563EB" w:sz="6" w:space="6"/>
        </w:pBdr>
        <w:spacing w:after="170" w:before="380"/>
      </w:pPr>
      <w:r>
        <w:rPr>
          <w:rFonts w:ascii="Arial" w:cs="Arial" w:eastAsia="Arial" w:hAnsi="Arial"/>
          <w:b/>
          <w:bCs/>
          <w:color w:val="2563EB"/>
          <w:sz w:val="30"/>
          <w:szCs w:val="30"/>
        </w:rPr>
        <w:t xml:space="preserve">2.  </w:t>
      </w:r>
      <w:r>
        <w:rPr>
          <w:rFonts w:ascii="Arial" w:cs="Arial" w:eastAsia="Arial" w:hAnsi="Arial"/>
          <w:b/>
          <w:bCs/>
          <w:color w:val="1B2A41"/>
          <w:sz w:val="30"/>
          <w:szCs w:val="30"/>
        </w:rPr>
        <w:t xml:space="preserve">Context and scope</w:t>
      </w:r>
    </w:p>
    <w:p>
      <w:pPr>
        <w:spacing w:after="140" w:line="276"/>
        <w:jc w:val="both"/>
      </w:pPr>
      <w:r>
        <w:rPr>
          <w:rFonts w:ascii="Arial" w:cs="Arial" w:eastAsia="Arial" w:hAnsi="Arial"/>
          <w:color w:val="101828"/>
          <w:sz w:val="21"/>
          <w:szCs w:val="21"/>
        </w:rPr>
        <w:t xml:space="preserve">Northwind Manufacturing Ltd. operates two sites (Leeds and Rotherham) and asked Consultify to establish an evidence-based view of operational maturity before committing capital to the 2027 automation programme. The engagement covered production, quality, supply chain, maintenance and the supporting data and technology estate.</w:t>
      </w:r>
    </w:p>
    <w:p>
      <w:pPr>
        <w:pStyle w:val="Heading2"/>
        <w:spacing w:after="110" w:before="240"/>
      </w:pPr>
      <w:r>
        <w:rPr>
          <w:rFonts w:ascii="Arial" w:cs="Arial" w:eastAsia="Arial" w:hAnsi="Arial"/>
          <w:b/>
          <w:bCs/>
          <w:color w:val="2563EB"/>
          <w:sz w:val="23"/>
          <w:szCs w:val="23"/>
        </w:rPr>
        <w:t xml:space="preserve">2.1  </w:t>
      </w:r>
      <w:r>
        <w:rPr>
          <w:rFonts w:ascii="Arial" w:cs="Arial" w:eastAsia="Arial" w:hAnsi="Arial"/>
          <w:b/>
          <w:bCs/>
          <w:color w:val="1B2A41"/>
          <w:sz w:val="23"/>
          <w:szCs w:val="23"/>
        </w:rPr>
        <w:t xml:space="preserve">In scope</w:t>
      </w:r>
    </w:p>
    <w:p>
      <w:pPr>
        <w:pStyle w:val="ListParagraph"/>
        <w:numPr>
          <w:ilvl w:val="0"/>
          <w:numId w:val="1"/>
        </w:numPr>
        <w:spacing w:after="80" w:line="276"/>
      </w:pPr>
      <w:r>
        <w:rPr>
          <w:rFonts w:ascii="Arial" w:cs="Arial" w:eastAsia="Arial" w:hAnsi="Arial"/>
          <w:color w:val="101828"/>
          <w:sz w:val="21"/>
          <w:szCs w:val="21"/>
        </w:rPr>
        <w:t xml:space="preserve">Seven-axis operational maturity assessment, run as a frozen DRD session with named respondents.</w:t>
      </w:r>
    </w:p>
    <w:p>
      <w:pPr>
        <w:pStyle w:val="ListParagraph"/>
        <w:numPr>
          <w:ilvl w:val="0"/>
          <w:numId w:val="1"/>
        </w:numPr>
        <w:spacing w:after="80" w:line="276"/>
      </w:pPr>
      <w:r>
        <w:rPr>
          <w:rFonts w:ascii="Arial" w:cs="Arial" w:eastAsia="Arial" w:hAnsi="Arial"/>
          <w:color w:val="101828"/>
          <w:sz w:val="21"/>
          <w:szCs w:val="21"/>
        </w:rPr>
        <w:t xml:space="preserve">Eight operational KPIs with a six-month measurement history.</w:t>
      </w:r>
    </w:p>
    <w:p>
      <w:pPr>
        <w:pStyle w:val="ListParagraph"/>
        <w:numPr>
          <w:ilvl w:val="0"/>
          <w:numId w:val="1"/>
        </w:numPr>
        <w:spacing w:after="80" w:line="276"/>
      </w:pPr>
      <w:r>
        <w:rPr>
          <w:rFonts w:ascii="Arial" w:cs="Arial" w:eastAsia="Arial" w:hAnsi="Arial"/>
          <w:color w:val="101828"/>
          <w:sz w:val="21"/>
          <w:szCs w:val="21"/>
        </w:rPr>
        <w:t xml:space="preserve">Thirteen registered initiatives with owners, budgets and dates.</w:t>
      </w:r>
    </w:p>
    <w:p>
      <w:pPr>
        <w:pStyle w:val="Heading2"/>
        <w:spacing w:after="110" w:before="240"/>
      </w:pPr>
      <w:r>
        <w:rPr>
          <w:rFonts w:ascii="Arial" w:cs="Arial" w:eastAsia="Arial" w:hAnsi="Arial"/>
          <w:b/>
          <w:bCs/>
          <w:color w:val="2563EB"/>
          <w:sz w:val="23"/>
          <w:szCs w:val="23"/>
        </w:rPr>
        <w:t xml:space="preserve">2.2  </w:t>
      </w:r>
      <w:r>
        <w:rPr>
          <w:rFonts w:ascii="Arial" w:cs="Arial" w:eastAsia="Arial" w:hAnsi="Arial"/>
          <w:b/>
          <w:bCs/>
          <w:color w:val="1B2A41"/>
          <w:sz w:val="23"/>
          <w:szCs w:val="23"/>
        </w:rPr>
        <w:t xml:space="preserve">Out of scope</w:t>
      </w:r>
    </w:p>
    <w:p>
      <w:pPr>
        <w:pStyle w:val="ListParagraph"/>
        <w:numPr>
          <w:ilvl w:val="0"/>
          <w:numId w:val="1"/>
        </w:numPr>
        <w:spacing w:after="80" w:line="276"/>
      </w:pPr>
      <w:r>
        <w:rPr>
          <w:rFonts w:ascii="Arial" w:cs="Arial" w:eastAsia="Arial" w:hAnsi="Arial"/>
          <w:color w:val="101828"/>
          <w:sz w:val="21"/>
          <w:szCs w:val="21"/>
        </w:rPr>
        <w:t xml:space="preserve">Commercial pricing strategy and customer contract terms.</w:t>
      </w:r>
    </w:p>
    <w:p>
      <w:pPr>
        <w:pStyle w:val="ListParagraph"/>
        <w:numPr>
          <w:ilvl w:val="0"/>
          <w:numId w:val="1"/>
        </w:numPr>
        <w:spacing w:after="80" w:line="276"/>
      </w:pPr>
      <w:r>
        <w:rPr>
          <w:rFonts w:ascii="Arial" w:cs="Arial" w:eastAsia="Arial" w:hAnsi="Arial"/>
          <w:color w:val="101828"/>
          <w:sz w:val="21"/>
          <w:szCs w:val="21"/>
        </w:rPr>
        <w:t xml:space="preserve">Detailed vendor selection for MES and warehouse automation.</w:t>
      </w:r>
    </w:p>
    <w:p>
      <w:pPr>
        <w:pStyle w:val="Heading1"/>
        <w:pBdr>
          <w:bottom w:val="single" w:color="2563EB" w:sz="6" w:space="6"/>
        </w:pBdr>
        <w:spacing w:after="170" w:before="380"/>
      </w:pPr>
      <w:r>
        <w:rPr>
          <w:rFonts w:ascii="Arial" w:cs="Arial" w:eastAsia="Arial" w:hAnsi="Arial"/>
          <w:b/>
          <w:bCs/>
          <w:color w:val="2563EB"/>
          <w:sz w:val="30"/>
          <w:szCs w:val="30"/>
        </w:rPr>
        <w:t xml:space="preserve">3.  </w:t>
      </w:r>
      <w:r>
        <w:rPr>
          <w:rFonts w:ascii="Arial" w:cs="Arial" w:eastAsia="Arial" w:hAnsi="Arial"/>
          <w:b/>
          <w:bCs/>
          <w:color w:val="1B2A41"/>
          <w:sz w:val="30"/>
          <w:szCs w:val="30"/>
        </w:rPr>
        <w:t xml:space="preserve">Methodology</w:t>
      </w:r>
    </w:p>
    <w:p>
      <w:pPr>
        <w:spacing w:after="140" w:line="276"/>
        <w:jc w:val="both"/>
      </w:pPr>
      <w:r>
        <w:rPr>
          <w:rFonts w:ascii="Arial" w:cs="Arial" w:eastAsia="Arial" w:hAnsi="Arial"/>
          <w:color w:val="101828"/>
          <w:sz w:val="21"/>
          <w:szCs w:val="21"/>
        </w:rPr>
        <w:t xml:space="preserve">Evidence was collected in three passes and reconciled against system-of-record data rather than opinion. Where plant and quality leadership disagreed, both positions are recorded and the disagreement is treated as a finding in its own right.</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1900"/>
        <w:gridCol w:w="4200"/>
        <w:gridCol w:w="2600"/>
      </w:tblGrid>
      <w:tr>
        <w:trPr>
          <w:cantSplit/>
          <w:tblHeader/>
        </w:trPr>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Step</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What we did</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Evidence base</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Discovery</w:t>
            </w:r>
          </w:p>
        </w:tc>
        <w:tc>
          <w:tcP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Structured interviews with plant, quality and digital leadership</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2 interview sessions, 4 insights</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Scoring</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Seven-axis maturity scoring against the Consultify model</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Assessment b2de5832 (approved)</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Validation</w:t>
            </w:r>
          </w:p>
        </w:tc>
        <w:tc>
          <w:tcP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Cross-check of scores against KPI measurements and RAID register</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8 KPIs · 7 RAID items</w:t>
            </w:r>
          </w:p>
        </w:tc>
      </w:tr>
    </w:tbl>
    <w:p>
      <w:pPr>
        <w:spacing w:after="240" w:before="60"/>
      </w:pPr>
      <w:r>
        <w:rPr>
          <w:rFonts w:ascii="Arial" w:cs="Arial" w:eastAsia="Arial" w:hAnsi="Arial"/>
          <w:i/>
          <w:iCs/>
          <w:color w:val="667085"/>
          <w:sz w:val="16"/>
          <w:szCs w:val="16"/>
        </w:rPr>
        <w:t xml:space="preserve">Table 2 — Evidence chain for the maturity result.</w:t>
      </w:r>
    </w:p>
    <w:p>
      <w:pPr>
        <w:pStyle w:val="Heading1"/>
        <w:pBdr>
          <w:bottom w:val="single" w:color="2563EB" w:sz="6" w:space="6"/>
        </w:pBdr>
        <w:spacing w:after="170" w:before="380"/>
      </w:pPr>
      <w:r>
        <w:rPr>
          <w:rFonts w:ascii="Arial" w:cs="Arial" w:eastAsia="Arial" w:hAnsi="Arial"/>
          <w:b/>
          <w:bCs/>
          <w:color w:val="2563EB"/>
          <w:sz w:val="30"/>
          <w:szCs w:val="30"/>
        </w:rPr>
        <w:t xml:space="preserve">4.  </w:t>
      </w:r>
      <w:r>
        <w:rPr>
          <w:rFonts w:ascii="Arial" w:cs="Arial" w:eastAsia="Arial" w:hAnsi="Arial"/>
          <w:b/>
          <w:bCs/>
          <w:color w:val="1B2A41"/>
          <w:sz w:val="30"/>
          <w:szCs w:val="30"/>
        </w:rPr>
        <w:t xml:space="preserve">Findings by axis</w:t>
      </w:r>
    </w:p>
    <w:p>
      <w:pPr>
        <w:spacing w:after="140" w:line="276"/>
        <w:jc w:val="both"/>
      </w:pPr>
      <w:r>
        <w:rPr>
          <w:rFonts w:ascii="Arial" w:cs="Arial" w:eastAsia="Arial" w:hAnsi="Arial"/>
          <w:color w:val="101828"/>
          <w:sz w:val="21"/>
          <w:szCs w:val="21"/>
        </w:rPr>
        <w:t xml:space="preserve">Across all seven axes the organisation sits at a consistent Level 3 (Defined/Emerging) — practices exist and are repeatable within teams, but are not yet connected across functions or supported by real-time data. Customer &amp; Market and Data &amp; Value Foundation show the widest gap to target, driven respectively by fragmented CRM-adjacent tooling and the absence of a shared production/quality/supplier data layer identified independently by both plant and quality leadership during discovery interviews.</w:t>
      </w:r>
    </w:p>
    <w:p>
      <w:pPr>
        <w:pStyle w:val="Heading2"/>
        <w:spacing w:after="110" w:before="240"/>
      </w:pPr>
      <w:r>
        <w:rPr>
          <w:rFonts w:ascii="Arial" w:cs="Arial" w:eastAsia="Arial" w:hAnsi="Arial"/>
          <w:b/>
          <w:bCs/>
          <w:color w:val="2563EB"/>
          <w:sz w:val="23"/>
          <w:szCs w:val="23"/>
        </w:rPr>
        <w:t xml:space="preserve">4.1  </w:t>
      </w:r>
      <w:r>
        <w:rPr>
          <w:rFonts w:ascii="Arial" w:cs="Arial" w:eastAsia="Arial" w:hAnsi="Arial"/>
          <w:b/>
          <w:bCs/>
          <w:color w:val="1B2A41"/>
          <w:sz w:val="23"/>
          <w:szCs w:val="23"/>
        </w:rPr>
        <w:t xml:space="preserve">Where the evidence is strongest</w:t>
      </w:r>
    </w:p>
    <w:p>
      <w:pPr>
        <w:pStyle w:val="ListParagraph"/>
        <w:numPr>
          <w:ilvl w:val="0"/>
          <w:numId w:val="1"/>
        </w:numPr>
        <w:spacing w:after="80" w:line="276"/>
      </w:pPr>
      <w:r>
        <w:rPr>
          <w:rFonts w:ascii="Arial" w:cs="Arial" w:eastAsia="Arial" w:hAnsi="Arial"/>
          <w:color w:val="101828"/>
          <w:sz w:val="21"/>
          <w:szCs w:val="21"/>
        </w:rPr>
        <w:t xml:space="preserve">Line 3 OEE improved for six consecutive months, from 70.8% in January to 76.2% in June 2026 — the operating discipline works when the data is visible.</w:t>
      </w:r>
    </w:p>
    <w:p>
      <w:pPr>
        <w:pStyle w:val="ListParagraph"/>
        <w:numPr>
          <w:ilvl w:val="0"/>
          <w:numId w:val="1"/>
        </w:numPr>
        <w:spacing w:after="80" w:line="276"/>
      </w:pPr>
      <w:r>
        <w:rPr>
          <w:rFonts w:ascii="Arial" w:cs="Arial" w:eastAsia="Arial" w:hAnsi="Arial"/>
          <w:color w:val="101828"/>
          <w:sz w:val="21"/>
          <w:szCs w:val="21"/>
        </w:rPr>
        <w:t xml:space="preserve">The initiative portfolio is governed: all thirteen initiatives carry an owner, a budget and dates.</w:t>
      </w:r>
    </w:p>
    <w:p>
      <w:pPr>
        <w:pStyle w:val="Heading2"/>
        <w:spacing w:after="110" w:before="240"/>
      </w:pPr>
      <w:r>
        <w:rPr>
          <w:rFonts w:ascii="Arial" w:cs="Arial" w:eastAsia="Arial" w:hAnsi="Arial"/>
          <w:b/>
          <w:bCs/>
          <w:color w:val="2563EB"/>
          <w:sz w:val="23"/>
          <w:szCs w:val="23"/>
        </w:rPr>
        <w:t xml:space="preserve">4.2  </w:t>
      </w:r>
      <w:r>
        <w:rPr>
          <w:rFonts w:ascii="Arial" w:cs="Arial" w:eastAsia="Arial" w:hAnsi="Arial"/>
          <w:b/>
          <w:bCs/>
          <w:color w:val="1B2A41"/>
          <w:sz w:val="23"/>
          <w:szCs w:val="23"/>
        </w:rPr>
        <w:t xml:space="preserve">Where the evidence is weakest</w:t>
      </w:r>
    </w:p>
    <w:p>
      <w:pPr>
        <w:pStyle w:val="ListParagraph"/>
        <w:numPr>
          <w:ilvl w:val="0"/>
          <w:numId w:val="1"/>
        </w:numPr>
        <w:spacing w:after="80" w:line="276"/>
      </w:pPr>
      <w:r>
        <w:rPr>
          <w:rFonts w:ascii="Arial" w:cs="Arial" w:eastAsia="Arial" w:hAnsi="Arial"/>
          <w:color w:val="101828"/>
          <w:sz w:val="21"/>
          <w:szCs w:val="21"/>
        </w:rPr>
        <w:t xml:space="preserve">Downtime reason codes are not agreed between Quality and Operations, so the same stop can be counted twice.</w:t>
      </w:r>
    </w:p>
    <w:p>
      <w:pPr>
        <w:pStyle w:val="ListParagraph"/>
        <w:numPr>
          <w:ilvl w:val="0"/>
          <w:numId w:val="1"/>
        </w:numPr>
        <w:spacing w:after="80" w:line="276"/>
      </w:pPr>
      <w:r>
        <w:rPr>
          <w:rFonts w:ascii="Arial" w:cs="Arial" w:eastAsia="Arial" w:hAnsi="Arial"/>
          <w:color w:val="101828"/>
          <w:sz w:val="21"/>
          <w:szCs w:val="21"/>
        </w:rPr>
        <w:t xml:space="preserve">Supplier nonconformance is reviewed quarterly; two of five suppliers worsened between Q2 and Q3 2026 before any action was triggered.</w:t>
      </w:r>
    </w:p>
    <w:p>
      <w:pPr>
        <w:spacing w:after="200"/>
      </w:pPr>
    </w:p>
    <w:tbl>
      <w:tblPr>
        <w:tblW w:type="pct" w:w="100%"/>
        <w:tblBorders>
          <w:top w:val="dashed" w:color="2563EB" w:sz="4"/>
          <w:left w:val="dashed" w:color="2563EB" w:sz="4"/>
          <w:bottom w:val="dashed" w:color="2563EB" w:sz="4"/>
          <w:right w:val="dashed" w:color="2563EB" w:sz="4"/>
          <w:insideH w:val="single" w:color="auto" w:sz="4"/>
          <w:insideV w:val="single" w:color="auto" w:sz="4"/>
        </w:tblBorders>
      </w:tblPr>
      <w:tblGrid>
        <w:gridCol w:w="100"/>
      </w:tblGrid>
      <w:tr>
        <w:tc>
          <w:tcPr>
            <w:shd w:fill="F1F4F8" w:val="clear"/>
            <w:tcMar>
              <w:top w:type="dxa" w:w="520"/>
              <w:left w:type="dxa" w:w="200"/>
              <w:bottom w:type="dxa" w:w="520"/>
              <w:right w:type="dxa" w:w="200"/>
            </w:tcMar>
          </w:tcPr>
          <w:p>
            <w:pPr>
              <w:spacing w:after="70"/>
              <w:jc w:val="center"/>
            </w:pPr>
            <w:r>
              <w:rPr>
                <w:rFonts w:ascii="Arial" w:cs="Arial" w:eastAsia="Arial" w:hAnsi="Arial"/>
                <w:b/>
                <w:bCs/>
                <w:color w:val="2563EB"/>
                <w:spacing w:val="24"/>
                <w:sz w:val="16"/>
                <w:szCs w:val="16"/>
              </w:rPr>
              <w:t xml:space="preserve">[ CHART SLOT ]</w:t>
            </w:r>
          </w:p>
          <w:p>
            <w:pPr>
              <w:spacing w:after="50"/>
              <w:jc w:val="center"/>
            </w:pPr>
            <w:r>
              <w:rPr>
                <w:rFonts w:ascii="Arial" w:cs="Arial" w:eastAsia="Arial" w:hAnsi="Arial"/>
                <w:b/>
                <w:bCs/>
                <w:color w:val="1B2A41"/>
                <w:sz w:val="21"/>
                <w:szCs w:val="21"/>
              </w:rPr>
              <w:t xml:space="preserve">Figure 1 — OEE Line 3, January to June 2026 against the 78% target</w:t>
            </w:r>
          </w:p>
          <w:p>
            <w:pPr>
              <w:jc w:val="center"/>
            </w:pPr>
            <w:r>
              <w:rPr>
                <w:rFonts w:ascii="Arial" w:cs="Arial" w:eastAsia="Arial" w:hAnsi="Arial"/>
                <w:color w:val="667085"/>
                <w:sz w:val="16"/>
                <w:szCs w:val="16"/>
              </w:rPr>
              <w:t xml:space="preserve">Bound to Results → KPI (NW-OEE-L3). Rendered by the generator; the template owns the frame, caption and numbering.</w:t>
            </w:r>
          </w:p>
        </w:tc>
      </w:tr>
    </w:tbl>
    <w:p>
      <w:pPr>
        <w:spacing w:after="240" w:before="60"/>
      </w:pPr>
      <w:r>
        <w:rPr>
          <w:rFonts w:ascii="Arial" w:cs="Arial" w:eastAsia="Arial" w:hAnsi="Arial"/>
          <w:i/>
          <w:iCs/>
          <w:color w:val="667085"/>
          <w:sz w:val="16"/>
          <w:szCs w:val="16"/>
        </w:rPr>
        <w:t xml:space="preserve">Figure 1 — Placeholder. In the generated document this frame carries the live chart.</w:t>
      </w:r>
    </w:p>
    <w:p>
      <w:pPr>
        <w:pStyle w:val="Heading1"/>
        <w:pBdr>
          <w:bottom w:val="single" w:color="2563EB" w:sz="6" w:space="6"/>
        </w:pBdr>
        <w:spacing w:after="170" w:before="380"/>
      </w:pPr>
      <w:r>
        <w:rPr>
          <w:rFonts w:ascii="Arial" w:cs="Arial" w:eastAsia="Arial" w:hAnsi="Arial"/>
          <w:b/>
          <w:bCs/>
          <w:color w:val="2563EB"/>
          <w:sz w:val="30"/>
          <w:szCs w:val="30"/>
        </w:rPr>
        <w:t xml:space="preserve">5.  </w:t>
      </w:r>
      <w:r>
        <w:rPr>
          <w:rFonts w:ascii="Arial" w:cs="Arial" w:eastAsia="Arial" w:hAnsi="Arial"/>
          <w:b/>
          <w:bCs/>
          <w:color w:val="1B2A41"/>
          <w:sz w:val="30"/>
          <w:szCs w:val="30"/>
        </w:rPr>
        <w:t xml:space="preserve">Maturity matrix</w:t>
      </w:r>
    </w:p>
    <w:p>
      <w:pPr>
        <w:spacing w:after="140" w:line="276"/>
        <w:jc w:val="both"/>
      </w:pPr>
      <w:r>
        <w:rPr>
          <w:rFonts w:ascii="Arial" w:cs="Arial" w:eastAsia="Arial" w:hAnsi="Arial"/>
          <w:color w:val="101828"/>
          <w:sz w:val="21"/>
          <w:szCs w:val="21"/>
        </w:rPr>
        <w:t xml:space="preserve">The matrix below is the frozen DRD output. Every axis is scored on its own scale length, so the current level is read against the number of levels defined for that axis, not against a single common ceiling.</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600"/>
        <w:gridCol w:w="2900"/>
        <w:gridCol w:w="1400"/>
        <w:gridCol w:w="1300"/>
        <w:gridCol w:w="1600"/>
        <w:gridCol w:w="1100"/>
      </w:tblGrid>
      <w:tr>
        <w:trPr>
          <w:tblHeader/>
        </w:trPr>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Axis</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Levels in model</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Current level</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Position on scale</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Priority</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1</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Customer &amp; Market</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7</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43%</w:t>
            </w:r>
          </w:p>
        </w:tc>
        <w:tc>
          <w:tcPr>
            <w:tcMar>
              <w:top w:type="dxa" w:w="80"/>
              <w:left w:type="dxa" w:w="120"/>
              <w:bottom w:type="dxa" w:w="80"/>
              <w:right w:type="dxa" w:w="120"/>
            </w:tcMar>
            <w:vAlign w:val="center"/>
          </w:tcPr>
          <w:p>
            <w:pPr>
              <w:jc w:val="left"/>
            </w:pPr>
            <w:r>
              <w:rPr>
                <w:rFonts w:ascii="Arial" w:cs="Arial" w:eastAsia="Arial" w:hAnsi="Arial"/>
                <w:b/>
                <w:bCs/>
                <w:color w:val="B45309"/>
                <w:sz w:val="18"/>
                <w:szCs w:val="18"/>
              </w:rPr>
              <w:t xml:space="preserve">High</w:t>
            </w:r>
          </w:p>
        </w:tc>
      </w:tr>
      <w:tr>
        <w:trPr>
          <w:cantSplit/>
        </w:trPr>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2</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Strategy &amp; Portfolio Governance</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5</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60%</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Medium</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3</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Operating Model &amp; Collaboration</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5</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60%</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Medium</w:t>
            </w:r>
          </w:p>
        </w:tc>
      </w:tr>
      <w:tr>
        <w:trPr>
          <w:cantSplit/>
        </w:trPr>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4</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Data &amp; Value Foundation</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7</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43%</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B45309"/>
                <w:sz w:val="18"/>
                <w:szCs w:val="18"/>
              </w:rPr>
              <w:t xml:space="preserve">High</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5</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Leadership &amp; Adoption</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6</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50%</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Medium</w:t>
            </w:r>
          </w:p>
        </w:tc>
      </w:tr>
      <w:tr>
        <w:trPr>
          <w:cantSplit/>
        </w:trPr>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6</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Technology &amp; Cyber</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6</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50%</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Medium</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7</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AI &amp; Advanced Analytics</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5</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60%</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Medium</w:t>
            </w:r>
          </w:p>
        </w:tc>
      </w:tr>
      <w:tr>
        <w:trPr>
          <w:cantSplit/>
        </w:trPr>
        <w:tc>
          <w:tcPr>
            <w:shd w:fill="DBE7FF"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Overall maturity</w:t>
            </w:r>
          </w:p>
        </w:tc>
        <w:tc>
          <w:tcPr>
            <w:shd w:fill="DBE7FF" w:val="clear"/>
            <w:tcMar>
              <w:top w:type="dxa" w:w="80"/>
              <w:left w:type="dxa" w:w="120"/>
              <w:bottom w:type="dxa" w:w="80"/>
              <w:right w:type="dxa" w:w="120"/>
            </w:tcMar>
            <w:vAlign w:val="center"/>
          </w:tcPr>
          <w:p>
            <w:pPr>
              <w:jc w:val="center"/>
            </w:pPr>
            <w:r>
              <w:rPr>
                <w:rFonts w:ascii="Arial" w:cs="Arial" w:eastAsia="Arial" w:hAnsi="Arial"/>
                <w:b w:val="false"/>
                <w:bCs w:val="false"/>
                <w:color w:val="1B2A41"/>
                <w:sz w:val="18"/>
                <w:szCs w:val="18"/>
              </w:rPr>
              <w:t xml:space="preserve">—</w:t>
            </w:r>
          </w:p>
        </w:tc>
        <w:tc>
          <w:tcPr>
            <w:shd w:fill="DBE7FF" w:val="clear"/>
            <w:tcMar>
              <w:top w:type="dxa" w:w="80"/>
              <w:left w:type="dxa" w:w="120"/>
              <w:bottom w:type="dxa" w:w="80"/>
              <w:right w:type="dxa" w:w="120"/>
            </w:tcMar>
            <w:vAlign w:val="center"/>
          </w:tcPr>
          <w:p>
            <w:pPr>
              <w:jc w:val="center"/>
            </w:pPr>
            <w:r>
              <w:rPr>
                <w:rFonts w:ascii="Arial" w:cs="Arial" w:eastAsia="Arial" w:hAnsi="Arial"/>
                <w:b/>
                <w:bCs/>
                <w:color w:val="1B2A41"/>
                <w:sz w:val="18"/>
                <w:szCs w:val="18"/>
              </w:rPr>
              <w:t xml:space="preserve">3</w:t>
            </w:r>
          </w:p>
        </w:tc>
        <w:tc>
          <w:tcPr>
            <w:shd w:fill="DBE7FF" w:val="clear"/>
            <w:tcMar>
              <w:top w:type="dxa" w:w="80"/>
              <w:left w:type="dxa" w:w="120"/>
              <w:bottom w:type="dxa" w:w="80"/>
              <w:right w:type="dxa" w:w="120"/>
            </w:tcMar>
            <w:vAlign w:val="center"/>
          </w:tcPr>
          <w:p>
            <w:pPr>
              <w:jc w:val="center"/>
            </w:pPr>
            <w:r>
              <w:rPr>
                <w:rFonts w:ascii="Arial" w:cs="Arial" w:eastAsia="Arial" w:hAnsi="Arial"/>
                <w:b/>
                <w:bCs/>
                <w:color w:val="1B2A41"/>
                <w:sz w:val="18"/>
                <w:szCs w:val="18"/>
              </w:rPr>
              <w:t xml:space="preserve">Defined / Emerging</w:t>
            </w:r>
          </w:p>
        </w:tc>
        <w:tc>
          <w:tcPr>
            <w:shd w:fill="DBE7FF"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
            </w:r>
          </w:p>
        </w:tc>
      </w:tr>
    </w:tbl>
    <w:p>
      <w:pPr>
        <w:spacing w:after="240" w:before="60"/>
      </w:pPr>
      <w:r>
        <w:rPr>
          <w:rFonts w:ascii="Arial" w:cs="Arial" w:eastAsia="Arial" w:hAnsi="Arial"/>
          <w:i/>
          <w:iCs/>
          <w:color w:val="667085"/>
          <w:sz w:val="16"/>
          <w:szCs w:val="16"/>
        </w:rPr>
        <w:t xml:space="preserve">Table 3 — Seven-axis maturity matrix. Source: assessment report 71de85bb (axis_data), frozen 2026.</w:t>
      </w:r>
    </w:p>
    <w:p>
      <w:pPr>
        <w:pStyle w:val="Heading1"/>
        <w:pBdr>
          <w:bottom w:val="single" w:color="2563EB" w:sz="6" w:space="6"/>
        </w:pBdr>
        <w:spacing w:after="170" w:before="380"/>
      </w:pPr>
      <w:r>
        <w:rPr>
          <w:rFonts w:ascii="Arial" w:cs="Arial" w:eastAsia="Arial" w:hAnsi="Arial"/>
          <w:b/>
          <w:bCs/>
          <w:color w:val="2563EB"/>
          <w:sz w:val="30"/>
          <w:szCs w:val="30"/>
        </w:rPr>
        <w:t xml:space="preserve">6.  </w:t>
      </w:r>
      <w:r>
        <w:rPr>
          <w:rFonts w:ascii="Arial" w:cs="Arial" w:eastAsia="Arial" w:hAnsi="Arial"/>
          <w:b/>
          <w:bCs/>
          <w:color w:val="1B2A41"/>
          <w:sz w:val="30"/>
          <w:szCs w:val="30"/>
        </w:rPr>
        <w:t xml:space="preserve">Recommendations</w:t>
      </w:r>
    </w:p>
    <w:p>
      <w:pPr>
        <w:spacing w:after="140" w:line="276"/>
        <w:jc w:val="both"/>
      </w:pPr>
      <w:r>
        <w:rPr>
          <w:rFonts w:ascii="Arial" w:cs="Arial" w:eastAsia="Arial" w:hAnsi="Arial"/>
          <w:color w:val="101828"/>
          <w:sz w:val="21"/>
          <w:szCs w:val="21"/>
        </w:rPr>
        <w:t xml:space="preserve">Sequence investment as: (1) a shared data foundation connecting production, quality and supplier signals; (2) digital work instructions to reduce key-person dependency on changeovers and SPC interpretation; (3) predictive maintenance piloted on the highest-cost failure mode (press line gearboxes); (4) OT/IT segmentation hardening in parallel, before further shopfloor connectivity expands the attack surface.</w:t>
      </w:r>
    </w:p>
    <w:p>
      <w:pPr>
        <w:pStyle w:val="Heading2"/>
        <w:spacing w:after="110" w:before="240"/>
      </w:pPr>
      <w:r>
        <w:rPr>
          <w:rFonts w:ascii="Arial" w:cs="Arial" w:eastAsia="Arial" w:hAnsi="Arial"/>
          <w:b/>
          <w:bCs/>
          <w:color w:val="2563EB"/>
          <w:sz w:val="23"/>
          <w:szCs w:val="23"/>
        </w:rPr>
        <w:t xml:space="preserve">6.1  </w:t>
      </w:r>
      <w:r>
        <w:rPr>
          <w:rFonts w:ascii="Arial" w:cs="Arial" w:eastAsia="Arial" w:hAnsi="Arial"/>
          <w:b/>
          <w:bCs/>
          <w:color w:val="1B2A41"/>
          <w:sz w:val="23"/>
          <w:szCs w:val="23"/>
        </w:rPr>
        <w:t xml:space="preserve">Sequenced actions</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600"/>
        <w:gridCol w:w="4200"/>
        <w:gridCol w:w="2400"/>
        <w:gridCol w:w="1500"/>
      </w:tblGrid>
      <w:tr>
        <w:trPr>
          <w:cantSplit/>
          <w:tblHeader/>
        </w:trPr>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Recommendation</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Owner</w:t>
            </w:r>
          </w:p>
        </w:tc>
        <w:tc>
          <w:tcPr>
            <w:shd w:fill="1B2A41" w:val="clear"/>
            <w:tcMar>
              <w:top w:type="dxa" w:w="90"/>
              <w:left w:type="dxa" w:w="120"/>
              <w:bottom w:type="dxa" w:w="90"/>
              <w:right w:type="dxa" w:w="120"/>
            </w:tcMar>
            <w:vAlign w:val="center"/>
          </w:tcPr>
          <w:p>
            <w:pPr>
              <w:jc w:val="right"/>
            </w:pPr>
            <w:r>
              <w:rPr>
                <w:rFonts w:ascii="Arial" w:cs="Arial" w:eastAsia="Arial" w:hAnsi="Arial"/>
                <w:b/>
                <w:bCs/>
                <w:color w:val="FFFFFF"/>
                <w:sz w:val="17"/>
                <w:szCs w:val="17"/>
              </w:rPr>
              <w:t xml:space="preserve">Investment</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1</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MES Rollout Line 3</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Plant Operations</w:t>
            </w:r>
          </w:p>
        </w:tc>
        <w:tc>
          <w:tcPr>
            <w:tcMar>
              <w:top w:type="dxa" w:w="80"/>
              <w:left w:type="dxa" w:w="120"/>
              <w:bottom w:type="dxa" w:w="80"/>
              <w:right w:type="dxa" w:w="120"/>
            </w:tcMar>
            <w:vAlign w:val="center"/>
          </w:tcPr>
          <w:p>
            <w:pPr>
              <w:jc w:val="right"/>
            </w:pPr>
            <w:r>
              <w:rPr>
                <w:rFonts w:ascii="Arial" w:cs="Arial" w:eastAsia="Arial" w:hAnsi="Arial"/>
                <w:b w:val="false"/>
                <w:bCs w:val="false"/>
                <w:color w:val="101828"/>
                <w:sz w:val="18"/>
                <w:szCs w:val="18"/>
              </w:rPr>
              <w:t xml:space="preserve">£410k</w:t>
            </w:r>
          </w:p>
        </w:tc>
      </w:tr>
      <w:tr>
        <w:trPr>
          <w:cantSplit/>
        </w:trPr>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2</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Warehouse Automation Pilot</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Plant Operations</w:t>
            </w:r>
          </w:p>
        </w:tc>
        <w:tc>
          <w:tcPr>
            <w:shd w:fill="F1F4F8" w:val="clear"/>
            <w:tcMar>
              <w:top w:type="dxa" w:w="80"/>
              <w:left w:type="dxa" w:w="120"/>
              <w:bottom w:type="dxa" w:w="80"/>
              <w:right w:type="dxa" w:w="120"/>
            </w:tcMar>
            <w:vAlign w:val="center"/>
          </w:tcPr>
          <w:p>
            <w:pPr>
              <w:jc w:val="right"/>
            </w:pPr>
            <w:r>
              <w:rPr>
                <w:rFonts w:ascii="Arial" w:cs="Arial" w:eastAsia="Arial" w:hAnsi="Arial"/>
                <w:b w:val="false"/>
                <w:bCs w:val="false"/>
                <w:color w:val="101828"/>
                <w:sz w:val="18"/>
                <w:szCs w:val="18"/>
              </w:rPr>
              <w:t xml:space="preserve">£520k</w:t>
            </w:r>
          </w:p>
        </w:tc>
      </w:tr>
      <w:tr>
        <w:trPr>
          <w:cantSplit/>
        </w:trPr>
        <w:tc>
          <w:tcP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3</w:t>
            </w:r>
          </w:p>
        </w:tc>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Predictive Maintenance for CNC Line</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Engineering &amp; Quality</w:t>
            </w:r>
          </w:p>
        </w:tc>
        <w:tc>
          <w:tcPr>
            <w:tcMar>
              <w:top w:type="dxa" w:w="80"/>
              <w:left w:type="dxa" w:w="120"/>
              <w:bottom w:type="dxa" w:w="80"/>
              <w:right w:type="dxa" w:w="120"/>
            </w:tcMar>
            <w:vAlign w:val="center"/>
          </w:tcPr>
          <w:p>
            <w:pPr>
              <w:jc w:val="right"/>
            </w:pPr>
            <w:r>
              <w:rPr>
                <w:rFonts w:ascii="Arial" w:cs="Arial" w:eastAsia="Arial" w:hAnsi="Arial"/>
                <w:b w:val="false"/>
                <w:bCs w:val="false"/>
                <w:color w:val="101828"/>
                <w:sz w:val="18"/>
                <w:szCs w:val="18"/>
              </w:rPr>
              <w:t xml:space="preserve">£285k</w:t>
            </w:r>
          </w:p>
        </w:tc>
      </w:tr>
      <w:tr>
        <w:trPr>
          <w:cantSplit/>
        </w:trPr>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667085"/>
                <w:sz w:val="18"/>
                <w:szCs w:val="18"/>
              </w:rPr>
              <w:t xml:space="preserve">4</w:t>
            </w:r>
          </w:p>
        </w:tc>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Skills Matrix and Upskilling</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Digital and Data</w:t>
            </w:r>
          </w:p>
        </w:tc>
        <w:tc>
          <w:tcPr>
            <w:shd w:fill="F1F4F8" w:val="clear"/>
            <w:tcMar>
              <w:top w:type="dxa" w:w="80"/>
              <w:left w:type="dxa" w:w="120"/>
              <w:bottom w:type="dxa" w:w="80"/>
              <w:right w:type="dxa" w:w="120"/>
            </w:tcMar>
            <w:vAlign w:val="center"/>
          </w:tcPr>
          <w:p>
            <w:pPr>
              <w:jc w:val="right"/>
            </w:pPr>
            <w:r>
              <w:rPr>
                <w:rFonts w:ascii="Arial" w:cs="Arial" w:eastAsia="Arial" w:hAnsi="Arial"/>
                <w:b w:val="false"/>
                <w:bCs w:val="false"/>
                <w:color w:val="101828"/>
                <w:sz w:val="18"/>
                <w:szCs w:val="18"/>
              </w:rPr>
              <w:t xml:space="preserve">£95k</w:t>
            </w:r>
          </w:p>
        </w:tc>
      </w:tr>
      <w:tr>
        <w:trPr>
          <w:cantSplit/>
        </w:trPr>
        <w:tc>
          <w:tcPr>
            <w:shd w:fill="DBE7FF"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Total</w:t>
            </w:r>
          </w:p>
        </w:tc>
        <w:tc>
          <w:tcPr>
            <w:shd w:fill="DBE7FF"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
            </w:r>
          </w:p>
        </w:tc>
        <w:tc>
          <w:tcPr>
            <w:shd w:fill="DBE7FF" w:val="clear"/>
            <w:tcMar>
              <w:top w:type="dxa" w:w="80"/>
              <w:left w:type="dxa" w:w="120"/>
              <w:bottom w:type="dxa" w:w="80"/>
              <w:right w:type="dxa" w:w="120"/>
            </w:tcMar>
            <w:vAlign w:val="center"/>
          </w:tcPr>
          <w:p>
            <w:pPr>
              <w:jc w:val="right"/>
            </w:pPr>
            <w:r>
              <w:rPr>
                <w:rFonts w:ascii="Arial" w:cs="Arial" w:eastAsia="Arial" w:hAnsi="Arial"/>
                <w:b/>
                <w:bCs/>
                <w:color w:val="1B2A41"/>
                <w:sz w:val="18"/>
                <w:szCs w:val="18"/>
              </w:rPr>
              <w:t xml:space="preserve">£1310k</w:t>
            </w:r>
          </w:p>
        </w:tc>
      </w:tr>
    </w:tbl>
    <w:p>
      <w:pPr>
        <w:spacing w:after="240" w:before="60"/>
      </w:pPr>
      <w:r>
        <w:rPr>
          <w:rFonts w:ascii="Arial" w:cs="Arial" w:eastAsia="Arial" w:hAnsi="Arial"/>
          <w:i/>
          <w:iCs/>
          <w:color w:val="667085"/>
          <w:sz w:val="16"/>
          <w:szCs w:val="16"/>
        </w:rPr>
        <w:t xml:space="preserve">Table 4 — Recommended sequence with registered budgets. Source: Consultify · Initiatives.</w:t>
      </w:r>
    </w:p>
    <w:p>
      <w:pPr>
        <w:pStyle w:val="Heading1"/>
        <w:pBdr>
          <w:bottom w:val="single" w:color="2563EB" w:sz="6" w:space="6"/>
        </w:pBdr>
        <w:spacing w:after="170" w:before="380"/>
      </w:pPr>
      <w:r>
        <w:rPr>
          <w:rFonts w:ascii="Arial" w:cs="Arial" w:eastAsia="Arial" w:hAnsi="Arial"/>
          <w:b/>
          <w:bCs/>
          <w:color w:val="2563EB"/>
          <w:sz w:val="30"/>
          <w:szCs w:val="30"/>
        </w:rPr>
        <w:t xml:space="preserve">7.  </w:t>
      </w:r>
      <w:r>
        <w:rPr>
          <w:rFonts w:ascii="Arial" w:cs="Arial" w:eastAsia="Arial" w:hAnsi="Arial"/>
          <w:b/>
          <w:bCs/>
          <w:color w:val="1B2A41"/>
          <w:sz w:val="30"/>
          <w:szCs w:val="30"/>
        </w:rPr>
        <w:t xml:space="preserve">Roadmap</w:t>
      </w:r>
    </w:p>
    <w:p>
      <w:pPr>
        <w:spacing w:after="140" w:line="276"/>
        <w:jc w:val="both"/>
      </w:pPr>
      <w:r>
        <w:rPr>
          <w:rFonts w:ascii="Arial" w:cs="Arial" w:eastAsia="Arial" w:hAnsi="Arial"/>
          <w:color w:val="101828"/>
          <w:sz w:val="21"/>
          <w:szCs w:val="21"/>
        </w:rPr>
        <w:t xml:space="preserve">The roadmap below reflects registered start and end dates. Option A of the board decision re-baselines the Warehouse Automation Pilot by one quarter; the envelope is unchanged.</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3400"/>
        <w:gridCol w:w="1900"/>
        <w:gridCol w:w="1200"/>
        <w:gridCol w:w="1200"/>
        <w:gridCol w:w="1000"/>
      </w:tblGrid>
      <w:tr>
        <w:trPr>
          <w:cantSplit/>
          <w:tblHeader/>
        </w:trPr>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Initiative</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Status</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Start</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End</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Progress</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MES Rollout Line 3</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In execution</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May 2026</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Jun 2027</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35%</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Warehouse Automation Pilot</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In execution</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Mar 2026</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Jan 2027</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15%</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Predictive Maintenance for CNC Line</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In execution</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Apr 2026</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Mar 2027</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28%</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Skills Matrix and Upskilling</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In execution</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Feb 2026</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Dec 2026</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30%</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Energy Monitoring and ISO 50001</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Approved</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Oct 2026</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Sep 2027</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0%</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Supplier Quality Gate</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Approved</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Nov 2026</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Aug 2027</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0%</w:t>
            </w:r>
          </w:p>
        </w:tc>
      </w:tr>
    </w:tbl>
    <w:p>
      <w:pPr>
        <w:spacing w:after="240" w:before="60"/>
      </w:pPr>
      <w:r>
        <w:rPr>
          <w:rFonts w:ascii="Arial" w:cs="Arial" w:eastAsia="Arial" w:hAnsi="Arial"/>
          <w:i/>
          <w:iCs/>
          <w:color w:val="667085"/>
          <w:sz w:val="16"/>
          <w:szCs w:val="16"/>
        </w:rPr>
        <w:t xml:space="preserve">Table 5 — Portfolio roadmap. Source: Consultify · Initiatives, September 2026.</w:t>
      </w:r>
    </w:p>
    <w:p>
      <w:pPr>
        <w:pStyle w:val="Heading1"/>
        <w:pBdr>
          <w:bottom w:val="single" w:color="2563EB" w:sz="6" w:space="6"/>
        </w:pBdr>
        <w:spacing w:after="170" w:before="380"/>
      </w:pPr>
      <w:r>
        <w:rPr>
          <w:rFonts w:ascii="Arial" w:cs="Arial" w:eastAsia="Arial" w:hAnsi="Arial"/>
          <w:b/>
          <w:bCs/>
          <w:color w:val="2563EB"/>
          <w:sz w:val="30"/>
          <w:szCs w:val="30"/>
        </w:rPr>
        <w:t xml:space="preserve">8.  </w:t>
      </w:r>
      <w:r>
        <w:rPr>
          <w:rFonts w:ascii="Arial" w:cs="Arial" w:eastAsia="Arial" w:hAnsi="Arial"/>
          <w:b/>
          <w:bCs/>
          <w:color w:val="1B2A41"/>
          <w:sz w:val="30"/>
          <w:szCs w:val="30"/>
        </w:rPr>
        <w:t xml:space="preserve">Appendix</w:t>
      </w:r>
    </w:p>
    <w:p>
      <w:pPr>
        <w:pStyle w:val="Heading2"/>
        <w:spacing w:after="110" w:before="240"/>
      </w:pPr>
      <w:r>
        <w:rPr>
          <w:rFonts w:ascii="Arial" w:cs="Arial" w:eastAsia="Arial" w:hAnsi="Arial"/>
          <w:b/>
          <w:bCs/>
          <w:color w:val="2563EB"/>
          <w:sz w:val="23"/>
          <w:szCs w:val="23"/>
        </w:rPr>
        <w:t xml:space="preserve">A  </w:t>
      </w:r>
      <w:r>
        <w:rPr>
          <w:rFonts w:ascii="Arial" w:cs="Arial" w:eastAsia="Arial" w:hAnsi="Arial"/>
          <w:b/>
          <w:bCs/>
          <w:color w:val="1B2A41"/>
          <w:sz w:val="23"/>
          <w:szCs w:val="23"/>
        </w:rPr>
        <w:t xml:space="preserve">RAID items above tolerance</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1500"/>
        <w:gridCol w:w="4200"/>
        <w:gridCol w:w="1100"/>
        <w:gridCol w:w="1100"/>
        <w:gridCol w:w="900"/>
      </w:tblGrid>
      <w:tr>
        <w:trPr>
          <w:cantSplit/>
          <w:tblHeader/>
        </w:trPr>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Type</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Item</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P</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I</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Score</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RISK</w:t>
            </w:r>
          </w:p>
        </w:tc>
        <w:tc>
          <w:tcP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Line 3 cutover slips past the summer shutdown window</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Critical</w:t>
            </w:r>
          </w:p>
        </w:tc>
        <w:tc>
          <w:tcPr>
            <w:tcMar>
              <w:top w:type="dxa" w:w="80"/>
              <w:left w:type="dxa" w:w="120"/>
              <w:bottom w:type="dxa" w:w="80"/>
              <w:right w:type="dxa" w:w="120"/>
            </w:tcMar>
            <w:vAlign w:val="center"/>
          </w:tcPr>
          <w:p>
            <w:pPr>
              <w:jc w:val="center"/>
            </w:pPr>
            <w:r>
              <w:rPr>
                <w:rFonts w:ascii="Arial" w:cs="Arial" w:eastAsia="Arial" w:hAnsi="Arial"/>
                <w:b/>
                <w:bCs/>
                <w:color w:val="B42318"/>
                <w:sz w:val="18"/>
                <w:szCs w:val="18"/>
              </w:rPr>
              <w:t xml:space="preserve">12</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ISSUE</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Works council has not signed the shuttle safety case</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Critical</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B42318"/>
                <w:sz w:val="18"/>
                <w:szCs w:val="18"/>
              </w:rPr>
              <w:t xml:space="preserve">12</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RISK</w:t>
            </w:r>
          </w:p>
        </w:tc>
        <w:tc>
          <w:tcP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Paused upskilling leaves key roles single-deep</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9</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ISSUE</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Downtime reason codes not agreed between Quality and Operations</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shd w:fill="F1F4F8" w:val="clea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9</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DEPENDENCY</w:t>
            </w:r>
          </w:p>
        </w:tc>
        <w:tc>
          <w:tcPr>
            <w:tcMar>
              <w:top w:type="dxa" w:w="80"/>
              <w:left w:type="dxa" w:w="120"/>
              <w:bottom w:type="dxa" w:w="80"/>
              <w:right w:type="dxa" w:w="120"/>
            </w:tcMar>
            <w:vAlign w:val="center"/>
          </w:tcPr>
          <w:p>
            <w:pPr>
              <w:jc w:val="left"/>
            </w:pPr>
            <w:r>
              <w:rPr>
                <w:rFonts w:ascii="Arial" w:cs="Arial" w:eastAsia="Arial" w:hAnsi="Arial"/>
                <w:b w:val="false"/>
                <w:bCs w:val="false"/>
                <w:color w:val="101828"/>
                <w:sz w:val="18"/>
                <w:szCs w:val="18"/>
              </w:rPr>
              <w:t xml:space="preserve">SCADA bridge depends on the vendor firmware release</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Medium</w:t>
            </w:r>
          </w:p>
        </w:tc>
        <w:tc>
          <w:tcPr>
            <w:tcMar>
              <w:top w:type="dxa" w:w="80"/>
              <w:left w:type="dxa" w:w="120"/>
              <w:bottom w:type="dxa" w:w="80"/>
              <w:right w:type="dxa" w:w="120"/>
            </w:tcMar>
            <w:vAlign w:val="center"/>
          </w:tcPr>
          <w:p>
            <w:pPr>
              <w:jc w:val="center"/>
            </w:pPr>
            <w:r>
              <w:rPr>
                <w:rFonts w:ascii="Arial" w:cs="Arial" w:eastAsia="Arial" w:hAnsi="Arial"/>
                <w:b w:val="false"/>
                <w:bCs w:val="false"/>
                <w:color w:val="46556B"/>
                <w:sz w:val="18"/>
                <w:szCs w:val="18"/>
              </w:rPr>
              <w:t xml:space="preserve">High</w:t>
            </w:r>
          </w:p>
        </w:tc>
        <w:tc>
          <w:tcPr>
            <w:tcMar>
              <w:top w:type="dxa" w:w="80"/>
              <w:left w:type="dxa" w:w="120"/>
              <w:bottom w:type="dxa" w:w="80"/>
              <w:right w:type="dxa" w:w="120"/>
            </w:tcMar>
            <w:vAlign w:val="center"/>
          </w:tcPr>
          <w:p>
            <w:pPr>
              <w:jc w:val="center"/>
            </w:pPr>
            <w:r>
              <w:rPr>
                <w:rFonts w:ascii="Arial" w:cs="Arial" w:eastAsia="Arial" w:hAnsi="Arial"/>
                <w:b/>
                <w:bCs/>
                <w:color w:val="101828"/>
                <w:sz w:val="18"/>
                <w:szCs w:val="18"/>
              </w:rPr>
              <w:t xml:space="preserve">6</w:t>
            </w:r>
          </w:p>
        </w:tc>
      </w:tr>
    </w:tbl>
    <w:p>
      <w:pPr>
        <w:spacing w:after="240" w:before="60"/>
      </w:pPr>
      <w:r>
        <w:rPr>
          <w:rFonts w:ascii="Arial" w:cs="Arial" w:eastAsia="Arial" w:hAnsi="Arial"/>
          <w:i/>
          <w:iCs/>
          <w:color w:val="667085"/>
          <w:sz w:val="16"/>
          <w:szCs w:val="16"/>
        </w:rPr>
        <w:t xml:space="preserve">Table A1 — RAID register extract. Source: Consultify · Execution → RAID.</w:t>
      </w:r>
    </w:p>
    <w:p>
      <w:pPr>
        <w:pStyle w:val="Heading2"/>
        <w:spacing w:after="110" w:before="240"/>
      </w:pPr>
      <w:r>
        <w:rPr>
          <w:rFonts w:ascii="Arial" w:cs="Arial" w:eastAsia="Arial" w:hAnsi="Arial"/>
          <w:b/>
          <w:bCs/>
          <w:color w:val="2563EB"/>
          <w:sz w:val="23"/>
          <w:szCs w:val="23"/>
        </w:rPr>
        <w:t xml:space="preserve">B  </w:t>
      </w:r>
      <w:r>
        <w:rPr>
          <w:rFonts w:ascii="Arial" w:cs="Arial" w:eastAsia="Arial" w:hAnsi="Arial"/>
          <w:b/>
          <w:bCs/>
          <w:color w:val="1B2A41"/>
          <w:sz w:val="23"/>
          <w:szCs w:val="23"/>
        </w:rPr>
        <w:t xml:space="preserve">Supplier goods-in nonconformance, Q2 to Q3 2026</w:t>
      </w:r>
    </w:p>
    <w:tbl>
      <w:tblPr>
        <w:tblW w:type="pct" w:w="100%"/>
        <w:tblBorders>
          <w:top w:val="single" w:color="D8DEE8" w:sz="2"/>
          <w:left w:val="single" w:color="D8DEE8" w:sz="2"/>
          <w:bottom w:val="single" w:color="D8DEE8" w:sz="2"/>
          <w:right w:val="single" w:color="D8DEE8" w:sz="2"/>
          <w:insideH w:val="single" w:color="D8DEE8" w:sz="2"/>
          <w:insideV w:val="single" w:color="D8DEE8" w:sz="2"/>
        </w:tblBorders>
      </w:tblPr>
      <w:tblGrid>
        <w:gridCol w:w="3000"/>
        <w:gridCol w:w="1700"/>
        <w:gridCol w:w="1600"/>
        <w:gridCol w:w="1600"/>
        <w:gridCol w:w="1900"/>
      </w:tblGrid>
      <w:tr>
        <w:trPr>
          <w:cantSplit/>
          <w:tblHeader/>
        </w:trPr>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Supplier</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Site</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NC rate Q2</w:t>
            </w:r>
          </w:p>
        </w:tc>
        <w:tc>
          <w:tcPr>
            <w:shd w:fill="1B2A41" w:val="clear"/>
            <w:tcMar>
              <w:top w:type="dxa" w:w="90"/>
              <w:left w:type="dxa" w:w="120"/>
              <w:bottom w:type="dxa" w:w="90"/>
              <w:right w:type="dxa" w:w="120"/>
            </w:tcMar>
            <w:vAlign w:val="center"/>
          </w:tcPr>
          <w:p>
            <w:pPr>
              <w:jc w:val="center"/>
            </w:pPr>
            <w:r>
              <w:rPr>
                <w:rFonts w:ascii="Arial" w:cs="Arial" w:eastAsia="Arial" w:hAnsi="Arial"/>
                <w:b/>
                <w:bCs/>
                <w:color w:val="FFFFFF"/>
                <w:sz w:val="17"/>
                <w:szCs w:val="17"/>
              </w:rPr>
              <w:t xml:space="preserve">NC rate Q3</w:t>
            </w:r>
          </w:p>
        </w:tc>
        <w:tc>
          <w:tcPr>
            <w:shd w:fill="1B2A41" w:val="clear"/>
            <w:tcMar>
              <w:top w:type="dxa" w:w="90"/>
              <w:left w:type="dxa" w:w="120"/>
              <w:bottom w:type="dxa" w:w="90"/>
              <w:right w:type="dxa" w:w="120"/>
            </w:tcMar>
            <w:vAlign w:val="center"/>
          </w:tcPr>
          <w:p>
            <w:pPr>
              <w:jc w:val="left"/>
            </w:pPr>
            <w:r>
              <w:rPr>
                <w:rFonts w:ascii="Arial" w:cs="Arial" w:eastAsia="Arial" w:hAnsi="Arial"/>
                <w:b/>
                <w:bCs/>
                <w:color w:val="FFFFFF"/>
                <w:sz w:val="17"/>
                <w:szCs w:val="17"/>
              </w:rPr>
              <w:t xml:space="preserve">Trend</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Brayford Tooling Ltd.</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Rotherham</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6.3%</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8.0%</w:t>
            </w:r>
          </w:p>
        </w:tc>
        <w:tc>
          <w:tcPr>
            <w:tcMar>
              <w:top w:type="dxa" w:w="80"/>
              <w:left w:type="dxa" w:w="120"/>
              <w:bottom w:type="dxa" w:w="80"/>
              <w:right w:type="dxa" w:w="120"/>
            </w:tcMar>
            <w:vAlign w:val="center"/>
          </w:tcPr>
          <w:p>
            <w:pPr>
              <w:jc w:val="left"/>
            </w:pPr>
            <w:r>
              <w:rPr>
                <w:rFonts w:ascii="Arial" w:cs="Arial" w:eastAsia="Arial" w:hAnsi="Arial"/>
                <w:b/>
                <w:bCs/>
                <w:color w:val="B42318"/>
                <w:sz w:val="18"/>
                <w:szCs w:val="18"/>
              </w:rPr>
              <w:t xml:space="preserve">Worsening</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Halstead Components</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Leeds</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2.2%</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1.5%</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Improving</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St Albans Fasteners</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Wakefield</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5.1%</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5.5%</w:t>
            </w:r>
          </w:p>
        </w:tc>
        <w:tc>
          <w:tcPr>
            <w:tcMar>
              <w:top w:type="dxa" w:w="80"/>
              <w:left w:type="dxa" w:w="120"/>
              <w:bottom w:type="dxa" w:w="80"/>
              <w:right w:type="dxa" w:w="120"/>
            </w:tcMar>
            <w:vAlign w:val="center"/>
          </w:tcPr>
          <w:p>
            <w:pPr>
              <w:jc w:val="left"/>
            </w:pPr>
            <w:r>
              <w:rPr>
                <w:rFonts w:ascii="Arial" w:cs="Arial" w:eastAsia="Arial" w:hAnsi="Arial"/>
                <w:b/>
                <w:bCs/>
                <w:color w:val="B42318"/>
                <w:sz w:val="18"/>
                <w:szCs w:val="18"/>
              </w:rPr>
              <w:t xml:space="preserve">Worsening</w:t>
            </w:r>
          </w:p>
        </w:tc>
      </w:tr>
      <w:tr>
        <w:trPr>
          <w:cantSplit/>
        </w:trPr>
        <w:tc>
          <w:tcPr>
            <w:shd w:fill="F1F4F8" w:val="clea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Pennine Castings</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Rotherham</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2.1%</w:t>
            </w:r>
          </w:p>
        </w:tc>
        <w:tc>
          <w:tcPr>
            <w:shd w:fill="F1F4F8" w:val="clea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1.9%</w:t>
            </w:r>
          </w:p>
        </w:tc>
        <w:tc>
          <w:tcPr>
            <w:shd w:fill="F1F4F8" w:val="clea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Stable</w:t>
            </w:r>
          </w:p>
        </w:tc>
      </w:tr>
      <w:tr>
        <w:trPr>
          <w:cantSplit/>
        </w:trPr>
        <w:tc>
          <w:tcPr>
            <w:tcMar>
              <w:top w:type="dxa" w:w="80"/>
              <w:left w:type="dxa" w:w="120"/>
              <w:bottom w:type="dxa" w:w="80"/>
              <w:right w:type="dxa" w:w="120"/>
            </w:tcMar>
            <w:vAlign w:val="center"/>
          </w:tcPr>
          <w:p>
            <w:pPr>
              <w:jc w:val="left"/>
            </w:pPr>
            <w:r>
              <w:rPr>
                <w:rFonts w:ascii="Arial" w:cs="Arial" w:eastAsia="Arial" w:hAnsi="Arial"/>
                <w:b/>
                <w:bCs/>
                <w:color w:val="1B2A41"/>
                <w:sz w:val="18"/>
                <w:szCs w:val="18"/>
              </w:rPr>
              <w:t xml:space="preserve">Calder Polymers</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Leeds</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2.2%</w:t>
            </w:r>
          </w:p>
        </w:tc>
        <w:tc>
          <w:tcPr>
            <w:tcMar>
              <w:top w:type="dxa" w:w="80"/>
              <w:left w:type="dxa" w:w="120"/>
              <w:bottom w:type="dxa" w:w="80"/>
              <w:right w:type="dxa" w:w="120"/>
            </w:tcMar>
            <w:vAlign w:val="center"/>
          </w:tcPr>
          <w:p>
            <w:pPr>
              <w:jc w:val="center"/>
            </w:pPr>
            <w:r>
              <w:rPr>
                <w:rFonts w:ascii="Arial" w:cs="Arial" w:eastAsia="Arial" w:hAnsi="Arial"/>
                <w:b w:val="false"/>
                <w:bCs w:val="false"/>
                <w:color w:val="101828"/>
                <w:sz w:val="18"/>
                <w:szCs w:val="18"/>
              </w:rPr>
              <w:t xml:space="preserve">1.7%</w:t>
            </w:r>
          </w:p>
        </w:tc>
        <w:tc>
          <w:tcPr>
            <w:tcMar>
              <w:top w:type="dxa" w:w="80"/>
              <w:left w:type="dxa" w:w="120"/>
              <w:bottom w:type="dxa" w:w="80"/>
              <w:right w:type="dxa" w:w="120"/>
            </w:tcMar>
            <w:vAlign w:val="center"/>
          </w:tcPr>
          <w:p>
            <w:pPr>
              <w:jc w:val="left"/>
            </w:pPr>
            <w:r>
              <w:rPr>
                <w:rFonts w:ascii="Arial" w:cs="Arial" w:eastAsia="Arial" w:hAnsi="Arial"/>
                <w:b w:val="false"/>
                <w:bCs w:val="false"/>
                <w:color w:val="46556B"/>
                <w:sz w:val="18"/>
                <w:szCs w:val="18"/>
              </w:rPr>
              <w:t xml:space="preserve">Improving</w:t>
            </w:r>
          </w:p>
        </w:tc>
      </w:tr>
    </w:tbl>
    <w:p>
      <w:pPr>
        <w:spacing w:after="240" w:before="60"/>
      </w:pPr>
      <w:r>
        <w:rPr>
          <w:rFonts w:ascii="Arial" w:cs="Arial" w:eastAsia="Arial" w:hAnsi="Arial"/>
          <w:i/>
          <w:iCs/>
          <w:color w:val="667085"/>
          <w:sz w:val="16"/>
          <w:szCs w:val="16"/>
        </w:rPr>
        <w:t xml:space="preserve">Table A2 — Full dataset in the companion workbook “Supplier quality scorecard”.</w:t>
      </w:r>
    </w:p>
    <w:sectPr>
      <w:headerReference w:type="default" r:id="rId8"/>
      <w:footerReference w:type="default" r:id="rId9"/>
      <w:pgSz w:w="11905" w:h="16837" w:orient="portrait"/>
      <w:pgMar w:top="1133" w:right="1303" w:bottom="1133" w:left="130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8"/>
      </w:pBdr>
      <w:tabs>
        <w:tab w:val="right" w:pos="9026"/>
      </w:tabs>
    </w:pPr>
    <w:r>
      <w:rPr>
        <w:rFonts w:ascii="Arial" w:cs="Arial" w:eastAsia="Arial" w:hAnsi="Arial"/>
        <w:color w:val="667085"/>
        <w:sz w:val="14"/>
        <w:szCs w:val="14"/>
      </w:rPr>
      <w:t xml:space="preserve">Consultify  ·  Northwind Manufacturing Ltd.  ·  Confidential</w:t>
    </w:r>
    <w:r>
      <w:rPr>
        <w:rFonts w:ascii="Arial" w:cs="Arial" w:eastAsia="Arial" w:hAnsi="Arial"/>
        <w:sz w:val="14"/>
        <w:szCs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8"/>
      </w:pBdr>
      <w:tabs>
        <w:tab w:val="right" w:pos="9026"/>
      </w:tabs>
    </w:pPr>
    <w:r>
      <w:rPr>
        <w:rFonts w:ascii="Arial" w:cs="Arial" w:eastAsia="Arial" w:hAnsi="Arial"/>
        <w:color w:val="667085"/>
        <w:sz w:val="14"/>
        <w:szCs w:val="14"/>
      </w:rPr>
      <w:t xml:space="preserve">Consultify  ·  Northwind Manufacturing Ltd.  ·  Confidential</w:t>
    </w:r>
    <w:r>
      <w:rPr>
        <w:rFonts w:ascii="Arial" w:cs="Arial" w:eastAsia="Arial" w:hAnsi="Arial"/>
        <w:sz w:val="14"/>
        <w:szCs w:val="14"/>
      </w:rPr>
      <w:t xml:space="preserve">	</w:t>
    </w:r>
    <w:r>
      <w:rPr>
        <w:rFonts w:ascii="Arial" w:cs="Arial" w:eastAsia="Arial" w:hAnsi="Arial"/>
        <w:color w:val="667085"/>
        <w:sz w:val="14"/>
        <w:szCs w:val="14"/>
      </w:rPr>
      <w:t xml:space="preserve">Page </w:t>
    </w:r>
    <w:r>
      <w:rPr>
        <w:rFonts w:ascii="Arial" w:cs="Arial" w:eastAsia="Arial" w:hAnsi="Arial"/>
        <w:color w:val="667085"/>
        <w:sz w:val="14"/>
        <w:szCs w:val="14"/>
      </w:rPr>
      <w:fldChar w:fldCharType="begin"/>
      <w:instrText xml:space="preserve">PAGE</w:instrText>
      <w:fldChar w:fldCharType="separate"/>
      <w:fldChar w:fldCharType="end"/>
    </w:r>
    <w:r>
      <w:rPr>
        <w:rFonts w:ascii="Arial" w:cs="Arial" w:eastAsia="Arial" w:hAnsi="Arial"/>
        <w:color w:val="667085"/>
        <w:sz w:val="14"/>
        <w:szCs w:val="14"/>
      </w:rPr>
      <w:t xml:space="preserve"> of </w:t>
    </w:r>
    <w:r>
      <w:rPr>
        <w:rFonts w:ascii="Arial" w:cs="Arial" w:eastAsia="Arial" w:hAnsi="Arial"/>
        <w:color w:val="66708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EE8" w:sz="4" w:space="6"/>
      </w:pBdr>
      <w:tabs>
        <w:tab w:val="right" w:pos="9026"/>
      </w:tabs>
      <w:spacing w:after="160"/>
    </w:pPr>
    <w:r>
      <w:rPr>
        <w:rFonts w:ascii="Arial" w:cs="Arial" w:eastAsia="Arial" w:hAnsi="Arial"/>
        <w:color w:val="46556B"/>
        <w:sz w:val="14"/>
        <w:szCs w:val="14"/>
      </w:rPr>
      <w:t xml:space="preserve">Northwind 2027 — Operational Maturity Assessment</w:t>
    </w:r>
    <w:r>
      <w:rPr>
        <w:rFonts w:ascii="Arial" w:cs="Arial" w:eastAsia="Arial" w:hAnsi="Arial"/>
        <w:sz w:val="14"/>
        <w:szCs w:val="14"/>
      </w:rPr>
      <w:t xml:space="preserve">	</w:t>
    </w:r>
    <w:r>
      <w:rPr>
        <w:rFonts w:ascii="Arial" w:cs="Arial" w:eastAsia="Arial" w:hAnsi="Arial"/>
        <w:color w:val="667085"/>
        <w:sz w:val="14"/>
        <w:szCs w:val="14"/>
      </w:rPr>
      <w:t xml:space="preserve">Northwind Manufacturing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018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Northwind 2027 — Operational Maturity Assessment — client final report</dc:title>
  <dc:creator>Consultify</dc:creator>
  <cp:lastModifiedBy>Un-named</cp:lastModifiedBy>
  <cp:revision>1</cp:revision>
  <dcterms:created xsi:type="dcterms:W3CDTF">2026-09-16T04:06:38.599Z</dcterms:created>
  <dcterms:modified xsi:type="dcterms:W3CDTF">2026-09-16T04:06:38.600Z</dcterms:modified>
</cp:coreProperties>
</file>

<file path=docProps/custom.xml><?xml version="1.0" encoding="utf-8"?>
<Properties xmlns="http://schemas.openxmlformats.org/officeDocument/2006/custom-properties" xmlns:vt="http://schemas.openxmlformats.org/officeDocument/2006/docPropsVTypes"/>
</file>