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rPr>
          <w:color w:val="85182F"/>
        </w:rPr>
        <w:t xml:space="preserve">● </w:t>
      </w:r>
      <w:r>
        <w:rPr>
          <w:color w:val="85182F"/>
        </w:rPr>
        <w:t xml:space="preserve">C O N S U L T I F Y</w:t>
      </w:r>
    </w:p>
    <w:p>
      <w:pPr>
        <w:pStyle w:val="Kicker"/>
      </w:pPr>
      <w:r>
        <w:rPr>
          <w:color w:val="1D9E75"/>
        </w:rPr>
        <w:t xml:space="preserve">OCENA DOJRZAŁOŚCI CYFROWEJ · DIGITAL PATHFINDER</w:t>
      </w:r>
    </w:p>
    <w:p>
      <w:pPr>
        <w:pStyle w:val="DocStudioTitle"/>
      </w:pPr>
      <w:r>
        <w:t xml:space="preserve">Raport z oceny dojrzałości cyfrowej</w:t>
      </w:r>
    </w:p>
    <w:p>
      <w:pPr>
        <w:pStyle w:val="Subtitle"/>
      </w:pPr>
      <w:r>
        <w:t xml:space="preserve">Fabryka Łożysk Żory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Klient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Fabryka Łożysk Żory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Profil działalności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Zatrudnienie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Okres oceny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Oceniający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Sponsor po stronie klienta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Metodyka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Digital Pathfinder — metodyka oceny dojrzałości cyfrowej DRD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Sygnatura sesji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session-day34-foreign-52efe624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Data wydania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2026-08-27</w:t>
            </w:r>
          </w:p>
        </w:tc>
      </w:tr>
    </w:tbl>
    <w:p>
      <w:r>
        <w:br w:type="page"/>
      </w:r>
    </w:p>
    <w:p>
      <w:pPr>
        <w:pStyle w:val="Kicker"/>
        <w:pageBreakBefore/>
      </w:pPr>
      <w:r>
        <w:t xml:space="preserve">NAWIGACJA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Kicker"/>
        <w:keepNext/>
      </w:pPr>
      <w:r>
        <w:t xml:space="preserve">STRESZCZENIE</w:t>
      </w:r>
    </w:p>
    <w:p>
      <w:pPr>
        <w:pStyle w:val="Heading1"/>
        <w:pStyle w:val="Heading1"/>
        <w:keepNext/>
      </w:pPr>
      <w:r>
        <w:t xml:space="preserve">Streszczenie zarządcze</w:t>
      </w:r>
    </w:p>
    <w:p>
      <w:pPr>
        <w:pStyle w:val="Podpis"/>
      </w:pPr>
      <w:r>
        <w:t xml:space="preserve">Sekcja do uzupełnienia — limit 120–150 słów.</w:t>
      </w:r>
    </w:p>
    <w:p>
      <w:pPr>
        <w:pStyle w:val="Caption"/>
        <w:jc w:val="center"/>
      </w:pPr>
      <w:r>
        <w:drawing>
          <wp:inline distT="0" distB="0" distL="0" distR="0">
            <wp:extent cx="57721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Rysunek 1. Profil dojrzałości cyfrowej według siedmiu osi DRD.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Obecny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Docelowy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Luki krytyczne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14%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14%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43%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pStyle w:val="Caption"/>
      </w:pPr>
      <w:r>
        <w:t xml:space="preserve">Tabela 1. Zestawienie siedmiu osi DRD.</w:t>
      </w:r>
    </w:p>
    <w:p>
      <w:pPr>
        <w:pStyle w:val="Heading2"/>
        <w:pStyle w:val="Heading2"/>
      </w:pPr>
      <w:r>
        <w:t xml:space="preserve">Luki krytyczne i rekomendacja główna</w:t>
      </w:r>
    </w:p>
    <w:p>
      <w:pPr>
        <w:pStyle w:val="Podpis"/>
      </w:pPr>
      <w:r>
        <w:t xml:space="preserve">Sekcja do uzupełnienia — limit 120–150 słów.</w:t>
      </w:r>
    </w:p>
    <w:p>
      <w:pPr>
        <w:pStyle w:val="Kicker"/>
        <w:keepNext/>
        <w:pageBreakBefore/>
      </w:pPr>
      <w:r>
        <w:t xml:space="preserve">Rozdział 1 z 7 · oś 1 struktury DRD</w:t>
      </w:r>
    </w:p>
    <w:p>
      <w:pPr>
        <w:pStyle w:val="Heading1"/>
        <w:pStyle w:val="Heading1"/>
        <w:keepNext/>
      </w:pPr>
      <w:r>
        <w:t xml:space="preserve">1. Procesy Cyfrowe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Sprzedaży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Marketingowe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Technologia Procesowa i R&amp;D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Zakupowe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Logistyczne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Produkcyjne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Jakości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Finansami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HR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2.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1A Procesy Sprzedaży</w:t>
      </w:r>
    </w:p>
    <w:p>
      <w:pPr>
        <w:pStyle w:val="Sygnatura"/>
      </w:pPr>
      <w:r>
        <w:t xml:space="preserve">Poziom obecny: 1 (Rejestracja danych) · Poziom docelowy: 4 (Automatyzacja) · Luka: 3 · Priorytet: Krytyczny · Dowody: zadeklarowane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1B Procesy Marketingowe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1C Technologia Procesowa i R&amp;D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1D Procesy Zakupowe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1E Procesy Logistyczne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1F Procesy Produkcyjne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1G Procesy Jakości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1H Zarządzanie Finansami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1I Procesy HR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Kicker"/>
        <w:keepNext/>
        <w:pageBreakBefore/>
      </w:pPr>
      <w:r>
        <w:t xml:space="preserve">Rozdział 2 z 7 · oś 2 struktury DRD</w:t>
      </w:r>
    </w:p>
    <w:p>
      <w:pPr>
        <w:pStyle w:val="Heading1"/>
        <w:pStyle w:val="Heading1"/>
        <w:keepNext/>
      </w:pPr>
      <w:r>
        <w:t xml:space="preserve">2. Produkty Cyfrowe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Społecznościowe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ICT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Dopasowanie Produktu do Oczekiwań Klienta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Skalowalność Produktu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4.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2A Produkty Cyfrowe</w:t>
      </w:r>
    </w:p>
    <w:p>
      <w:pPr>
        <w:pStyle w:val="Sygnatura"/>
      </w:pPr>
      <w:r>
        <w:t xml:space="preserve">Poziom obecny: 1 (Podstawowy) · Poziom docelowy: 3 (Zaawansowany) · Luka: 2 · Priorytet: Wysoki · Dowody: zadeklarowane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2B Produkty Społecznościowe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2C Produkty ICT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2D Dopasowanie Produktu do Oczekiwań Klienta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2E Skalowalność Produktu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Kicker"/>
        <w:keepNext/>
        <w:pageBreakBefore/>
      </w:pPr>
      <w:r>
        <w:t xml:space="preserve">Rozdział 3 z 7 · oś 3 struktury DRD</w:t>
      </w:r>
    </w:p>
    <w:p>
      <w:pPr>
        <w:pStyle w:val="Heading1"/>
        <w:pStyle w:val="Heading1"/>
        <w:keepNext/>
      </w:pPr>
      <w:r>
        <w:t xml:space="preserve">3. Cyfrowe Modele Biznesowe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E-commerce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Rozwiązania Platformowe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 As-a-Service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Współdzielenia Zasobów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Monetyzacji Danych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6.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3A Modele E-commerce</w:t>
      </w:r>
    </w:p>
    <w:p>
      <w:pPr>
        <w:pStyle w:val="Sygnatura"/>
      </w:pPr>
      <w:r>
        <w:t xml:space="preserve">Poziom obecny: 2 (Intermediate) · Poziom docelowy: 5 (Expert) · Luka: 3 · Priorytet: Krytyczny · Dowody: zadeklarowane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3B Rozwiązania Platformowe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3C Model As-a-Service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3D Modele Współdzielenia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3E Modele Monetyzacji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Kicker"/>
        <w:keepNext/>
        <w:pageBreakBefore/>
      </w:pPr>
      <w:r>
        <w:t xml:space="preserve">Rozdział 4 z 7 · oś 4 struktury DRD</w:t>
      </w:r>
    </w:p>
    <w:p>
      <w:pPr>
        <w:pStyle w:val="Heading1"/>
        <w:pStyle w:val="Heading1"/>
        <w:keepNext/>
      </w:pPr>
      <w:r>
        <w:t xml:space="preserve">4. Zarządzanie Danymi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Zbieranie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Metodologia Przechowywania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Komunikacja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Analiza Big Data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Przetwarzanie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8.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4A Zbieranie Danych</w:t>
      </w:r>
    </w:p>
    <w:p>
      <w:pPr>
        <w:pStyle w:val="Sygnatura"/>
      </w:pPr>
      <w:r>
        <w:t xml:space="preserve">Poziom obecny: 1 (Manual Data Collection) · Poziom docelowy: 3 (Advanced Technological Solutions) · Luka: 2 · Priorytet: Wysoki · Dowody: zadeklarowane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4B Metodologia Przechowywania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4C Komunikacja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4D Analiza Big Data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4E Przetwarzanie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Kicker"/>
        <w:keepNext/>
        <w:pageBreakBefore/>
      </w:pPr>
      <w:r>
        <w:t xml:space="preserve">Rozdział 5 z 7 · oś 5 struktury DRD</w:t>
      </w:r>
    </w:p>
    <w:p>
      <w:pPr>
        <w:pStyle w:val="Heading1"/>
        <w:pStyle w:val="Heading1"/>
        <w:keepNext/>
      </w:pPr>
      <w:r>
        <w:t xml:space="preserve">5. Kultura Transformacji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Postawy przywódcze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Gotowość na zmianę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Ciągły rozwój kompetencji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innowacji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Dostępność zasobów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10.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5A Postawy przywódcze</w:t>
      </w:r>
    </w:p>
    <w:p>
      <w:pPr>
        <w:pStyle w:val="Sygnatura"/>
      </w:pPr>
      <w:r>
        <w:t xml:space="preserve">Poziom obecny: 1 (Pasywny) · Poziom docelowy: 4 (Wspierający) · Luka: 3 · Priorytet: Krytyczny · Dowody: zadeklarowane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5B Gotowość na zmianę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5C Ciągły rozwój kompetencji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5D Kultura innowacji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5E Dostępność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Kicker"/>
        <w:keepNext/>
        <w:pageBreakBefore/>
      </w:pPr>
      <w:r>
        <w:t xml:space="preserve">Rozdział 6 z 7 · oś 6 struktury DRD</w:t>
      </w:r>
    </w:p>
    <w:p>
      <w:pPr>
        <w:pStyle w:val="Heading1"/>
        <w:pStyle w:val="Heading1"/>
        <w:keepNext/>
      </w:pPr>
      <w:r>
        <w:t xml:space="preserve">6. Cyberbezpieczeństwo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Strategia i zarządzanie ryzykiem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sieci i 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danych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Edukacja i jakość 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Plany awaryjne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12.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6A Strategia i zarządzanie ryzykiem</w:t>
      </w:r>
    </w:p>
    <w:p>
      <w:pPr>
        <w:pStyle w:val="Sygnatura"/>
      </w:pPr>
      <w:r>
        <w:t xml:space="preserve">Poziom obecny: 1 (Brak strategii) · Poziom docelowy: 3 (Plan działań) · Luka: 2 · Priorytet: Wysoki · Dowody: zadeklarowane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6B Ochrona sieci i 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6C Ochrona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6D Edukacja i jakość 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6E Plany awaryjne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Kicker"/>
        <w:keepNext/>
        <w:pageBreakBefore/>
      </w:pPr>
      <w:r>
        <w:t xml:space="preserve">Rozdział 7 z 7 · oś 7 struktury DRD</w:t>
      </w:r>
    </w:p>
    <w:p>
      <w:pPr>
        <w:pStyle w:val="Heading1"/>
        <w:pStyle w:val="Heading1"/>
        <w:keepNext/>
      </w:pPr>
      <w:r>
        <w:t xml:space="preserve">7. Dojrzałość AI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Dane i Fundamenty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Wspierane przez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AI w Produktach i Usługach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Governance, Bezpieczeństwo i Etyka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Kompetencje i Kultura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14.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7A Dane i Fundamenty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7B Procesy Wspierane przez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7C AI w Produktach i Usługach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7D Governance, Bezpieczeństwo i Etyka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7E Kompetencje i Kultura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Kicker"/>
        <w:keepNext/>
        <w:pageBreakBefore/>
      </w:pPr>
      <w:r>
        <w:t xml:space="preserve">SYNTEZA</w:t>
      </w:r>
    </w:p>
    <w:p>
      <w:pPr>
        <w:pStyle w:val="Heading1"/>
        <w:pStyle w:val="Heading1"/>
        <w:keepNext/>
      </w:pPr>
      <w:r>
        <w:t xml:space="preserve">8. Wnioski końcowe</w:t>
      </w:r>
    </w:p>
    <w:p>
      <w:pPr>
        <w:pStyle w:val="Podpis"/>
      </w:pPr>
      <w:r>
        <w:t xml:space="preserve">Sekcja do uzupełnienia — limit 250–300 słów.</w:t>
      </w:r>
    </w:p>
    <w:p>
      <w:pPr>
        <w:pStyle w:val="Heading2"/>
        <w:pStyle w:val="Heading2"/>
      </w:pPr>
      <w:r>
        <w:t xml:space="preserve">Linia decyzyjna programu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ZAŁĄCZNIK</w:t>
      </w:r>
    </w:p>
    <w:p>
      <w:pPr>
        <w:pStyle w:val="Heading1"/>
        <w:pStyle w:val="Heading1"/>
        <w:keepNext/>
      </w:pPr>
      <w:r>
        <w:t xml:space="preserve">Załącznik A. Rejestr luk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Poziom docelowy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1A Procesy Sprzedaży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Automatyzacja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3A Modele E-commerce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Expert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5A Postawy przywódcze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Wspierający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2A 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Zaawansowany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4A Zbieranie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Advanced Technological Solutions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6A Strategia i zarządzanie ryzykiem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Plan działań</w:t>
            </w:r>
          </w:p>
        </w:tc>
      </w:tr>
    </w:tbl>
    <w:p>
      <w:pPr>
        <w:pStyle w:val="Caption"/>
      </w:pPr>
      <w:r>
        <w:t xml:space="preserve">Tabela 17. Rejestr luk posortowany malejąco według wielkości luki.</w:t>
      </w:r>
    </w:p>
    <w:p>
      <w:pPr>
        <w:pStyle w:val="Heading1"/>
        <w:pStyle w:val="Heading1"/>
      </w:pPr>
      <w:r>
        <w:t xml:space="preserve">Źródła i identyfikowalność</w:t>
      </w:r>
    </w:p>
    <w:p>
      <w:pPr>
        <w:pStyle w:val="AssumptionBody"/>
      </w:pPr>
      <w:r>
        <w:t xml:space="preserve">Nie dołączono źródeł. Merytoryczne bloki treści oznaczono jako założenia i przed dystrybucją do klienta wymagają pakietu źródłowego.</w:t>
      </w:r>
    </w:p>
    <w:sectPr>
      <w:footerReference w:type="default" r:id="rId6"/>
      <w:footerReference w:type="first" r:id="rId7"/>
      <w:pgSz w:w="11906" w:h="16838" w:orient="portrait"/>
      <w:pgMar w:top="1247" w:right="1247" w:bottom="1134" w:left="1247" w:header="708" w:footer="62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FE8" w:sz="2" w:space="6"/>
      </w:pBdr>
      <w:tabs>
        <w:tab w:val="center" w:pos="4706"/>
        <w:tab w:val="right" w:pos="9412"/>
      </w:tabs>
      <w:jc w:val="left"/>
    </w:pPr>
    <w:r>
      <w:rPr>
        <w:color w:val="6B7280"/>
        <w:sz w:val="16"/>
        <w:szCs w:val="16"/>
      </w:rPr>
      <w:t xml:space="preserve">Poufne — Fabryka Łożysk Żory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Strona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z 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sz w:val="16"/>
        <w:szCs w:val="16"/>
      </w:rPr>
      <w:t xml:space="preserve">	</w:t>
    </w:r>
    <w:r>
      <w:rPr>
        <w:color w:val="85182F"/>
        <w:sz w:val="16"/>
        <w:szCs w:val="16"/>
      </w:rPr>
      <w:t xml:space="preserve">● </w:t>
    </w:r>
    <w:r>
      <w:rPr>
        <w:color w:val="6B7280"/>
        <w:sz w:val="16"/>
        <w:szCs w:val="16"/>
      </w:rPr>
      <w:t xml:space="preserve">Consultify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pl-PL" w:eastAsia="pl-PL" w:bidi="pl-P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before="600" w:after="200"/>
      <w:jc w:val="center"/>
    </w:pPr>
    <w:rPr>
      <w:rFonts w:ascii="Calibri Light" w:cs="Calibri Light" w:eastAsia="Calibri Light" w:hAnsi="Calibri Light"/>
      <w:b/>
      <w:bCs/>
      <w:color w:val="0A2F57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Calibri" w:cs="Calibri" w:eastAsia="Calibri" w:hAnsi="Calibri"/>
      <w:i/>
      <w:iCs/>
      <w:color w:val="475569"/>
      <w:sz w:val="26"/>
      <w:szCs w:val="26"/>
    </w:rPr>
  </w:style>
  <w:style w:type="paragraph" w:styleId="Heading1">
    <w:name w:val="Heading 1"/>
    <w:basedOn w:val="Normal"/>
    <w:next w:val="BodyText"/>
    <w:qFormat/>
    <w:pPr>
      <w:pBdr>
        <w:bottom w:val="single" w:color="1D9E75" w:sz="8" w:space="6"/>
      </w:pBd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BodyText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BodyText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20"/>
    </w:pPr>
    <w:rPr>
      <w:rFonts w:ascii="Calibri" w:cs="Calibri" w:eastAsia="Calibri" w:hAnsi="Calibri"/>
      <w:color w:val="1F2933"/>
      <w:sz w:val="22"/>
      <w:szCs w:val="22"/>
    </w:rPr>
  </w:style>
  <w:style w:type="paragraph" w:styleId="BlockQuote">
    <w:name w:val="Block Quote"/>
    <w:basedOn w:val="BodyText"/>
    <w:next w:val="BodyText"/>
    <w:pPr>
      <w:pBdr>
        <w:left w:val="single" w:color="0C447C" w:sz="18" w:space="12"/>
      </w:pBdr>
      <w:spacing w:before="80" w:after="120"/>
      <w:ind w:left="360"/>
    </w:pPr>
    <w:rPr>
      <w:rFonts w:ascii="Calibri" w:cs="Calibri" w:eastAsia="Calibri" w:hAnsi="Calibri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before="60" w:after="120"/>
    </w:pPr>
    <w:rPr>
      <w:rFonts w:ascii="Calibri" w:cs="Calibri" w:eastAsia="Calibri" w:hAnsi="Calibri"/>
      <w:i/>
      <w:iCs/>
      <w:color w:val="64748B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Calibri" w:cs="Calibri" w:eastAsia="Calibri" w:hAnsi="Calibri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Calibri" w:cs="Calibri" w:eastAsia="Calibri" w:hAnsi="Calibri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pBdr>
        <w:left w:val="single" w:color="1D9E75" w:sz="24" w:space="12"/>
      </w:pBdr>
      <w:shd w:fill="F5F8FC" w:val="clear"/>
      <w:spacing w:before="80" w:after="120"/>
      <w:ind w:left="240"/>
    </w:pPr>
    <w:rPr>
      <w:rFonts w:ascii="Calibri" w:cs="Calibri" w:eastAsia="Calibri" w:hAnsi="Calibri"/>
      <w:color w:val="1F2933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Calibri" w:cs="Calibri" w:eastAsia="Calibri" w:hAnsi="Calibri"/>
      <w:color w:val="1F2933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Tresc">
    <w:name w:val="Treść"/>
    <w:basedOn w:val="Normal"/>
    <w:next w:val="Tresc"/>
    <w:qFormat/>
    <w:pPr>
      <w:spacing w:line="312" w:after="120"/>
    </w:pPr>
    <w:rPr>
      <w:rFonts w:ascii="Calibri" w:cs="Calibri" w:eastAsia="Calibri" w:hAnsi="Calibri"/>
      <w:color w:val="1F2937"/>
      <w:sz w:val="22"/>
      <w:szCs w:val="22"/>
    </w:rPr>
  </w:style>
  <w:style w:type="paragraph" w:styleId="Lead">
    <w:name w:val="Lead"/>
    <w:basedOn w:val="Tresc"/>
    <w:next w:val="Tresc"/>
    <w:pPr>
      <w:spacing w:line="336" w:after="160"/>
    </w:pPr>
    <w:rPr>
      <w:rFonts w:ascii="Calibri" w:cs="Calibri" w:eastAsia="Calibri" w:hAnsi="Calibri"/>
      <w:color w:val="1F2937"/>
      <w:sz w:val="24"/>
      <w:szCs w:val="24"/>
    </w:rPr>
  </w:style>
  <w:style w:type="paragraph" w:styleId="Kicker">
    <w:name w:val="Kicker"/>
    <w:basedOn w:val="Normal"/>
    <w:next w:val="Heading1"/>
    <w:pPr>
      <w:spacing w:after="80"/>
    </w:pPr>
    <w:rPr>
      <w:rFonts w:ascii="Calibri" w:cs="Calibri" w:eastAsia="Calibri" w:hAnsi="Calibri"/>
      <w:b/>
      <w:bCs/>
      <w:color w:val="1D9E75"/>
      <w:sz w:val="18"/>
      <w:szCs w:val="18"/>
    </w:rPr>
  </w:style>
  <w:style w:type="paragraph" w:styleId="Podpis">
    <w:name w:val="Podpis"/>
    <w:basedOn w:val="Tresc"/>
    <w:next w:val="Tresc"/>
    <w:pPr>
      <w:spacing w:before="60" w:after="12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Sygnatura">
    <w:name w:val="Sygnatura"/>
    <w:basedOn w:val="Tresc"/>
    <w:next w:val="Tresc"/>
    <w:pPr>
      <w:pBdr>
        <w:left w:val="single" w:color="1D9E75" w:sz="18" w:space="10"/>
      </w:pBdr>
      <w:shd w:fill="E2E9EF" w:val="clear"/>
      <w:spacing w:before="80" w:after="100"/>
      <w:ind w:left="180"/>
    </w:pPr>
    <w:rPr>
      <w:rFonts w:ascii="Calibri" w:cs="Calibri" w:eastAsia="Calibri" w:hAnsi="Calibri"/>
      <w:color w:val="1F2937"/>
      <w:sz w:val="19"/>
      <w:szCs w:val="19"/>
    </w:rPr>
  </w:style>
  <w:style w:type="paragraph" w:styleId="TOC1">
    <w:name w:val="TOC 1"/>
    <w:basedOn w:val="Tresc"/>
    <w:next w:val="TOC1"/>
    <w:pPr>
      <w:spacing w:after="70"/>
    </w:pPr>
    <w:rPr>
      <w:rFonts w:ascii="Calibri" w:cs="Calibri" w:eastAsia="Calibri" w:hAnsi="Calibri"/>
      <w:color w:val="083152"/>
      <w:sz w:val="20"/>
      <w:szCs w:val="20"/>
    </w:rPr>
  </w:style>
  <w:style w:type="paragraph" w:styleId="TOC2">
    <w:name w:val="TOC 2"/>
    <w:basedOn w:val="Tresc"/>
    <w:next w:val="TOC2"/>
    <w:pPr>
      <w:spacing w:after="50"/>
      <w:ind w:left="360"/>
    </w:pPr>
    <w:rPr>
      <w:rFonts w:ascii="Calibri" w:cs="Calibri" w:eastAsia="Calibri" w:hAnsi="Calibri"/>
      <w:color w:val="6B7280"/>
      <w:sz w:val="18"/>
      <w:szCs w:val="18"/>
    </w:rPr>
  </w:style>
  <w:style w:type="paragraph" w:styleId="NaglowekBezNumeru">
    <w:name w:val="Nagłówek bez numeru"/>
    <w:basedOn w:val="Heading1"/>
    <w:next w:val="Tresc"/>
    <w:qFormat/>
    <w:pPr>
      <w:spacing w:before="240" w:after="120"/>
    </w:pPr>
    <w:rPr>
      <w:rFonts w:ascii="Calibri Light" w:cs="Calibri Light" w:eastAsia="Calibri Light" w:hAnsi="Calibri Light"/>
      <w:color w:val="0C447C"/>
      <w:sz w:val="40"/>
      <w:szCs w:val="40"/>
    </w:rPr>
  </w:style>
  <w:style w:type="paragraph" w:styleId="NaglowekBezNumeru2">
    <w:name w:val="Nagłówek sekcji bez spisu"/>
    <w:basedOn w:val="Heading2"/>
    <w:next w:val="Tresc"/>
    <w:pPr>
      <w:spacing w:before="200" w:after="100"/>
    </w:pPr>
    <w:rPr>
      <w:rFonts w:ascii="Calibri Light" w:cs="Calibri Light" w:eastAsia="Calibri Light" w:hAnsi="Calibri Light"/>
      <w:b/>
      <w:bCs/>
      <w:color w:val="08315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a80ff4e38b61f4ea633f992c343b2790439901c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oceny dojrzałości cyfrowej</dc:title>
  <dc:creator>Consultify Document Studio</dc:creator>
  <dc:description>Consultify Document Studio · client_final_report · executive</dc:description>
  <cp:lastModifiedBy>Un-named</cp:lastModifiedBy>
  <cp:revision>1</cp:revision>
  <dcterms:created xsi:type="dcterms:W3CDTF">2026-08-27T03:51:13.242Z</dcterms:created>
  <dcterms:modified xsi:type="dcterms:W3CDTF">2026-08-27T03:51:13.242Z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