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rPr>
          <w:color w:val="85182F"/>
        </w:rPr>
        <w:t xml:space="preserve">● </w:t>
      </w:r>
      <w:r>
        <w:rPr>
          <w:color w:val="85182F"/>
        </w:rPr>
        <w:t xml:space="preserve">C O N S U L T I F Y</w:t>
      </w:r>
    </w:p>
    <w:p>
      <w:pPr>
        <w:pStyle w:val="Kicker"/>
      </w:pPr>
      <w:r>
        <w:rPr>
          <w:color w:val="1D9E75"/>
        </w:rPr>
        <w:t xml:space="preserve">DIGITAL MATURITY ASSESSMENT · DIGITAL PATHFINDER</w:t>
      </w:r>
    </w:p>
    <w:p>
      <w:pPr>
        <w:pStyle w:val="DocStudioTitle"/>
      </w:pPr>
      <w:r>
        <w:t xml:space="preserve">Northwind Manufacturing Ltd.</w:t>
      </w:r>
    </w:p>
    <w:p>
      <w:pPr>
        <w:pStyle w:val="Subtitle"/>
      </w:pPr>
      <w:r>
        <w:t xml:space="preserve">Operational Excellence Programme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Pr>
          <w:p>
            <w:pPr>
              <w:pStyle w:val="Sygnatura"/>
            </w:pPr>
            <w:r>
              <w:rPr>
                <w:b/>
                <w:bCs/>
              </w:rPr>
              <w:t xml:space="preserve">Client</w:t>
            </w:r>
          </w:p>
        </w:tc>
        <w:tc>
          <w:tcPr>
            <w:tcW w:type="pct" w:w="68%"/>
          </w:tcPr>
          <w:p>
            <w:pPr>
              <w:pStyle w:val="Tresc"/>
            </w:pPr>
            <w:r>
              <w:rPr>
                <w:i w:val="false"/>
                <w:iCs w:val="false"/>
              </w:rPr>
              <w:t xml:space="preserve">Northwind Manufacturing Ltd.</w:t>
            </w:r>
          </w:p>
        </w:tc>
      </w:tr>
      <w:tr>
        <w:tc>
          <w:tcPr>
            <w:tcW w:type="pct" w:w="32%"/>
          </w:tcPr>
          <w:p>
            <w:pPr>
              <w:pStyle w:val="Sygnatura"/>
            </w:pPr>
            <w:r>
              <w:rPr>
                <w:b/>
                <w:bCs/>
              </w:rPr>
              <w:t xml:space="preserve">Business profile</w:t>
            </w:r>
          </w:p>
        </w:tc>
        <w:tc>
          <w:tcPr>
            <w:tcW w:type="pct" w:w="68%"/>
          </w:tcPr>
          <w:p>
            <w:pPr>
              <w:pStyle w:val="Tresc"/>
            </w:pPr>
            <w:r>
              <w:rPr>
                <w:i w:val="false"/>
                <w:iCs w:val="false"/>
              </w:rPr>
              <w:t xml:space="preserve">Manufacturing</w:t>
            </w:r>
          </w:p>
        </w:tc>
      </w:tr>
      <w:tr>
        <w:tc>
          <w:tcPr>
            <w:tcW w:type="pct" w:w="32%"/>
          </w:tcPr>
          <w:p>
            <w:pPr>
              <w:pStyle w:val="Sygnatura"/>
            </w:pPr>
            <w:r>
              <w:rPr>
                <w:b/>
                <w:bCs/>
              </w:rPr>
              <w:t xml:space="preserve">Employment</w:t>
            </w:r>
          </w:p>
        </w:tc>
        <w:tc>
          <w:tcPr>
            <w:tcW w:type="pct" w:w="68%"/>
          </w:tcPr>
          <w:p>
            <w:pPr>
              <w:pStyle w:val="Tresc"/>
            </w:pPr>
            <w:r>
              <w:rPr>
                <w:i w:val="false"/>
                <w:iCs w:val="false"/>
              </w:rPr>
              <w:t xml:space="preserve">340 employees</w:t>
            </w:r>
          </w:p>
        </w:tc>
      </w:tr>
      <w:tr>
        <w:tc>
          <w:tcPr>
            <w:tcW w:type="pct" w:w="32%"/>
          </w:tcPr>
          <w:p>
            <w:pPr>
              <w:pStyle w:val="Sygnatura"/>
            </w:pPr>
            <w:r>
              <w:rPr>
                <w:b/>
                <w:bCs/>
              </w:rPr>
              <w:t xml:space="preserve">Assessment period</w:t>
            </w:r>
          </w:p>
        </w:tc>
        <w:tc>
          <w:tcPr>
            <w:tcW w:type="pct" w:w="68%"/>
          </w:tcPr>
          <w:p>
            <w:pPr>
              <w:pStyle w:val="Tresc"/>
            </w:pPr>
            <w:r>
              <w:rPr>
                <w:i w:val="false"/>
                <w:iCs w:val="false"/>
              </w:rPr>
              <w:t xml:space="preserve">7 August 2026</w:t>
            </w:r>
          </w:p>
        </w:tc>
      </w:tr>
      <w:tr>
        <w:tc>
          <w:tcPr>
            <w:tcW w:type="pct" w:w="32%"/>
          </w:tcPr>
          <w:p>
            <w:pPr>
              <w:pStyle w:val="Sygnatura"/>
            </w:pPr>
            <w:r>
              <w:rPr>
                <w:b/>
                <w:bCs/>
              </w:rPr>
              <w:t xml:space="preserve">Assessor</w:t>
            </w:r>
          </w:p>
        </w:tc>
        <w:tc>
          <w:tcPr>
            <w:tcW w:type="pct" w:w="68%"/>
          </w:tcPr>
          <w:p>
            <w:pPr>
              <w:pStyle w:val="Tresc"/>
            </w:pPr>
            <w:r>
              <w:rPr>
                <w:i w:val="false"/>
                <w:iCs w:val="false"/>
              </w:rPr>
              <w:t xml:space="preserve">James Whitfield</w:t>
            </w:r>
          </w:p>
        </w:tc>
      </w:tr>
      <w:tr>
        <w:tc>
          <w:tcPr>
            <w:tcW w:type="pct" w:w="32%"/>
          </w:tcPr>
          <w:p>
            <w:pPr>
              <w:pStyle w:val="Sygnatura"/>
            </w:pPr>
            <w:r>
              <w:rPr>
                <w:b/>
                <w:bCs/>
              </w:rPr>
              <w:t xml:space="preserve">Client-side sponsor</w:t>
            </w:r>
          </w:p>
        </w:tc>
        <w:tc>
          <w:tcPr>
            <w:tcW w:type="pct" w:w="68%"/>
          </w:tcPr>
          <w:p>
            <w:pPr>
              <w:pStyle w:val="Podpis"/>
            </w:pPr>
            <w:r>
              <w:rPr>
                <w:i/>
                <w:iCs/>
              </w:rPr>
              <w:t xml:space="preserve">To be completed — not recorded in the assessment session.</w:t>
            </w:r>
          </w:p>
        </w:tc>
      </w:tr>
      <w:tr>
        <w:tc>
          <w:tcPr>
            <w:tcW w:type="pct" w:w="32%"/>
          </w:tcPr>
          <w:p>
            <w:pPr>
              <w:pStyle w:val="Sygnatura"/>
            </w:pPr>
            <w:r>
              <w:rPr>
                <w:b/>
                <w:bCs/>
              </w:rPr>
              <w:t xml:space="preserve">Methodology</w:t>
            </w:r>
          </w:p>
        </w:tc>
        <w:tc>
          <w:tcPr>
            <w:tcW w:type="pct" w:w="68%"/>
          </w:tcPr>
          <w:p>
            <w:pPr>
              <w:pStyle w:val="Tresc"/>
            </w:pPr>
            <w:r>
              <w:rPr>
                <w:i w:val="false"/>
                <w:iCs w:val="false"/>
              </w:rPr>
              <w:t xml:space="preserve">Digital Pathfinder — DRD digital maturity assessment methodology</w:t>
            </w:r>
          </w:p>
        </w:tc>
      </w:tr>
      <w:tr>
        <w:tc>
          <w:tcPr>
            <w:tcW w:type="pct" w:w="32%"/>
          </w:tcPr>
          <w:p>
            <w:pPr>
              <w:pStyle w:val="Sygnatura"/>
            </w:pPr>
            <w:r>
              <w:rPr>
                <w:b/>
                <w:bCs/>
              </w:rPr>
              <w:t xml:space="preserve">Session signature</w:t>
            </w:r>
          </w:p>
        </w:tc>
        <w:tc>
          <w:tcPr>
            <w:tcW w:type="pct" w:w="68%"/>
          </w:tcPr>
          <w:p>
            <w:pPr>
              <w:pStyle w:val="Tresc"/>
            </w:pPr>
            <w:r>
              <w:rPr>
                <w:i w:val="false"/>
                <w:iCs w:val="false"/>
              </w:rPr>
              <w:t xml:space="preserve">DRD-2026-0916-NRT-AF98</w:t>
            </w:r>
          </w:p>
        </w:tc>
      </w:tr>
      <w:tr>
        <w:tc>
          <w:tcPr>
            <w:tcW w:type="pct" w:w="32%"/>
          </w:tcPr>
          <w:p>
            <w:pPr>
              <w:pStyle w:val="Sygnatura"/>
            </w:pPr>
            <w:r>
              <w:rPr>
                <w:b/>
                <w:bCs/>
              </w:rPr>
              <w:t xml:space="preserve">Issued</w:t>
            </w:r>
          </w:p>
        </w:tc>
        <w:tc>
          <w:tcPr>
            <w:tcW w:type="pct" w:w="68%"/>
          </w:tcPr>
          <w:p>
            <w:pPr>
              <w:pStyle w:val="Tresc"/>
            </w:pPr>
            <w:r>
              <w:rPr>
                <w:i w:val="false"/>
                <w:iCs w:val="false"/>
              </w:rPr>
              <w:t xml:space="preserve">16 September 2026 · Assessment updated: 6 September 2026</w:t>
            </w:r>
          </w:p>
        </w:tc>
      </w:tr>
    </w:tbl>
    <w:p>
      <w:r>
        <w:br w:type="page"/>
      </w:r>
    </w:p>
    <w:p>
      <w:pPr>
        <w:pStyle w:val="Kicker"/>
        <w:pageBreakBefore/>
      </w:pPr>
      <w:r>
        <w:t xml:space="preserve">NAVIGATION</w:t>
      </w:r>
    </w:p>
    <w:sdt>
      <w:sdtPr>
        <w:alias w:val="Table of Contents"/>
      </w:sdtPr>
      <w:sdtContent>
        <w:p>
          <w:r>
            <w:fldChar w:fldCharType="begin" w:dirty="true"/>
            <w:instrText xml:space="preserve">TOC \h \o "1-2"</w:instrText>
            <w:fldChar w:fldCharType="separate"/>
          </w:r>
        </w:p>
        <w:p>
          <w:r>
            <w:fldChar w:fldCharType="end"/>
          </w:r>
        </w:p>
      </w:sdtContent>
    </w:sdt>
    <w:p>
      <w:pPr>
        <w:pStyle w:val="Kicker"/>
        <w:keepNext/>
      </w:pPr>
      <w:r>
        <w:t xml:space="preserve">SUMMARY</w:t>
      </w:r>
    </w:p>
    <w:p>
      <w:pPr>
        <w:pStyle w:val="Heading1"/>
        <w:pStyle w:val="Heading1"/>
        <w:keepNext/>
      </w:pPr>
      <w:r>
        <w:t xml:space="preserve">Executive Summary</w:t>
      </w:r>
    </w:p>
    <w:p>
      <w:pPr>
        <w:pStyle w:val="Podpis"/>
      </w:pPr>
      <w:r>
        <w:t xml:space="preserve">No content in this section — the assessment does not contain the data needed to write it.</w:t>
      </w:r>
    </w:p>
    <w:p>
      <w:pPr>
        <w:pStyle w:val="Caption"/>
        <w:jc w:val="center"/>
      </w:pPr>
      <w:r>
        <w:drawing>
          <wp:inline distT="0" distB="0" distL="0" distR="0">
            <wp:extent cx="5772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72150" cy="3333750"/>
                    </a:xfrm>
                    <a:prstGeom prst="rect">
                      <a:avLst/>
                    </a:prstGeom>
                  </pic:spPr>
                </pic:pic>
              </a:graphicData>
            </a:graphic>
          </wp:inline>
        </w:drawing>
      </w:r>
    </w:p>
    <w:p>
      <w:pPr>
        <w:pStyle w:val="Caption"/>
      </w:pPr>
      <w:r>
        <w:t xml:space="preserve">Rysunek 1. Digital maturity profile across the seven DRD axes.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Axis</w:t>
            </w:r>
          </w:p>
        </w:tc>
        <w:tc>
          <w:tcPr>
            <w:shd w:fill="E2E9EF"/>
          </w:tcPr>
          <w:p>
            <w:pPr>
              <w:pStyle w:val="BodyText"/>
            </w:pPr>
            <w:r>
              <w:rPr>
                <w:b/>
                <w:bCs/>
                <w:color w:val="083152"/>
                <w:sz w:val="20"/>
                <w:szCs w:val="20"/>
              </w:rPr>
              <w:t xml:space="preserve">Current</w:t>
            </w:r>
          </w:p>
        </w:tc>
        <w:tc>
          <w:tcPr>
            <w:shd w:fill="E2E9EF"/>
          </w:tcPr>
          <w:p>
            <w:pPr>
              <w:pStyle w:val="BodyText"/>
            </w:pPr>
            <w:r>
              <w:rPr>
                <w:b/>
                <w:bCs/>
                <w:color w:val="083152"/>
                <w:sz w:val="20"/>
                <w:szCs w:val="20"/>
              </w:rPr>
              <w:t xml:space="preserve">Target</w:t>
            </w:r>
          </w:p>
        </w:tc>
        <w:tc>
          <w:tcPr>
            <w:shd w:fill="E2E9EF"/>
          </w:tcPr>
          <w:p>
            <w:pPr>
              <w:pStyle w:val="BodyText"/>
            </w:pPr>
            <w:r>
              <w:rPr>
                <w:b/>
                <w:bCs/>
                <w:color w:val="083152"/>
                <w:sz w:val="20"/>
                <w:szCs w:val="20"/>
              </w:rPr>
              <w:t xml:space="preserve">Critical gaps</w:t>
            </w:r>
          </w:p>
        </w:tc>
      </w:tr>
      <w:tr>
        <w:tc>
          <w:p>
            <w:pPr>
              <w:pStyle w:val="BodyText"/>
            </w:pPr>
            <w:r>
              <w:rPr>
                <w:sz w:val="20"/>
                <w:szCs w:val="20"/>
              </w:rPr>
              <w:t xml:space="preserve">Digital Processes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Digital Products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Digital Business Models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Data Management</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Culture of Transformation</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Cybersecurity</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AI Maturity</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bl>
    <w:p>
      <w:pPr>
        <w:pStyle w:val="Caption"/>
      </w:pPr>
      <w:r>
        <w:t xml:space="preserve">Tabela 1. Summary of the seven DRD axes.</w:t>
      </w:r>
    </w:p>
    <w:p>
      <w:pPr>
        <w:pStyle w:val="Heading2"/>
        <w:pStyle w:val="Heading2"/>
      </w:pPr>
      <w:r>
        <w:t xml:space="preserve">Critical Gaps and Main Recommendation</w:t>
      </w:r>
    </w:p>
    <w:p>
      <w:pPr>
        <w:pStyle w:val="Podpis"/>
      </w:pPr>
      <w:r>
        <w:t xml:space="preserve">No content in this section — the assessment does not contain the data needed to write it.</w:t>
      </w:r>
    </w:p>
    <w:p>
      <w:pPr>
        <w:pStyle w:val="Kicker"/>
        <w:keepNext/>
        <w:pageBreakBefore/>
      </w:pPr>
      <w:r>
        <w:t xml:space="preserve">Chapter 1 of 7 · axis 1 of the DRD structure</w:t>
      </w:r>
    </w:p>
    <w:p>
      <w:pPr>
        <w:pStyle w:val="Heading1"/>
        <w:pStyle w:val="Heading1"/>
        <w:keepNext/>
      </w:pPr>
      <w:r>
        <w:t xml:space="preserve">1. Digital Processes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Sales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Marketing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Process Technology and R&amp;D</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Purchasing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Logistics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Production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Quality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Financial Management</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HR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2. The table covers 9 areas of axis 1. The level columns show the scale from 1 to 7;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1A Sales Processes</w:t>
      </w:r>
    </w:p>
    <w:p>
      <w:pPr>
        <w:pStyle w:val="Sygnatura"/>
      </w:pPr>
      <w:r>
        <w:t xml:space="preserve">Current level: — (—) · Target level: — (—) · Gap: — · Priority: — · Evidence: not assessed</w:t>
      </w:r>
    </w:p>
    <w:p>
      <w:pPr>
        <w:pStyle w:val="Podpis"/>
      </w:pPr>
      <w:r>
        <w:t xml:space="preserve">Area 1A was not assessed — no source data.</w:t>
      </w:r>
    </w:p>
    <w:p>
      <w:pPr>
        <w:pStyle w:val="Heading3"/>
        <w:pStyle w:val="Heading3"/>
      </w:pPr>
      <w:r>
        <w:t xml:space="preserve">1B Marketing Processes</w:t>
      </w:r>
    </w:p>
    <w:p>
      <w:pPr>
        <w:pStyle w:val="Sygnatura"/>
      </w:pPr>
      <w:r>
        <w:t xml:space="preserve">Current level: — (—) · Target level: — (—) · Gap: — · Priority: — · Evidence: not assessed</w:t>
      </w:r>
    </w:p>
    <w:p>
      <w:pPr>
        <w:pStyle w:val="Podpis"/>
      </w:pPr>
      <w:r>
        <w:t xml:space="preserve">Area 1B was not assessed — no source data.</w:t>
      </w:r>
    </w:p>
    <w:p>
      <w:pPr>
        <w:pStyle w:val="Heading3"/>
        <w:pStyle w:val="Heading3"/>
      </w:pPr>
      <w:r>
        <w:t xml:space="preserve">1C Process Technology and R&amp;D</w:t>
      </w:r>
    </w:p>
    <w:p>
      <w:pPr>
        <w:pStyle w:val="Sygnatura"/>
      </w:pPr>
      <w:r>
        <w:t xml:space="preserve">Current level: — (—) · Target level: — (—) · Gap: — · Priority: — · Evidence: not assessed</w:t>
      </w:r>
    </w:p>
    <w:p>
      <w:pPr>
        <w:pStyle w:val="Podpis"/>
      </w:pPr>
      <w:r>
        <w:t xml:space="preserve">Area 1C was not assessed — no source data.</w:t>
      </w:r>
    </w:p>
    <w:p>
      <w:pPr>
        <w:pStyle w:val="Heading3"/>
        <w:pStyle w:val="Heading3"/>
      </w:pPr>
      <w:r>
        <w:t xml:space="preserve">1D Purchasing Processes</w:t>
      </w:r>
    </w:p>
    <w:p>
      <w:pPr>
        <w:pStyle w:val="Sygnatura"/>
      </w:pPr>
      <w:r>
        <w:t xml:space="preserve">Current level: — (—) · Target level: — (—) · Gap: — · Priority: — · Evidence: not assessed</w:t>
      </w:r>
    </w:p>
    <w:p>
      <w:pPr>
        <w:pStyle w:val="Podpis"/>
      </w:pPr>
      <w:r>
        <w:t xml:space="preserve">Area 1D was not assessed — no source data.</w:t>
      </w:r>
    </w:p>
    <w:p>
      <w:pPr>
        <w:pStyle w:val="Heading3"/>
        <w:pStyle w:val="Heading3"/>
      </w:pPr>
      <w:r>
        <w:t xml:space="preserve">1E Logistics Processes</w:t>
      </w:r>
    </w:p>
    <w:p>
      <w:pPr>
        <w:pStyle w:val="Sygnatura"/>
      </w:pPr>
      <w:r>
        <w:t xml:space="preserve">Current level: — (—) · Target level: — (—) · Gap: — · Priority: — · Evidence: not assessed</w:t>
      </w:r>
    </w:p>
    <w:p>
      <w:pPr>
        <w:pStyle w:val="Podpis"/>
      </w:pPr>
      <w:r>
        <w:t xml:space="preserve">Area 1E was not assessed — no source data.</w:t>
      </w:r>
    </w:p>
    <w:p>
      <w:pPr>
        <w:pStyle w:val="Heading3"/>
        <w:pStyle w:val="Heading3"/>
      </w:pPr>
      <w:r>
        <w:t xml:space="preserve">1F Production Processes</w:t>
      </w:r>
    </w:p>
    <w:p>
      <w:pPr>
        <w:pStyle w:val="Sygnatura"/>
      </w:pPr>
      <w:r>
        <w:t xml:space="preserve">Current level: — (—) · Target level: — (—) · Gap: — · Priority: — · Evidence: not assessed</w:t>
      </w:r>
    </w:p>
    <w:p>
      <w:pPr>
        <w:pStyle w:val="Podpis"/>
      </w:pPr>
      <w:r>
        <w:t xml:space="preserve">Area 1F was not assessed — no source data.</w:t>
      </w:r>
    </w:p>
    <w:p>
      <w:pPr>
        <w:pStyle w:val="Heading3"/>
        <w:pStyle w:val="Heading3"/>
      </w:pPr>
      <w:r>
        <w:t xml:space="preserve">1G Quality Processes</w:t>
      </w:r>
    </w:p>
    <w:p>
      <w:pPr>
        <w:pStyle w:val="Sygnatura"/>
      </w:pPr>
      <w:r>
        <w:t xml:space="preserve">Current level: — (—) · Target level: — (—) · Gap: — · Priority: — · Evidence: not assessed</w:t>
      </w:r>
    </w:p>
    <w:p>
      <w:pPr>
        <w:pStyle w:val="Podpis"/>
      </w:pPr>
      <w:r>
        <w:t xml:space="preserve">Area 1G was not assessed — no source data.</w:t>
      </w:r>
    </w:p>
    <w:p>
      <w:pPr>
        <w:pStyle w:val="Heading3"/>
        <w:pStyle w:val="Heading3"/>
      </w:pPr>
      <w:r>
        <w:t xml:space="preserve">1H Financial Management</w:t>
      </w:r>
    </w:p>
    <w:p>
      <w:pPr>
        <w:pStyle w:val="Sygnatura"/>
      </w:pPr>
      <w:r>
        <w:t xml:space="preserve">Current level: — (—) · Target level: — (—) · Gap: — · Priority: — · Evidence: not assessed</w:t>
      </w:r>
    </w:p>
    <w:p>
      <w:pPr>
        <w:pStyle w:val="Podpis"/>
      </w:pPr>
      <w:r>
        <w:t xml:space="preserve">Area 1H was not assessed — no source data.</w:t>
      </w:r>
    </w:p>
    <w:p>
      <w:pPr>
        <w:pStyle w:val="Heading3"/>
        <w:pStyle w:val="Heading3"/>
      </w:pPr>
      <w:r>
        <w:t xml:space="preserve">1I HR Processes</w:t>
      </w:r>
    </w:p>
    <w:p>
      <w:pPr>
        <w:pStyle w:val="Sygnatura"/>
      </w:pPr>
      <w:r>
        <w:t xml:space="preserve">Current level: — (—) · Target level: — (—) · Gap: — · Priority: — · Evidence: not assessed</w:t>
      </w:r>
    </w:p>
    <w:p>
      <w:pPr>
        <w:pStyle w:val="Podpis"/>
      </w:pPr>
      <w:r>
        <w:t xml:space="preserve">Area 1I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2 of 7 · axis 2 of the DRD structure</w:t>
      </w:r>
    </w:p>
    <w:p>
      <w:pPr>
        <w:pStyle w:val="Heading1"/>
        <w:pStyle w:val="Heading1"/>
        <w:keepNext/>
      </w:pPr>
      <w:r>
        <w:t xml:space="preserve">2. Digital Products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Digital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Community-based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ICT-based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 Alignment to Customer Expectations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 Scalability</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4. The table covers 5 areas of axis 2. The level columns show the scale from 1 to 5;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2A Digital Products</w:t>
      </w:r>
    </w:p>
    <w:p>
      <w:pPr>
        <w:pStyle w:val="Sygnatura"/>
      </w:pPr>
      <w:r>
        <w:t xml:space="preserve">Current level: — (—) · Target level: — (—) · Gap: — · Priority: — · Evidence: not assessed</w:t>
      </w:r>
    </w:p>
    <w:p>
      <w:pPr>
        <w:pStyle w:val="Podpis"/>
      </w:pPr>
      <w:r>
        <w:t xml:space="preserve">Area 2A was not assessed — no source data.</w:t>
      </w:r>
    </w:p>
    <w:p>
      <w:pPr>
        <w:pStyle w:val="Heading3"/>
        <w:pStyle w:val="Heading3"/>
      </w:pPr>
      <w:r>
        <w:t xml:space="preserve">2B Community-based Products</w:t>
      </w:r>
    </w:p>
    <w:p>
      <w:pPr>
        <w:pStyle w:val="Sygnatura"/>
      </w:pPr>
      <w:r>
        <w:t xml:space="preserve">Current level: — (—) · Target level: — (—) · Gap: — · Priority: — · Evidence: not assessed</w:t>
      </w:r>
    </w:p>
    <w:p>
      <w:pPr>
        <w:pStyle w:val="Podpis"/>
      </w:pPr>
      <w:r>
        <w:t xml:space="preserve">Area 2B was not assessed — no source data.</w:t>
      </w:r>
    </w:p>
    <w:p>
      <w:pPr>
        <w:pStyle w:val="Heading3"/>
        <w:pStyle w:val="Heading3"/>
      </w:pPr>
      <w:r>
        <w:t xml:space="preserve">2C ICT-based Products</w:t>
      </w:r>
    </w:p>
    <w:p>
      <w:pPr>
        <w:pStyle w:val="Sygnatura"/>
      </w:pPr>
      <w:r>
        <w:t xml:space="preserve">Current level: — (—) · Target level: — (—) · Gap: — · Priority: — · Evidence: not assessed</w:t>
      </w:r>
    </w:p>
    <w:p>
      <w:pPr>
        <w:pStyle w:val="Podpis"/>
      </w:pPr>
      <w:r>
        <w:t xml:space="preserve">Area 2C was not assessed — no source data.</w:t>
      </w:r>
    </w:p>
    <w:p>
      <w:pPr>
        <w:pStyle w:val="Heading3"/>
        <w:pStyle w:val="Heading3"/>
      </w:pPr>
      <w:r>
        <w:t xml:space="preserve">2D Product Alignment to Customer Expectations</w:t>
      </w:r>
    </w:p>
    <w:p>
      <w:pPr>
        <w:pStyle w:val="Sygnatura"/>
      </w:pPr>
      <w:r>
        <w:t xml:space="preserve">Current level: — (—) · Target level: — (—) · Gap: — · Priority: — · Evidence: not assessed</w:t>
      </w:r>
    </w:p>
    <w:p>
      <w:pPr>
        <w:pStyle w:val="Podpis"/>
      </w:pPr>
      <w:r>
        <w:t xml:space="preserve">Area 2D was not assessed — no source data.</w:t>
      </w:r>
    </w:p>
    <w:p>
      <w:pPr>
        <w:pStyle w:val="Heading3"/>
        <w:pStyle w:val="Heading3"/>
      </w:pPr>
      <w:r>
        <w:t xml:space="preserve">2E Product Scalability</w:t>
      </w:r>
    </w:p>
    <w:p>
      <w:pPr>
        <w:pStyle w:val="Sygnatura"/>
      </w:pPr>
      <w:r>
        <w:t xml:space="preserve">Current level: — (—) · Target level: — (—) · Gap: — · Priority: — · Evidence: not assessed</w:t>
      </w:r>
    </w:p>
    <w:p>
      <w:pPr>
        <w:pStyle w:val="Podpis"/>
      </w:pPr>
      <w:r>
        <w:t xml:space="preserve">Area 2E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3 of 7 · axis 3 of the DRD structure</w:t>
      </w:r>
    </w:p>
    <w:p>
      <w:pPr>
        <w:pStyle w:val="Heading1"/>
        <w:pStyle w:val="Heading1"/>
        <w:keepNext/>
      </w:pPr>
      <w:r>
        <w:t xml:space="preserve">3. Digital Business Models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E-commerce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Platform Solutions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As-a-Service</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Asset Sharing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Monetization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6. The table covers 5 areas of axis 3. The level columns show the scale from 1 to 5;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3A E-commerce Models</w:t>
      </w:r>
    </w:p>
    <w:p>
      <w:pPr>
        <w:pStyle w:val="Sygnatura"/>
      </w:pPr>
      <w:r>
        <w:t xml:space="preserve">Current level: — (—) · Target level: — (—) · Gap: — · Priority: — · Evidence: not assessed</w:t>
      </w:r>
    </w:p>
    <w:p>
      <w:pPr>
        <w:pStyle w:val="Podpis"/>
      </w:pPr>
      <w:r>
        <w:t xml:space="preserve">Area 3A was not assessed — no source data.</w:t>
      </w:r>
    </w:p>
    <w:p>
      <w:pPr>
        <w:pStyle w:val="Heading3"/>
        <w:pStyle w:val="Heading3"/>
      </w:pPr>
      <w:r>
        <w:t xml:space="preserve">3B Platform Solutions</w:t>
      </w:r>
    </w:p>
    <w:p>
      <w:pPr>
        <w:pStyle w:val="Sygnatura"/>
      </w:pPr>
      <w:r>
        <w:t xml:space="preserve">Current level: — (—) · Target level: — (—) · Gap: — · Priority: — · Evidence: not assessed</w:t>
      </w:r>
    </w:p>
    <w:p>
      <w:pPr>
        <w:pStyle w:val="Podpis"/>
      </w:pPr>
      <w:r>
        <w:t xml:space="preserve">Area 3B was not assessed — no source data.</w:t>
      </w:r>
    </w:p>
    <w:p>
      <w:pPr>
        <w:pStyle w:val="Heading3"/>
        <w:pStyle w:val="Heading3"/>
      </w:pPr>
      <w:r>
        <w:t xml:space="preserve">3C As-a-Service</w:t>
      </w:r>
    </w:p>
    <w:p>
      <w:pPr>
        <w:pStyle w:val="Sygnatura"/>
      </w:pPr>
      <w:r>
        <w:t xml:space="preserve">Current level: — (—) · Target level: — (—) · Gap: — · Priority: — · Evidence: not assessed</w:t>
      </w:r>
    </w:p>
    <w:p>
      <w:pPr>
        <w:pStyle w:val="Podpis"/>
      </w:pPr>
      <w:r>
        <w:t xml:space="preserve">Area 3C was not assessed — no source data.</w:t>
      </w:r>
    </w:p>
    <w:p>
      <w:pPr>
        <w:pStyle w:val="Heading3"/>
        <w:pStyle w:val="Heading3"/>
      </w:pPr>
      <w:r>
        <w:t xml:space="preserve">3D Asset Sharing Models</w:t>
      </w:r>
    </w:p>
    <w:p>
      <w:pPr>
        <w:pStyle w:val="Sygnatura"/>
      </w:pPr>
      <w:r>
        <w:t xml:space="preserve">Current level: — (—) · Target level: — (—) · Gap: — · Priority: — · Evidence: not assessed</w:t>
      </w:r>
    </w:p>
    <w:p>
      <w:pPr>
        <w:pStyle w:val="Podpis"/>
      </w:pPr>
      <w:r>
        <w:t xml:space="preserve">Area 3D was not assessed — no source data.</w:t>
      </w:r>
    </w:p>
    <w:p>
      <w:pPr>
        <w:pStyle w:val="Heading3"/>
        <w:pStyle w:val="Heading3"/>
      </w:pPr>
      <w:r>
        <w:t xml:space="preserve">3E Data Monetization Models</w:t>
      </w:r>
    </w:p>
    <w:p>
      <w:pPr>
        <w:pStyle w:val="Sygnatura"/>
      </w:pPr>
      <w:r>
        <w:t xml:space="preserve">Current level: — (—) · Target level: — (—) · Gap: — · Priority: — · Evidence: not assessed</w:t>
      </w:r>
    </w:p>
    <w:p>
      <w:pPr>
        <w:pStyle w:val="Podpis"/>
      </w:pPr>
      <w:r>
        <w:t xml:space="preserve">Area 3E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4 of 7 · axis 4 of the DRD structure</w:t>
      </w:r>
    </w:p>
    <w:p>
      <w:pPr>
        <w:pStyle w:val="Heading1"/>
        <w:pStyle w:val="Heading1"/>
        <w:keepNext/>
      </w:pPr>
      <w:r>
        <w:t xml:space="preserve">4. Data Management</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Collection</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Storage Methodology</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Communication</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Big Data Analysis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Computing</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8. The table covers 5 areas of axis 4. The level columns show the scale from 1 to 7;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4A Data Collection</w:t>
      </w:r>
    </w:p>
    <w:p>
      <w:pPr>
        <w:pStyle w:val="Sygnatura"/>
      </w:pPr>
      <w:r>
        <w:t xml:space="preserve">Current level: — (—) · Target level: — (—) · Gap: — · Priority: — · Evidence: not assessed</w:t>
      </w:r>
    </w:p>
    <w:p>
      <w:pPr>
        <w:pStyle w:val="Podpis"/>
      </w:pPr>
      <w:r>
        <w:t xml:space="preserve">Area 4A was not assessed — no source data.</w:t>
      </w:r>
    </w:p>
    <w:p>
      <w:pPr>
        <w:pStyle w:val="Heading3"/>
        <w:pStyle w:val="Heading3"/>
      </w:pPr>
      <w:r>
        <w:t xml:space="preserve">4B Data Storage Methodology</w:t>
      </w:r>
    </w:p>
    <w:p>
      <w:pPr>
        <w:pStyle w:val="Sygnatura"/>
      </w:pPr>
      <w:r>
        <w:t xml:space="preserve">Current level: — (—) · Target level: — (—) · Gap: — · Priority: — · Evidence: not assessed</w:t>
      </w:r>
    </w:p>
    <w:p>
      <w:pPr>
        <w:pStyle w:val="Podpis"/>
      </w:pPr>
      <w:r>
        <w:t xml:space="preserve">Area 4B was not assessed — no source data.</w:t>
      </w:r>
    </w:p>
    <w:p>
      <w:pPr>
        <w:pStyle w:val="Heading3"/>
        <w:pStyle w:val="Heading3"/>
      </w:pPr>
      <w:r>
        <w:t xml:space="preserve">4C Data Communication</w:t>
      </w:r>
    </w:p>
    <w:p>
      <w:pPr>
        <w:pStyle w:val="Sygnatura"/>
      </w:pPr>
      <w:r>
        <w:t xml:space="preserve">Current level: — (—) · Target level: — (—) · Gap: — · Priority: — · Evidence: not assessed</w:t>
      </w:r>
    </w:p>
    <w:p>
      <w:pPr>
        <w:pStyle w:val="Podpis"/>
      </w:pPr>
      <w:r>
        <w:t xml:space="preserve">Area 4C was not assessed — no source data.</w:t>
      </w:r>
    </w:p>
    <w:p>
      <w:pPr>
        <w:pStyle w:val="Heading3"/>
        <w:pStyle w:val="Heading3"/>
      </w:pPr>
      <w:r>
        <w:t xml:space="preserve">4D Big Data Analysis</w:t>
      </w:r>
    </w:p>
    <w:p>
      <w:pPr>
        <w:pStyle w:val="Sygnatura"/>
      </w:pPr>
      <w:r>
        <w:t xml:space="preserve">Current level: — (—) · Target level: — (—) · Gap: — · Priority: — · Evidence: not assessed</w:t>
      </w:r>
    </w:p>
    <w:p>
      <w:pPr>
        <w:pStyle w:val="Podpis"/>
      </w:pPr>
      <w:r>
        <w:t xml:space="preserve">Area 4D was not assessed — no source data.</w:t>
      </w:r>
    </w:p>
    <w:p>
      <w:pPr>
        <w:pStyle w:val="Heading3"/>
        <w:pStyle w:val="Heading3"/>
      </w:pPr>
      <w:r>
        <w:t xml:space="preserve">4E Computing</w:t>
      </w:r>
    </w:p>
    <w:p>
      <w:pPr>
        <w:pStyle w:val="Sygnatura"/>
      </w:pPr>
      <w:r>
        <w:t xml:space="preserve">Current level: — (—) · Target level: — (—) · Gap: — · Priority: — · Evidence: not assessed</w:t>
      </w:r>
    </w:p>
    <w:p>
      <w:pPr>
        <w:pStyle w:val="Podpis"/>
      </w:pPr>
      <w:r>
        <w:t xml:space="preserve">Area 4E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5 of 7 · axis 5 of the DRD structure</w:t>
      </w:r>
    </w:p>
    <w:p>
      <w:pPr>
        <w:pStyle w:val="Heading1"/>
        <w:pStyle w:val="Heading1"/>
        <w:keepNext/>
      </w:pPr>
      <w:r>
        <w:t xml:space="preserve">5. Culture of Transformation</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Leadership Attitudes</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Readiness for Change</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Continuous Competency Development</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Innovation Culture</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Resource Availability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10. The table covers 5 areas of axis 5. The level columns show the scale from 1 to 6;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5A Leadership Attitudes</w:t>
      </w:r>
    </w:p>
    <w:p>
      <w:pPr>
        <w:pStyle w:val="Sygnatura"/>
      </w:pPr>
      <w:r>
        <w:t xml:space="preserve">Current level: — (—) · Target level: — (—) · Gap: — · Priority: — · Evidence: not assessed</w:t>
      </w:r>
    </w:p>
    <w:p>
      <w:pPr>
        <w:pStyle w:val="Podpis"/>
      </w:pPr>
      <w:r>
        <w:t xml:space="preserve">Area 5A was not assessed — no source data.</w:t>
      </w:r>
    </w:p>
    <w:p>
      <w:pPr>
        <w:pStyle w:val="Heading3"/>
        <w:pStyle w:val="Heading3"/>
      </w:pPr>
      <w:r>
        <w:t xml:space="preserve">5B Readiness for Change</w:t>
      </w:r>
    </w:p>
    <w:p>
      <w:pPr>
        <w:pStyle w:val="Sygnatura"/>
      </w:pPr>
      <w:r>
        <w:t xml:space="preserve">Current level: — (—) · Target level: — (—) · Gap: — · Priority: — · Evidence: not assessed</w:t>
      </w:r>
    </w:p>
    <w:p>
      <w:pPr>
        <w:pStyle w:val="Podpis"/>
      </w:pPr>
      <w:r>
        <w:t xml:space="preserve">Area 5B was not assessed — no source data.</w:t>
      </w:r>
    </w:p>
    <w:p>
      <w:pPr>
        <w:pStyle w:val="Heading3"/>
        <w:pStyle w:val="Heading3"/>
      </w:pPr>
      <w:r>
        <w:t xml:space="preserve">5C Continuous Competency Development</w:t>
      </w:r>
    </w:p>
    <w:p>
      <w:pPr>
        <w:pStyle w:val="Sygnatura"/>
      </w:pPr>
      <w:r>
        <w:t xml:space="preserve">Current level: — (—) · Target level: — (—) · Gap: — · Priority: — · Evidence: not assessed</w:t>
      </w:r>
    </w:p>
    <w:p>
      <w:pPr>
        <w:pStyle w:val="Podpis"/>
      </w:pPr>
      <w:r>
        <w:t xml:space="preserve">Area 5C was not assessed — no source data.</w:t>
      </w:r>
    </w:p>
    <w:p>
      <w:pPr>
        <w:pStyle w:val="Heading3"/>
        <w:pStyle w:val="Heading3"/>
      </w:pPr>
      <w:r>
        <w:t xml:space="preserve">5D Innovation Culture</w:t>
      </w:r>
    </w:p>
    <w:p>
      <w:pPr>
        <w:pStyle w:val="Sygnatura"/>
      </w:pPr>
      <w:r>
        <w:t xml:space="preserve">Current level: — (—) · Target level: — (—) · Gap: — · Priority: — · Evidence: not assessed</w:t>
      </w:r>
    </w:p>
    <w:p>
      <w:pPr>
        <w:pStyle w:val="Podpis"/>
      </w:pPr>
      <w:r>
        <w:t xml:space="preserve">Area 5D was not assessed — no source data.</w:t>
      </w:r>
    </w:p>
    <w:p>
      <w:pPr>
        <w:pStyle w:val="Heading3"/>
        <w:pStyle w:val="Heading3"/>
      </w:pPr>
      <w:r>
        <w:t xml:space="preserve">5E Resource Availability</w:t>
      </w:r>
    </w:p>
    <w:p>
      <w:pPr>
        <w:pStyle w:val="Sygnatura"/>
      </w:pPr>
      <w:r>
        <w:t xml:space="preserve">Current level: — (—) · Target level: — (—) · Gap: — · Priority: — · Evidence: not assessed</w:t>
      </w:r>
    </w:p>
    <w:p>
      <w:pPr>
        <w:pStyle w:val="Podpis"/>
      </w:pPr>
      <w:r>
        <w:t xml:space="preserve">Area 5E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6 of 7 · axis 6 of the DRD structure</w:t>
      </w:r>
    </w:p>
    <w:p>
      <w:pPr>
        <w:pStyle w:val="Heading1"/>
        <w:pStyle w:val="Heading1"/>
        <w:keepNext/>
      </w:pPr>
      <w:r>
        <w:t xml:space="preserve">6. Cybersecurity</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Strategy and Risk Management</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Network and System Protection</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Security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Security Education and System Quality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Contingency Plans</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12. The table covers 5 areas of axis 6. The level columns show the scale from 1 to 6;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6A Strategy and Risk Management</w:t>
      </w:r>
    </w:p>
    <w:p>
      <w:pPr>
        <w:pStyle w:val="Sygnatura"/>
      </w:pPr>
      <w:r>
        <w:t xml:space="preserve">Current level: — (—) · Target level: — (—) · Gap: — · Priority: — · Evidence: not assessed</w:t>
      </w:r>
    </w:p>
    <w:p>
      <w:pPr>
        <w:pStyle w:val="Podpis"/>
      </w:pPr>
      <w:r>
        <w:t xml:space="preserve">Area 6A was not assessed — no source data.</w:t>
      </w:r>
    </w:p>
    <w:p>
      <w:pPr>
        <w:pStyle w:val="Heading3"/>
        <w:pStyle w:val="Heading3"/>
      </w:pPr>
      <w:r>
        <w:t xml:space="preserve">6B Network and System Protection</w:t>
      </w:r>
    </w:p>
    <w:p>
      <w:pPr>
        <w:pStyle w:val="Sygnatura"/>
      </w:pPr>
      <w:r>
        <w:t xml:space="preserve">Current level: — (—) · Target level: — (—) · Gap: — · Priority: — · Evidence: not assessed</w:t>
      </w:r>
    </w:p>
    <w:p>
      <w:pPr>
        <w:pStyle w:val="Podpis"/>
      </w:pPr>
      <w:r>
        <w:t xml:space="preserve">Area 6B was not assessed — no source data.</w:t>
      </w:r>
    </w:p>
    <w:p>
      <w:pPr>
        <w:pStyle w:val="Heading3"/>
        <w:pStyle w:val="Heading3"/>
      </w:pPr>
      <w:r>
        <w:t xml:space="preserve">6C Data Security</w:t>
      </w:r>
    </w:p>
    <w:p>
      <w:pPr>
        <w:pStyle w:val="Sygnatura"/>
      </w:pPr>
      <w:r>
        <w:t xml:space="preserve">Current level: — (—) · Target level: — (—) · Gap: — · Priority: — · Evidence: not assessed</w:t>
      </w:r>
    </w:p>
    <w:p>
      <w:pPr>
        <w:pStyle w:val="Podpis"/>
      </w:pPr>
      <w:r>
        <w:t xml:space="preserve">Area 6C was not assessed — no source data.</w:t>
      </w:r>
    </w:p>
    <w:p>
      <w:pPr>
        <w:pStyle w:val="Heading3"/>
        <w:pStyle w:val="Heading3"/>
      </w:pPr>
      <w:r>
        <w:t xml:space="preserve">6D Security Education and System Quality</w:t>
      </w:r>
    </w:p>
    <w:p>
      <w:pPr>
        <w:pStyle w:val="Sygnatura"/>
      </w:pPr>
      <w:r>
        <w:t xml:space="preserve">Current level: — (—) · Target level: — (—) · Gap: — · Priority: — · Evidence: not assessed</w:t>
      </w:r>
    </w:p>
    <w:p>
      <w:pPr>
        <w:pStyle w:val="Podpis"/>
      </w:pPr>
      <w:r>
        <w:t xml:space="preserve">Area 6D was not assessed — no source data.</w:t>
      </w:r>
    </w:p>
    <w:p>
      <w:pPr>
        <w:pStyle w:val="Heading3"/>
        <w:pStyle w:val="Heading3"/>
      </w:pPr>
      <w:r>
        <w:t xml:space="preserve">6E Contingency Plans</w:t>
      </w:r>
    </w:p>
    <w:p>
      <w:pPr>
        <w:pStyle w:val="Sygnatura"/>
      </w:pPr>
      <w:r>
        <w:t xml:space="preserve">Current level: — (—) · Target level: — (—) · Gap: — · Priority: — · Evidence: not assessed</w:t>
      </w:r>
    </w:p>
    <w:p>
      <w:pPr>
        <w:pStyle w:val="Podpis"/>
      </w:pPr>
      <w:r>
        <w:t xml:space="preserve">Area 6E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7 of 7 · axis 7 of the DRD structure</w:t>
      </w:r>
    </w:p>
    <w:p>
      <w:pPr>
        <w:pStyle w:val="Heading1"/>
        <w:pStyle w:val="Heading1"/>
        <w:keepNext/>
      </w:pPr>
      <w:r>
        <w:t xml:space="preserve">7. AI Maturity</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and AI Foundations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AI-Supported Processes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in Products and Services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Governance, Security and Ethics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Competencies and Culture</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14. The table covers 5 areas of axis 7. The level columns show the scale from 1 to 5; Gap is the difference between the target level and the current level, and Priority follows from the size of the gap. The data comes from the recorded assessment of 2026-09-16.</w:t>
      </w:r>
    </w:p>
    <w:p>
      <w:pPr>
        <w:pStyle w:val="Heading2"/>
        <w:pStyle w:val="Heading2"/>
      </w:pPr>
      <w:r>
        <w:t xml:space="preserve">Area assessment</w:t>
      </w:r>
    </w:p>
    <w:p>
      <w:pPr>
        <w:pStyle w:val="Heading3"/>
        <w:pStyle w:val="Heading3"/>
      </w:pPr>
      <w:r>
        <w:t xml:space="preserve">7A Data and AI Foundations</w:t>
      </w:r>
    </w:p>
    <w:p>
      <w:pPr>
        <w:pStyle w:val="Sygnatura"/>
      </w:pPr>
      <w:r>
        <w:t xml:space="preserve">Current level: — (—) · Target level: — (—) · Gap: — · Priority: — · Evidence: not assessed</w:t>
      </w:r>
    </w:p>
    <w:p>
      <w:pPr>
        <w:pStyle w:val="Podpis"/>
      </w:pPr>
      <w:r>
        <w:t xml:space="preserve">Area 7A was not assessed — no source data.</w:t>
      </w:r>
    </w:p>
    <w:p>
      <w:pPr>
        <w:pStyle w:val="Heading3"/>
        <w:pStyle w:val="Heading3"/>
      </w:pPr>
      <w:r>
        <w:t xml:space="preserve">7B AI-Supported Processes</w:t>
      </w:r>
    </w:p>
    <w:p>
      <w:pPr>
        <w:pStyle w:val="Sygnatura"/>
      </w:pPr>
      <w:r>
        <w:t xml:space="preserve">Current level: — (—) · Target level: — (—) · Gap: — · Priority: — · Evidence: not assessed</w:t>
      </w:r>
    </w:p>
    <w:p>
      <w:pPr>
        <w:pStyle w:val="Podpis"/>
      </w:pPr>
      <w:r>
        <w:t xml:space="preserve">Area 7B was not assessed — no source data.</w:t>
      </w:r>
    </w:p>
    <w:p>
      <w:pPr>
        <w:pStyle w:val="Heading3"/>
        <w:pStyle w:val="Heading3"/>
      </w:pPr>
      <w:r>
        <w:t xml:space="preserve">7C AI in Products and Services</w:t>
      </w:r>
    </w:p>
    <w:p>
      <w:pPr>
        <w:pStyle w:val="Sygnatura"/>
      </w:pPr>
      <w:r>
        <w:t xml:space="preserve">Current level: — (—) · Target level: — (—) · Gap: — · Priority: — · Evidence: not assessed</w:t>
      </w:r>
    </w:p>
    <w:p>
      <w:pPr>
        <w:pStyle w:val="Podpis"/>
      </w:pPr>
      <w:r>
        <w:t xml:space="preserve">Area 7C was not assessed — no source data.</w:t>
      </w:r>
    </w:p>
    <w:p>
      <w:pPr>
        <w:pStyle w:val="Heading3"/>
        <w:pStyle w:val="Heading3"/>
      </w:pPr>
      <w:r>
        <w:t xml:space="preserve">7D Governance, Security and Ethics</w:t>
      </w:r>
    </w:p>
    <w:p>
      <w:pPr>
        <w:pStyle w:val="Sygnatura"/>
      </w:pPr>
      <w:r>
        <w:t xml:space="preserve">Current level: — (—) · Target level: — (—) · Gap: — · Priority: — · Evidence: not assessed</w:t>
      </w:r>
    </w:p>
    <w:p>
      <w:pPr>
        <w:pStyle w:val="Podpis"/>
      </w:pPr>
      <w:r>
        <w:t xml:space="preserve">Area 7D was not assessed — no source data.</w:t>
      </w:r>
    </w:p>
    <w:p>
      <w:pPr>
        <w:pStyle w:val="Heading3"/>
        <w:pStyle w:val="Heading3"/>
      </w:pPr>
      <w:r>
        <w:t xml:space="preserve">7E AI Competencies and Culture</w:t>
      </w:r>
    </w:p>
    <w:p>
      <w:pPr>
        <w:pStyle w:val="Sygnatura"/>
      </w:pPr>
      <w:r>
        <w:t xml:space="preserve">Current level: — (—) · Target level: — (—) · Gap: — · Priority: — · Evidence: not assessed</w:t>
      </w:r>
    </w:p>
    <w:p>
      <w:pPr>
        <w:pStyle w:val="Podpis"/>
      </w:pPr>
      <w:r>
        <w:t xml:space="preserve">Area 7E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SYNTHESIS</w:t>
      </w:r>
    </w:p>
    <w:p>
      <w:pPr>
        <w:pStyle w:val="Heading1"/>
        <w:pStyle w:val="Heading1"/>
        <w:keepNext/>
      </w:pPr>
      <w:r>
        <w:t xml:space="preserve">8. Final Conclusions</w:t>
      </w:r>
    </w:p>
    <w:p>
      <w:pPr>
        <w:pStyle w:val="Podpis"/>
      </w:pPr>
      <w:r>
        <w:t xml:space="preserve">No content in this section — the assessment does not contain the data needed to write it.</w:t>
      </w:r>
    </w:p>
    <w:p>
      <w:pPr>
        <w:pStyle w:val="Heading2"/>
        <w:pStyle w:val="Heading2"/>
      </w:pPr>
      <w:r>
        <w:t xml:space="preserve">Program 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APPENDIX</w:t>
      </w:r>
    </w:p>
    <w:p>
      <w:pPr>
        <w:pStyle w:val="Heading1"/>
        <w:pStyle w:val="Heading1"/>
        <w:keepNext/>
      </w:pPr>
      <w:r>
        <w:t xml:space="preserve">Appendix A. Gap Register</w:t>
      </w:r>
    </w:p>
    <w:p>
      <w:pPr>
        <w:pStyle w:val="Kicker"/>
        <w:keepNext/>
      </w:pPr>
      <w:r>
        <w:t xml:space="preserve">APPENDIX</w:t>
      </w:r>
    </w:p>
    <w:p>
      <w:pPr>
        <w:pStyle w:val="Heading1"/>
        <w:pStyle w:val="Heading1"/>
        <w:keepNext/>
      </w:pPr>
      <w:r>
        <w:t xml:space="preserve">Appendix B. Methodology Note</w:t>
      </w:r>
    </w:p>
    <w:p>
      <w:pPr>
        <w:pStyle w:val="Tresc"/>
      </w:pPr>
      <w:r>
        <w:t xml:space="preserve">The assessment was carried out using the DRD structure: 7 axes and 39 areas. Each area has a recorded current level and target level on a scale specific to its axis. The gap is the difference between the target and current level; priority follows solely from the size of the gap and is not an expert judgement. The "Current" and "Target" columns in the axis summary are the average of that axis's area levels, expressed as a percentage of the axis's maximum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Axis</w:t>
            </w:r>
          </w:p>
        </w:tc>
        <w:tc>
          <w:tcPr>
            <w:shd w:fill="E2E9EF"/>
          </w:tcPr>
          <w:p>
            <w:pPr>
              <w:pStyle w:val="BodyText"/>
            </w:pPr>
            <w:r>
              <w:rPr>
                <w:b/>
                <w:bCs/>
                <w:color w:val="083152"/>
                <w:sz w:val="20"/>
                <w:szCs w:val="20"/>
              </w:rPr>
              <w:t xml:space="preserve">Name</w:t>
            </w:r>
          </w:p>
        </w:tc>
        <w:tc>
          <w:tcPr>
            <w:shd w:fill="E2E9EF"/>
          </w:tcPr>
          <w:p>
            <w:pPr>
              <w:pStyle w:val="BodyText"/>
            </w:pPr>
            <w:r>
              <w:rPr>
                <w:b/>
                <w:bCs/>
                <w:color w:val="083152"/>
                <w:sz w:val="20"/>
                <w:szCs w:val="20"/>
              </w:rPr>
              <w:t xml:space="preserve">Number of areas</w:t>
            </w:r>
          </w:p>
        </w:tc>
        <w:tc>
          <w:tcPr>
            <w:shd w:fill="E2E9EF"/>
          </w:tcPr>
          <w:p>
            <w:pPr>
              <w:pStyle w:val="BodyText"/>
            </w:pPr>
            <w:r>
              <w:rPr>
                <w:b/>
                <w:bCs/>
                <w:color w:val="083152"/>
                <w:sz w:val="20"/>
                <w:szCs w:val="20"/>
              </w:rPr>
              <w:t xml:space="preserve">Level scale</w:t>
            </w:r>
          </w:p>
        </w:tc>
      </w:tr>
      <w:tr>
        <w:tc>
          <w:p>
            <w:pPr>
              <w:pStyle w:val="BodyText"/>
            </w:pPr>
            <w:r>
              <w:rPr>
                <w:sz w:val="20"/>
                <w:szCs w:val="20"/>
              </w:rPr>
              <w:t xml:space="preserve">1</w:t>
            </w:r>
          </w:p>
        </w:tc>
        <w:tc>
          <w:p>
            <w:pPr>
              <w:pStyle w:val="BodyText"/>
            </w:pPr>
            <w:r>
              <w:rPr>
                <w:sz w:val="20"/>
                <w:szCs w:val="20"/>
              </w:rPr>
              <w:t xml:space="preserve">Digital Processes</w:t>
            </w:r>
          </w:p>
        </w:tc>
        <w:tc>
          <w:p>
            <w:pPr>
              <w:pStyle w:val="BodyText"/>
            </w:pPr>
            <w:r>
              <w:rPr>
                <w:sz w:val="20"/>
                <w:szCs w:val="20"/>
              </w:rPr>
              <w:t xml:space="preserve">9</w:t>
            </w:r>
          </w:p>
        </w:tc>
        <w:tc>
          <w:p>
            <w:pPr>
              <w:pStyle w:val="BodyText"/>
            </w:pPr>
            <w:r>
              <w:rPr>
                <w:sz w:val="20"/>
                <w:szCs w:val="20"/>
              </w:rPr>
              <w:t xml:space="preserve">1–7</w:t>
            </w:r>
          </w:p>
        </w:tc>
      </w:tr>
      <w:tr>
        <w:tc>
          <w:p>
            <w:pPr>
              <w:pStyle w:val="BodyText"/>
            </w:pPr>
            <w:r>
              <w:rPr>
                <w:sz w:val="20"/>
                <w:szCs w:val="20"/>
              </w:rPr>
              <w:t xml:space="preserve">2</w:t>
            </w:r>
          </w:p>
        </w:tc>
        <w:tc>
          <w:p>
            <w:pPr>
              <w:pStyle w:val="BodyText"/>
            </w:pPr>
            <w:r>
              <w:rPr>
                <w:sz w:val="20"/>
                <w:szCs w:val="20"/>
              </w:rPr>
              <w:t xml:space="preserve">Digital Products</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3</w:t>
            </w:r>
          </w:p>
        </w:tc>
        <w:tc>
          <w:p>
            <w:pPr>
              <w:pStyle w:val="BodyText"/>
            </w:pPr>
            <w:r>
              <w:rPr>
                <w:sz w:val="20"/>
                <w:szCs w:val="20"/>
              </w:rPr>
              <w:t xml:space="preserve">Digital Business Models</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4</w:t>
            </w:r>
          </w:p>
        </w:tc>
        <w:tc>
          <w:p>
            <w:pPr>
              <w:pStyle w:val="BodyText"/>
            </w:pPr>
            <w:r>
              <w:rPr>
                <w:sz w:val="20"/>
                <w:szCs w:val="20"/>
              </w:rPr>
              <w:t xml:space="preserve">Data Management</w:t>
            </w:r>
          </w:p>
        </w:tc>
        <w:tc>
          <w:p>
            <w:pPr>
              <w:pStyle w:val="BodyText"/>
            </w:pPr>
            <w:r>
              <w:rPr>
                <w:sz w:val="20"/>
                <w:szCs w:val="20"/>
              </w:rPr>
              <w:t xml:space="preserve">5</w:t>
            </w:r>
          </w:p>
        </w:tc>
        <w:tc>
          <w:p>
            <w:pPr>
              <w:pStyle w:val="BodyText"/>
            </w:pPr>
            <w:r>
              <w:rPr>
                <w:sz w:val="20"/>
                <w:szCs w:val="20"/>
              </w:rPr>
              <w:t xml:space="preserve">1–7</w:t>
            </w:r>
          </w:p>
        </w:tc>
      </w:tr>
      <w:tr>
        <w:tc>
          <w:p>
            <w:pPr>
              <w:pStyle w:val="BodyText"/>
            </w:pPr>
            <w:r>
              <w:rPr>
                <w:sz w:val="20"/>
                <w:szCs w:val="20"/>
              </w:rPr>
              <w:t xml:space="preserve">5</w:t>
            </w:r>
          </w:p>
        </w:tc>
        <w:tc>
          <w:p>
            <w:pPr>
              <w:pStyle w:val="BodyText"/>
            </w:pPr>
            <w:r>
              <w:rPr>
                <w:sz w:val="20"/>
                <w:szCs w:val="20"/>
              </w:rPr>
              <w:t xml:space="preserve">Culture of Transformation</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6</w:t>
            </w:r>
          </w:p>
        </w:tc>
        <w:tc>
          <w:p>
            <w:pPr>
              <w:pStyle w:val="BodyText"/>
            </w:pPr>
            <w:r>
              <w:rPr>
                <w:sz w:val="20"/>
                <w:szCs w:val="20"/>
              </w:rPr>
              <w:t xml:space="preserve">Cybersecurity</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7</w:t>
            </w:r>
          </w:p>
        </w:tc>
        <w:tc>
          <w:p>
            <w:pPr>
              <w:pStyle w:val="BodyText"/>
            </w:pPr>
            <w:r>
              <w:rPr>
                <w:sz w:val="20"/>
                <w:szCs w:val="20"/>
              </w:rPr>
              <w:t xml:space="preserve">AI Maturity</w:t>
            </w:r>
          </w:p>
        </w:tc>
        <w:tc>
          <w:p>
            <w:pPr>
              <w:pStyle w:val="BodyText"/>
            </w:pPr>
            <w:r>
              <w:rPr>
                <w:sz w:val="20"/>
                <w:szCs w:val="20"/>
              </w:rPr>
              <w:t xml:space="preserve">5</w:t>
            </w:r>
          </w:p>
        </w:tc>
        <w:tc>
          <w:p>
            <w:pPr>
              <w:pStyle w:val="BodyText"/>
            </w:pPr>
            <w:r>
              <w:rPr>
                <w:sz w:val="20"/>
                <w:szCs w:val="20"/>
              </w:rPr>
              <w:t xml:space="preserve">1–5</w:t>
            </w:r>
          </w:p>
        </w:tc>
      </w:tr>
    </w:tbl>
    <w:p>
      <w:pPr>
        <w:pStyle w:val="Caption"/>
      </w:pPr>
      <w:r>
        <w:t xml:space="preserve">Tabela 17. DRD methodology structure used in this assessment.</w:t>
      </w:r>
    </w:p>
    <w:p>
      <w:pPr>
        <w:pStyle w:val="Heading2"/>
        <w:pStyle w:val="Heading2"/>
      </w:pPr>
      <w:r>
        <w:t xml:space="preserve">Data source and limitations</w:t>
      </w:r>
    </w:p>
    <w:p>
      <w:pPr>
        <w:pStyle w:val="Tresc"/>
      </w:pPr>
      <w:r>
        <w:t xml:space="preserve">The result comes from an assessment run in the DRD workshop (legacy store), not from a frozen method-core Output. This means the levels were declared by the assessor without attached evidence; the evidence-state column throughout the report reads "declared". Methodology version recorded with this assessment: DRD 7 axes / 39 areas (legacy-store assessment — no method-pack version pinned). Assessment signature: b2de5832-0a42-5639-8e46-6ecff2db82e5.</w:t>
      </w:r>
    </w:p>
    <w:p>
      <w:pPr>
        <w:pStyle w:val="Tresc"/>
      </w:pPr>
      <w:r>
        <w:t xml:space="preserve">The report does not contain a market comparison, a forecast, or a time horizon — this data does not exist in the assessment and was not added. An area with no recorded level is marked as not assessed, never as a zero level.</w:t>
      </w:r>
    </w:p>
    <w:p>
      <w:pPr>
        <w:pStyle w:val="Heading1"/>
        <w:pStyle w:val="Heading1"/>
      </w:pPr>
      <w:r>
        <w:t xml:space="preserve">Sources &amp; traceability</w:t>
      </w:r>
    </w:p>
    <w:p>
      <w:pPr>
        <w:pStyle w:val="AssumptionBody"/>
      </w:pPr>
      <w:r>
        <w:t xml:space="preserve">No sources attached. Substantive content blocks are flagged as assumptions and require a source pack before client distribution.</w:t>
      </w:r>
    </w:p>
    <w:sectPr>
      <w:footerReference w:type="default" r:id="rId7"/>
      <w:footerReference w:type="first" r:id="rId8"/>
      <w:pgSz w:w="11906" w:h="16838" w:orient="portrait"/>
      <w:pgMar w:top="1247" w:right="1247" w:bottom="1134"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FE8" w:sz="2" w:space="6"/>
      </w:pBdr>
      <w:tabs>
        <w:tab w:val="center" w:pos="4706"/>
        <w:tab w:val="right" w:pos="9412"/>
      </w:tabs>
      <w:jc w:val="left"/>
    </w:pPr>
    <w:r>
      <w:rPr>
        <w:color w:val="6B7280"/>
        <w:sz w:val="16"/>
        <w:szCs w:val="16"/>
      </w:rPr>
      <w:t xml:space="preserve">Confidential — Northwind Manufacturing Ltd.</w:t>
    </w:r>
    <w:r>
      <w:rPr>
        <w:sz w:val="16"/>
        <w:szCs w:val="16"/>
      </w:rPr>
      <w:t xml:space="preserve">	</w:t>
    </w:r>
    <w:r>
      <w:rPr>
        <w:color w:val="6B7280"/>
        <w:sz w:val="16"/>
        <w:szCs w:val="16"/>
      </w:rPr>
      <w:t xml:space="preserve">Strona </w:t>
    </w:r>
    <w:r>
      <w:rPr>
        <w:color w:val="6B7280"/>
        <w:sz w:val="16"/>
        <w:szCs w:val="16"/>
      </w:rPr>
      <w:fldChar w:fldCharType="begin"/>
      <w:instrText xml:space="preserve">PAGE</w:instrText>
      <w:fldChar w:fldCharType="separate"/>
      <w:fldChar w:fldCharType="end"/>
    </w:r>
    <w:r>
      <w:rPr>
        <w:color w:val="6B7280"/>
        <w:sz w:val="16"/>
        <w:szCs w:val="16"/>
      </w:rPr>
      <w:t xml:space="preserve"> z </w:t>
    </w:r>
    <w:r>
      <w:rPr>
        <w:color w:val="6B7280"/>
        <w:sz w:val="16"/>
        <w:szCs w:val="16"/>
      </w:rPr>
      <w:fldChar w:fldCharType="begin"/>
      <w:instrText xml:space="preserve">NUMPAGES</w:instrText>
      <w:fldChar w:fldCharType="separate"/>
      <w:fldChar w:fldCharType="end"/>
    </w:r>
    <w:r>
      <w:rPr>
        <w:sz w:val="16"/>
        <w:szCs w:val="16"/>
      </w:rPr>
      <w:t xml:space="preserve">	</w:t>
    </w:r>
    <w:r>
      <w:rPr>
        <w:color w:val="85182F"/>
        <w:sz w:val="16"/>
        <w:szCs w:val="16"/>
      </w:rPr>
      <w:t xml:space="preserve">● </w:t>
    </w:r>
    <w:r>
      <w:rPr>
        <w:color w:val="6B7280"/>
        <w:sz w:val="16"/>
        <w:szCs w:val="16"/>
      </w:rPr>
      <w:t xml:space="preserve">Consultify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US" w:eastAsia="en-US" w:bidi="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Light" w:cs="Calibri Light" w:eastAsia="Calibri Light" w:hAnsi="Calibri Light"/>
      <w:b/>
      <w:bCs/>
      <w:color w:val="0C447C"/>
      <w:sz w:val="34"/>
      <w:szCs w:val="34"/>
    </w:rPr>
  </w:style>
  <w:style w:type="paragraph" w:styleId="Heading2">
    <w:name w:val="Heading 2"/>
    <w:basedOn w:val="Normal"/>
    <w:next w:val="Normal"/>
    <w:qFormat/>
    <w:pPr>
      <w:spacing w:after="110" w:before="220"/>
    </w:pPr>
    <w:rPr>
      <w:rFonts w:ascii="Calibri Light" w:cs="Calibri Light" w:eastAsia="Calibri Light" w:hAnsi="Calibri Light"/>
      <w:b/>
      <w:bCs/>
      <w:color w:val="1B5FA8"/>
      <w:sz w:val="28"/>
      <w:szCs w:val="28"/>
    </w:rPr>
  </w:style>
  <w:style w:type="paragraph" w:styleId="Heading3">
    <w:name w:val="Heading 3"/>
    <w:basedOn w:val="Normal"/>
    <w:next w:val="Normal"/>
    <w:qFormat/>
    <w:pPr>
      <w:spacing w:after="90" w:before="180"/>
    </w:pPr>
    <w:rPr>
      <w:rFonts w:ascii="Calibri Light" w:cs="Calibri Light" w:eastAsia="Calibri Light" w:hAnsi="Calibri Light"/>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Calibri Light" w:cs="Calibri Light" w:eastAsia="Calibri Light" w:hAnsi="Calibri Light"/>
      <w:b/>
      <w:bCs/>
      <w:color w:val="0A2F57"/>
      <w:sz w:val="56"/>
      <w:szCs w:val="56"/>
    </w:rPr>
  </w:style>
  <w:style w:type="paragraph" w:styleId="Subtitle">
    <w:name w:val="Subtitle"/>
    <w:basedOn w:val="Normal"/>
    <w:next w:val="BodyText"/>
    <w:qFormat/>
    <w:pPr>
      <w:spacing w:after="80"/>
      <w:jc w:val="center"/>
    </w:pPr>
    <w:rPr>
      <w:rFonts w:ascii="Calibri" w:cs="Calibri" w:eastAsia="Calibri" w:hAnsi="Calibri"/>
      <w:i/>
      <w:iCs/>
      <w:color w:val="475569"/>
      <w:sz w:val="26"/>
      <w:szCs w:val="26"/>
    </w:rPr>
  </w:style>
  <w:style w:type="paragraph" w:styleId="Heading1">
    <w:name w:val="Heading 1"/>
    <w:basedOn w:val="Normal"/>
    <w:next w:val="BodyText"/>
    <w:qFormat/>
    <w:pPr>
      <w:pBdr>
        <w:bottom w:val="single" w:color="1D9E75" w:sz="8" w:space="6"/>
      </w:pBdr>
      <w:spacing w:after="140" w:before="280"/>
    </w:pPr>
    <w:rPr>
      <w:rFonts w:ascii="Calibri Light" w:cs="Calibri Light" w:eastAsia="Calibri Light" w:hAnsi="Calibri Light"/>
      <w:b/>
      <w:bCs/>
      <w:color w:val="0C447C"/>
      <w:sz w:val="34"/>
      <w:szCs w:val="34"/>
    </w:rPr>
  </w:style>
  <w:style w:type="paragraph" w:styleId="Heading2">
    <w:name w:val="Heading 2"/>
    <w:basedOn w:val="Normal"/>
    <w:next w:val="BodyText"/>
    <w:qFormat/>
    <w:pPr>
      <w:spacing w:after="110" w:before="220"/>
    </w:pPr>
    <w:rPr>
      <w:rFonts w:ascii="Calibri Light" w:cs="Calibri Light" w:eastAsia="Calibri Light" w:hAnsi="Calibri Light"/>
      <w:b/>
      <w:bCs/>
      <w:color w:val="1B5FA8"/>
      <w:sz w:val="28"/>
      <w:szCs w:val="28"/>
    </w:rPr>
  </w:style>
  <w:style w:type="paragraph" w:styleId="Heading3">
    <w:name w:val="Heading 3"/>
    <w:basedOn w:val="Normal"/>
    <w:next w:val="BodyText"/>
    <w:qFormat/>
    <w:pPr>
      <w:spacing w:after="90" w:before="180"/>
    </w:pPr>
    <w:rPr>
      <w:rFonts w:ascii="Calibri Light" w:cs="Calibri Light" w:eastAsia="Calibri Light" w:hAnsi="Calibri Light"/>
      <w:b/>
      <w:bCs/>
      <w:color w:val="334155"/>
      <w:sz w:val="23"/>
      <w:szCs w:val="23"/>
    </w:rPr>
  </w:style>
  <w:style w:type="paragraph" w:styleId="BodyText">
    <w:name w:val="Body Text"/>
    <w:basedOn w:val="Normal"/>
    <w:next w:val="BodyText"/>
    <w:qFormat/>
    <w:pPr>
      <w:spacing w:after="120"/>
    </w:pPr>
    <w:rPr>
      <w:rFonts w:ascii="Calibri" w:cs="Calibri" w:eastAsia="Calibri" w:hAnsi="Calibri"/>
      <w:color w:val="1F2933"/>
      <w:sz w:val="22"/>
      <w:szCs w:val="22"/>
    </w:rPr>
  </w:style>
  <w:style w:type="paragraph" w:styleId="BlockQuote">
    <w:name w:val="Block Quote"/>
    <w:basedOn w:val="BodyText"/>
    <w:next w:val="BodyText"/>
    <w:pPr>
      <w:pBdr>
        <w:left w:val="single" w:color="0C447C" w:sz="18" w:space="12"/>
      </w:pBdr>
      <w:spacing w:after="120" w:before="80"/>
      <w:ind w:left="360"/>
    </w:pPr>
    <w:rPr>
      <w:rFonts w:ascii="Calibri" w:cs="Calibri" w:eastAsia="Calibri" w:hAnsi="Calibri"/>
      <w:i/>
      <w:iCs/>
      <w:color w:val="475569"/>
      <w:sz w:val="22"/>
      <w:szCs w:val="22"/>
    </w:rPr>
  </w:style>
  <w:style w:type="paragraph" w:styleId="Caption">
    <w:name w:val="Caption"/>
    <w:basedOn w:val="Normal"/>
    <w:next w:val="BodyText"/>
    <w:pPr>
      <w:spacing w:after="120" w:before="60"/>
    </w:pPr>
    <w:rPr>
      <w:rFonts w:ascii="Calibri" w:cs="Calibri" w:eastAsia="Calibri" w:hAnsi="Calibri"/>
      <w:i/>
      <w:iCs/>
      <w:color w:val="64748B"/>
      <w:sz w:val="18"/>
      <w:szCs w:val="18"/>
    </w:rPr>
  </w:style>
  <w:style w:type="paragraph" w:styleId="DocStudioFootnote">
    <w:name w:val="Doc Studio Footnote"/>
    <w:basedOn w:val="Normal"/>
    <w:next w:val="BodyText"/>
    <w:pPr>
      <w:spacing w:after="40"/>
    </w:pPr>
    <w:rPr>
      <w:rFonts w:ascii="Calibri" w:cs="Calibri" w:eastAsia="Calibri" w:hAnsi="Calibri"/>
      <w:color w:val="475569"/>
      <w:sz w:val="18"/>
      <w:szCs w:val="18"/>
    </w:rPr>
  </w:style>
  <w:style w:type="paragraph" w:styleId="AssumptionBody">
    <w:name w:val="Assumption Body"/>
    <w:basedOn w:val="BodyText"/>
    <w:next w:val="BodyText"/>
    <w:pPr>
      <w:spacing w:after="120"/>
    </w:pPr>
    <w:rPr>
      <w:rFonts w:ascii="Calibri" w:cs="Calibri" w:eastAsia="Calibri" w:hAnsi="Calibri"/>
      <w:i/>
      <w:iCs/>
      <w:color w:val="92400E"/>
      <w:sz w:val="22"/>
      <w:szCs w:val="22"/>
    </w:rPr>
  </w:style>
  <w:style w:type="paragraph" w:styleId="Callout">
    <w:name w:val="Callout"/>
    <w:basedOn w:val="BodyText"/>
    <w:next w:val="BodyText"/>
    <w:pPr>
      <w:pBdr>
        <w:left w:val="single" w:color="1D9E75" w:sz="24" w:space="12"/>
      </w:pBdr>
      <w:shd w:fill="F5F8FC" w:val="clear"/>
      <w:spacing w:after="120" w:before="80"/>
      <w:ind w:left="240"/>
    </w:pPr>
    <w:rPr>
      <w:rFonts w:ascii="Calibri" w:cs="Calibri" w:eastAsia="Calibri" w:hAnsi="Calibri"/>
      <w:color w:val="1F2933"/>
      <w:sz w:val="22"/>
      <w:szCs w:val="22"/>
    </w:rPr>
  </w:style>
  <w:style w:type="paragraph" w:styleId="SourceList">
    <w:name w:val="Source List"/>
    <w:basedOn w:val="BodyText"/>
    <w:next w:val="SourceList"/>
    <w:pPr>
      <w:spacing w:after="60"/>
    </w:pPr>
    <w:rPr>
      <w:rFonts w:ascii="Calibri" w:cs="Calibri" w:eastAsia="Calibri" w:hAnsi="Calibri"/>
      <w:color w:val="1F2933"/>
      <w:sz w:val="22"/>
      <w:szCs w:val="22"/>
    </w:rPr>
  </w:style>
  <w:style w:type="paragraph" w:styleId="TOCHeading">
    <w:name w:val="TOC Heading"/>
    <w:basedOn w:val="Heading1"/>
    <w:next w:val="BodyText"/>
    <w:qFormat/>
    <w:pPr>
      <w:spacing w:after="140" w:before="280"/>
    </w:pPr>
    <w:rPr>
      <w:rFonts w:ascii="Calibri Light" w:cs="Calibri Light" w:eastAsia="Calibri Light" w:hAnsi="Calibri Light"/>
      <w:b/>
      <w:bCs/>
      <w:color w:val="0C447C"/>
      <w:sz w:val="34"/>
      <w:szCs w:val="34"/>
    </w:rPr>
  </w:style>
  <w:style w:type="paragraph" w:styleId="Tresc">
    <w:name w:val="Treść"/>
    <w:basedOn w:val="Normal"/>
    <w:next w:val="Tresc"/>
    <w:qFormat/>
    <w:pPr>
      <w:spacing w:after="120" w:line="312"/>
    </w:pPr>
    <w:rPr>
      <w:rFonts w:ascii="Calibri" w:cs="Calibri" w:eastAsia="Calibri" w:hAnsi="Calibri"/>
      <w:color w:val="1F2937"/>
      <w:sz w:val="22"/>
      <w:szCs w:val="22"/>
    </w:rPr>
  </w:style>
  <w:style w:type="paragraph" w:styleId="Lead">
    <w:name w:val="Lead"/>
    <w:basedOn w:val="Tresc"/>
    <w:next w:val="Tresc"/>
    <w:pPr>
      <w:spacing w:after="160" w:line="336"/>
    </w:pPr>
    <w:rPr>
      <w:rFonts w:ascii="Calibri" w:cs="Calibri" w:eastAsia="Calibri" w:hAnsi="Calibri"/>
      <w:color w:val="1F2937"/>
      <w:sz w:val="24"/>
      <w:szCs w:val="24"/>
    </w:rPr>
  </w:style>
  <w:style w:type="paragraph" w:styleId="Kicker">
    <w:name w:val="Kicker"/>
    <w:basedOn w:val="Normal"/>
    <w:next w:val="Heading1"/>
    <w:pPr>
      <w:spacing w:after="80"/>
    </w:pPr>
    <w:rPr>
      <w:rFonts w:ascii="Calibri" w:cs="Calibri" w:eastAsia="Calibri" w:hAnsi="Calibri"/>
      <w:b/>
      <w:bCs/>
      <w:color w:val="1D9E75"/>
      <w:sz w:val="18"/>
      <w:szCs w:val="18"/>
    </w:rPr>
  </w:style>
  <w:style w:type="paragraph" w:styleId="Podpis">
    <w:name w:val="Podpis"/>
    <w:basedOn w:val="Tresc"/>
    <w:next w:val="Tresc"/>
    <w:pPr>
      <w:spacing w:after="120" w:before="60"/>
    </w:pPr>
    <w:rPr>
      <w:rFonts w:ascii="Calibri" w:cs="Calibri" w:eastAsia="Calibri" w:hAnsi="Calibri"/>
      <w:i/>
      <w:iCs/>
      <w:color w:val="6B7280"/>
      <w:sz w:val="18"/>
      <w:szCs w:val="18"/>
    </w:rPr>
  </w:style>
  <w:style w:type="paragraph" w:styleId="Sygnatura">
    <w:name w:val="Sygnatura"/>
    <w:basedOn w:val="Tresc"/>
    <w:next w:val="Tresc"/>
    <w:pPr>
      <w:pBdr>
        <w:left w:val="single" w:color="1D9E75" w:sz="18" w:space="10"/>
      </w:pBdr>
      <w:shd w:fill="E2E9EF" w:val="clear"/>
      <w:spacing w:after="100" w:before="80"/>
      <w:ind w:left="180"/>
    </w:pPr>
    <w:rPr>
      <w:rFonts w:ascii="Calibri" w:cs="Calibri" w:eastAsia="Calibri" w:hAnsi="Calibri"/>
      <w:color w:val="1F2937"/>
      <w:sz w:val="19"/>
      <w:szCs w:val="19"/>
    </w:rPr>
  </w:style>
  <w:style w:type="paragraph" w:styleId="TOC1">
    <w:name w:val="TOC 1"/>
    <w:basedOn w:val="Tresc"/>
    <w:next w:val="TOC1"/>
    <w:pPr>
      <w:spacing w:after="70"/>
    </w:pPr>
    <w:rPr>
      <w:rFonts w:ascii="Calibri" w:cs="Calibri" w:eastAsia="Calibri" w:hAnsi="Calibri"/>
      <w:color w:val="083152"/>
      <w:sz w:val="20"/>
      <w:szCs w:val="20"/>
    </w:rPr>
  </w:style>
  <w:style w:type="paragraph" w:styleId="TOC2">
    <w:name w:val="TOC 2"/>
    <w:basedOn w:val="Tresc"/>
    <w:next w:val="TOC2"/>
    <w:pPr>
      <w:spacing w:after="50"/>
      <w:ind w:left="360"/>
    </w:pPr>
    <w:rPr>
      <w:rFonts w:ascii="Calibri" w:cs="Calibri" w:eastAsia="Calibri" w:hAnsi="Calibri"/>
      <w:color w:val="6B7280"/>
      <w:sz w:val="18"/>
      <w:szCs w:val="18"/>
    </w:rPr>
  </w:style>
  <w:style w:type="paragraph" w:styleId="NaglowekBezNumeru">
    <w:name w:val="Nagłówek bez numeru"/>
    <w:basedOn w:val="Heading1"/>
    <w:next w:val="Tresc"/>
    <w:qFormat/>
    <w:pPr>
      <w:spacing w:after="120" w:before="240"/>
    </w:pPr>
    <w:rPr>
      <w:rFonts w:ascii="Calibri Light" w:cs="Calibri Light" w:eastAsia="Calibri Light" w:hAnsi="Calibri Light"/>
      <w:color w:val="0C447C"/>
      <w:sz w:val="40"/>
      <w:szCs w:val="40"/>
    </w:rPr>
  </w:style>
  <w:style w:type="paragraph" w:styleId="NaglowekBezNumeru2">
    <w:name w:val="Nagłówek sekcji bez spisu"/>
    <w:basedOn w:val="Heading2"/>
    <w:next w:val="Tresc"/>
    <w:pPr>
      <w:spacing w:after="100" w:before="200"/>
    </w:pPr>
    <w:rPr>
      <w:rFonts w:ascii="Calibri Light" w:cs="Calibri Light" w:eastAsia="Calibri Light" w:hAnsi="Calibri Light"/>
      <w:b/>
      <w:bCs/>
      <w:color w:val="08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d5796ea19843510ab35c7e11119f2b993ae65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Manufacturing Ltd.</dc:title>
  <dc:creator>Consultify Document Studio</dc:creator>
  <dc:description>Consultify Document Studio · client_final_report · executive</dc:description>
  <cp:lastModifiedBy>Un-named</cp:lastModifiedBy>
  <cp:revision>1</cp:revision>
  <dcterms:created xsi:type="dcterms:W3CDTF">2026-09-16T11:05:55.890Z</dcterms:created>
  <dcterms:modified xsi:type="dcterms:W3CDTF">2026-09-16T11:05:55.890Z</dcterms:modified>
</cp:coreProperties>
</file>

<file path=docProps/custom.xml><?xml version="1.0" encoding="utf-8"?>
<Properties xmlns="http://schemas.openxmlformats.org/officeDocument/2006/custom-properties" xmlns:vt="http://schemas.openxmlformats.org/officeDocument/2006/docPropsVTypes"/>
</file>