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DocStudioTitle"/>
        <w:jc w:val="center"/>
      </w:pPr>
      <w:r>
        <w:rPr>
          <w:rFonts w:ascii="Merriweather" w:cs="Merriweather" w:eastAsia="Merriweather" w:hAnsi="Merriweather"/>
        </w:rPr>
        <w:t xml:space="preserve">AI Platform Solutions — Biznesplan inwestorski</w:t>
      </w:r>
    </w:p>
    <w:p>
      <w:pPr>
        <w:pStyle w:val="Subtitle"/>
        <w:jc w:val="center"/>
      </w:pPr>
      <w:r>
        <w:rPr>
          <w:rFonts w:ascii="Inter" w:cs="Inter" w:eastAsia="Inter" w:hAnsi="Inter"/>
        </w:rPr>
        <w:t xml:space="preserve">steering committee report · PL · detailed · client_confidential</w:t>
      </w:r>
    </w:p>
    <w:p>
      <w:pPr>
        <w:pStyle w:val="Subtitle"/>
        <w:jc w:val="center"/>
      </w:pPr>
      <w:r>
        <w:rPr>
          <w:rFonts w:ascii="Inter" w:cs="Inter" w:eastAsia="Inter" w:hAnsi="Inter"/>
        </w:rPr>
        <w:t xml:space="preserve">Audience: investor</w:t>
      </w:r>
    </w:p>
    <w:p>
      <w:pPr>
        <w:pStyle w:val="Subtitle"/>
        <w:jc w:val="center"/>
      </w:pPr>
      <w:r>
        <w:rPr>
          <w:rFonts w:ascii="Inter" w:cs="Inter" w:eastAsia="Inter" w:hAnsi="Inter"/>
        </w:rPr>
        <w:t xml:space="preserve">Generated: 2026-06-28</w:t>
      </w:r>
      <w:r>
        <w:br w:type="page"/>
      </w:r>
    </w:p>
    <w:p>
      <w:pPr>
        <w:pStyle w:val="Heading1"/>
        <w:pStyle w:val="TOCHeading"/>
      </w:pPr>
      <w:r>
        <w:rPr>
          <w:rFonts w:ascii="Merriweather" w:cs="Merriweather" w:eastAsia="Merriweather" w:hAnsi="Merriweather"/>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pStyle w:val="BodyText"/>
      </w:pPr>
      <w:r>
        <w:br w:type="page"/>
      </w:r>
    </w:p>
    <w:p>
      <w:pPr>
        <w:pStyle w:val="Heading1"/>
        <w:pStyle w:val="Heading1"/>
      </w:pPr>
      <w:r>
        <w:rPr>
          <w:rFonts w:ascii="Merriweather" w:cs="Merriweather" w:eastAsia="Merriweather" w:hAnsi="Merriweather"/>
        </w:rPr>
        <w:t xml:space="preserve">1. Inwestycja w innowacyjną platformę AI z ogromnym potencjałem wzrostu, z uwzględnieniem realistycznych…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F1F5F9"/>
            <w:tcMar>
              <w:top w:type="dxa" w:w="80"/>
              <w:left w:type="dxa" w:w="120"/>
              <w:bottom w:type="dxa" w:w="80"/>
              <w:right w:type="dxa" w:w="120"/>
            </w:tcMar>
          </w:tcPr>
          <w:p>
            <w:pPr>
              <w:pStyle w:val="Caption"/>
            </w:pPr>
            <w:r>
              <w:rPr>
                <w:rFonts w:ascii="Inter" w:cs="Inter" w:eastAsia="Inter" w:hAnsi="Inter"/>
                <w:color w:val="64748B"/>
                <w:sz w:val="16"/>
                <w:szCs w:val="16"/>
              </w:rPr>
              <w:t xml:space="preserve">Metric 1</w:t>
            </w:r>
          </w:p>
          <w:p>
            <w:pPr>
              <w:pStyle w:val="BodyText"/>
            </w:pPr>
            <w:r>
              <w:rPr>
                <w:rFonts w:ascii="Merriweather" w:cs="Merriweather" w:eastAsia="Merriweather" w:hAnsi="Merriweather"/>
                <w:b/>
                <w:bCs/>
                <w:sz w:val="28"/>
                <w:szCs w:val="28"/>
              </w:rPr>
              <w:t xml:space="preserve">—</w:t>
            </w:r>
          </w:p>
        </w:tc>
        <w:tc>
          <w:tcPr>
            <w:shd w:fill="F1F5F9"/>
            <w:tcMar>
              <w:top w:type="dxa" w:w="80"/>
              <w:left w:type="dxa" w:w="120"/>
              <w:bottom w:type="dxa" w:w="80"/>
              <w:right w:type="dxa" w:w="120"/>
            </w:tcMar>
          </w:tcPr>
          <w:p>
            <w:pPr>
              <w:pStyle w:val="Caption"/>
            </w:pPr>
            <w:r>
              <w:rPr>
                <w:rFonts w:ascii="Inter" w:cs="Inter" w:eastAsia="Inter" w:hAnsi="Inter"/>
                <w:color w:val="64748B"/>
                <w:sz w:val="16"/>
                <w:szCs w:val="16"/>
              </w:rPr>
              <w:t xml:space="preserve">Metric 2</w:t>
            </w:r>
          </w:p>
          <w:p>
            <w:pPr>
              <w:pStyle w:val="BodyText"/>
            </w:pPr>
            <w:r>
              <w:rPr>
                <w:rFonts w:ascii="Merriweather" w:cs="Merriweather" w:eastAsia="Merriweather" w:hAnsi="Merriweather"/>
                <w:b/>
                <w:bCs/>
                <w:sz w:val="28"/>
                <w:szCs w:val="28"/>
              </w:rPr>
              <w:t xml:space="preserve">—</w:t>
            </w:r>
          </w:p>
        </w:tc>
        <w:tc>
          <w:tcPr>
            <w:shd w:fill="F1F5F9"/>
            <w:tcMar>
              <w:top w:type="dxa" w:w="80"/>
              <w:left w:type="dxa" w:w="120"/>
              <w:bottom w:type="dxa" w:w="80"/>
              <w:right w:type="dxa" w:w="120"/>
            </w:tcMar>
          </w:tcPr>
          <w:p>
            <w:pPr>
              <w:pStyle w:val="Caption"/>
            </w:pPr>
            <w:r>
              <w:rPr>
                <w:rFonts w:ascii="Inter" w:cs="Inter" w:eastAsia="Inter" w:hAnsi="Inter"/>
                <w:color w:val="64748B"/>
                <w:sz w:val="16"/>
                <w:szCs w:val="16"/>
              </w:rPr>
              <w:t xml:space="preserve">Metric 3</w:t>
            </w:r>
          </w:p>
          <w:p>
            <w:pPr>
              <w:pStyle w:val="BodyText"/>
            </w:pPr>
            <w:r>
              <w:rPr>
                <w:rFonts w:ascii="Merriweather" w:cs="Merriweather" w:eastAsia="Merriweather" w:hAnsi="Merriweather"/>
                <w:b/>
                <w:bCs/>
                <w:sz w:val="28"/>
                <w:szCs w:val="28"/>
              </w:rPr>
              <w:t xml:space="preserve">—</w:t>
            </w:r>
          </w:p>
        </w:tc>
      </w:tr>
    </w:tbl>
    <w:p>
      <w:pPr>
        <w:pStyle w:val="BodyText"/>
      </w:pPr>
      <w:r>
        <w:rPr>
          <w:rFonts w:ascii="Inter" w:cs="Inter" w:eastAsia="Inter" w:hAnsi="Inter"/>
        </w:rPr>
        <w:t xml:space="preserve">Teza answer-first: Inwestycja w innowacyjną platformę AI z ogromnym potencjałem wzrostu, z uwzględnieniem realistycznych założeń oraz optymalnych wskaźników finansowych.. Co i dla kogo.</w:t>
      </w:r>
    </w:p>
    <w:p>
      <w:pPr>
        <w:pStyle w:val="BodyText"/>
      </w:pPr>
      <w:r>
        <w:rPr>
          <w:rFonts w:ascii="Inter" w:cs="Inter" w:eastAsia="Inter" w:hAnsi="Inter"/>
        </w:rPr>
        <w:t xml:space="preserve">Dlaczego teraz i czego oczekuje inwestor. Ask: 3.5 mln EUR finansowania na wdrożenie i rozwój platformy..</w:t>
      </w:r>
    </w:p>
    <w:p>
      <w:pPr>
        <w:pStyle w:val="Heading1"/>
        <w:pStyle w:val="Heading1"/>
      </w:pPr>
      <w:r>
        <w:rPr>
          <w:rFonts w:ascii="Merriweather" w:cs="Merriweather" w:eastAsia="Merriweather" w:hAnsi="Merriweather"/>
        </w:rPr>
        <w:t xml:space="preserve">2. Status quo jest wolny i kosztowny — to realny ból rynku</w:t>
      </w:r>
    </w:p>
    <w:p>
      <w:pPr>
        <w:pStyle w:val="BodyText"/>
      </w:pPr>
      <w:r>
        <w:rPr>
          <w:rFonts w:ascii="Inter" w:cs="Inter" w:eastAsia="Inter" w:hAnsi="Inter"/>
        </w:rPr>
        <w:t xml:space="preserve">Obecna sytuacja na rynku charakteryzuje się koniecznością manualnego wykonywania wielu operacji, co jest czasochłonne i kosztowne. Procesy obsługi klienta oraz analizowanie danych wymagają znacznych nakładów finansowych, zarówno w zakresie personelu, jak i technologii wspomagających. Dodatkowo, wiele platform używanych obecnie jest przestarzałych i niekompatybilnych, co prowadzi do wolniejszego przepływu informacji. Nakłada się to na wyższe koszty operacyjne i mniejszą elastyczność w dostosowywaniu się do dynamicznych zmian rynkowych. Inwestycja w nowe technologie, takie jak innowacyjne platformy AI, mogłaby zrewolucjonizować te procesy i znacząco obniżyć koszty operacyjne.</w:t>
      </w:r>
    </w:p>
    <w:p>
      <w:pPr>
        <w:pStyle w:val="Callout"/>
      </w:pPr>
      <w:r>
        <w:rPr>
          <w:rFonts w:ascii="Inter" w:cs="Inter" w:eastAsia="Inter" w:hAnsi="Inter"/>
          <w:b/>
          <w:bCs/>
          <w:i/>
          <w:iCs/>
          <w:color w:val="D97706"/>
        </w:rPr>
        <w:t xml:space="preserve">Potencjalny rynek wskazuje na duży ból związany z aktualnym stanem rzeczy. Całkowity adresowalny rynek (TAM) wynosi aż 50 000 000 EUR, wskazując na wysokie zapotrzebowanie na bardziej efektywne rozwiązania technologiczne.</w:t>
      </w:r>
    </w:p>
    <w:p>
      <w:pPr>
        <w:pStyle w:val="Heading1"/>
        <w:pStyle w:val="Heading1"/>
      </w:pPr>
      <w:r>
        <w:rPr>
          <w:rFonts w:ascii="Merriweather" w:cs="Merriweather" w:eastAsia="Merriweather" w:hAnsi="Merriweather"/>
        </w:rPr>
        <w:t xml:space="preserve">3. Platforma AI</w:t>
      </w:r>
    </w:p>
    <w:p>
      <w:pPr>
        <w:pStyle w:val="BodyText"/>
      </w:pPr>
      <w:r>
        <w:rPr>
          <w:rFonts w:ascii="Inter" w:cs="Inter" w:eastAsia="Inter" w:hAnsi="Inter"/>
        </w:rPr>
        <w:t xml:space="preserve">Platforma AI to zaawansowane oprogramowanie, które wspiera różnorodne zastosowania w biznesie dzięki wykorzystaniu sztucznej inteligencji. System ten integruje się z istniejącymi procesami i pozwala na automatyzację skomplikowanych zadań oraz analizę dużych zbiorów danych. Platforma jest w stanie uczyć się z doświadczenia, co umożliwia jej adaptację do zmieniających się warunków oraz podejmowanie lepszych decyzji w czasie rzeczywistym. Zastosowanie AI w tej platformie skupia się na poprawie efektywności operacyjnej, redukcji kosztów oraz zwiększeniu innowacyjności organizacji.</w:t>
      </w:r>
    </w:p>
    <w:p>
      <w:pPr>
        <w:pStyle w:val="BodyText"/>
        <w:spacing w:after="60"/>
      </w:pPr>
      <w:r>
        <w:rPr>
          <w:rFonts w:ascii="Inter" w:cs="Inter" w:eastAsia="Inter" w:hAnsi="Inter"/>
        </w:rPr>
        <w:t xml:space="preserve">• Automatyzacja procesów dzięki algorytmom AI.</w:t>
      </w:r>
    </w:p>
    <w:p>
      <w:pPr>
        <w:pStyle w:val="BodyText"/>
        <w:spacing w:after="60"/>
      </w:pPr>
      <w:r>
        <w:rPr>
          <w:rFonts w:ascii="Inter" w:cs="Inter" w:eastAsia="Inter" w:hAnsi="Inter"/>
        </w:rPr>
        <w:t xml:space="preserve">• Analiza danych w czasie rzeczywistym.</w:t>
      </w:r>
    </w:p>
    <w:p>
      <w:pPr>
        <w:pStyle w:val="BodyText"/>
        <w:spacing w:after="60"/>
      </w:pPr>
      <w:r>
        <w:rPr>
          <w:rFonts w:ascii="Inter" w:cs="Inter" w:eastAsia="Inter" w:hAnsi="Inter"/>
        </w:rPr>
        <w:t xml:space="preserve">• Usprawnienie decyzji poprzez uczenie maszynowe.</w:t>
      </w:r>
    </w:p>
    <w:p>
      <w:pPr>
        <w:pStyle w:val="BodyText"/>
        <w:spacing w:after="60"/>
      </w:pPr>
      <w:r>
        <w:rPr>
          <w:rFonts w:ascii="Inter" w:cs="Inter" w:eastAsia="Inter" w:hAnsi="Inter"/>
        </w:rPr>
        <w:t xml:space="preserve">• Personalizacja interakcji z klientem.</w:t>
      </w:r>
    </w:p>
    <w:p>
      <w:pPr>
        <w:pStyle w:val="BodyText"/>
        <w:spacing w:after="60"/>
      </w:pPr>
      <w:r>
        <w:rPr>
          <w:rFonts w:ascii="Inter" w:cs="Inter" w:eastAsia="Inter" w:hAnsi="Inter"/>
        </w:rPr>
        <w:t xml:space="preserve">• Optymalizacja zasobów i zwiększenie efektywności.</w:t>
      </w:r>
    </w:p>
    <w:p>
      <w:pPr>
        <w:pStyle w:val="Callout"/>
      </w:pPr>
      <w:r>
        <w:rPr>
          <w:rFonts w:ascii="Inter" w:cs="Inter" w:eastAsia="Inter" w:hAnsi="Inter"/>
          <w:b/>
          <w:bCs/>
          <w:i/>
          <w:iCs/>
          <w:color w:val="16A34A"/>
        </w:rPr>
        <w:t xml:space="preserve">Platforma AI wyróżnia się znacząco na tle konkurencji dzięki połączeniu kosztowej efektywności i zaawansowanej technologii adaptacyjnej, co pozwala na szybkie wdrożenie innowacji oraz znaczną redukcję kosztów operacyjnych.</w:t>
      </w:r>
    </w:p>
    <w:p>
      <w:pPr>
        <w:pStyle w:val="Heading1"/>
        <w:pStyle w:val="Heading1"/>
      </w:pPr>
      <w:r>
        <w:rPr>
          <w:rFonts w:ascii="Merriweather" w:cs="Merriweather" w:eastAsia="Merriweather" w:hAnsi="Merriweather"/>
        </w:rPr>
        <w:t xml:space="preserve">4. Rynek 50 000 000 EUR (TAM); realnie zdobywalne 1 800 000 EUR (SOM)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F1F5F9"/>
            <w:tcMar>
              <w:top w:type="dxa" w:w="80"/>
              <w:left w:type="dxa" w:w="120"/>
              <w:bottom w:type="dxa" w:w="80"/>
              <w:right w:type="dxa" w:w="120"/>
            </w:tcMar>
          </w:tcPr>
          <w:p>
            <w:pPr>
              <w:pStyle w:val="Caption"/>
            </w:pPr>
            <w:r>
              <w:rPr>
                <w:rFonts w:ascii="Inter" w:cs="Inter" w:eastAsia="Inter" w:hAnsi="Inter"/>
                <w:color w:val="64748B"/>
                <w:sz w:val="16"/>
                <w:szCs w:val="16"/>
              </w:rPr>
              <w:t xml:space="preserve">TAM (Całkowity Rynek Dostępny)</w:t>
            </w:r>
          </w:p>
          <w:p>
            <w:pPr>
              <w:pStyle w:val="BodyText"/>
            </w:pPr>
            <w:r>
              <w:rPr>
                <w:rFonts w:ascii="Merriweather" w:cs="Merriweather" w:eastAsia="Merriweather" w:hAnsi="Merriweather"/>
                <w:b/>
                <w:bCs/>
                <w:sz w:val="28"/>
                <w:szCs w:val="28"/>
              </w:rPr>
              <w:t xml:space="preserve">50 000 000 EUR</w:t>
            </w:r>
          </w:p>
        </w:tc>
        <w:tc>
          <w:tcPr>
            <w:shd w:fill="F1F5F9"/>
            <w:tcMar>
              <w:top w:type="dxa" w:w="80"/>
              <w:left w:type="dxa" w:w="120"/>
              <w:bottom w:type="dxa" w:w="80"/>
              <w:right w:type="dxa" w:w="120"/>
            </w:tcMar>
          </w:tcPr>
          <w:p>
            <w:pPr>
              <w:pStyle w:val="Caption"/>
            </w:pPr>
            <w:r>
              <w:rPr>
                <w:rFonts w:ascii="Inter" w:cs="Inter" w:eastAsia="Inter" w:hAnsi="Inter"/>
                <w:color w:val="64748B"/>
                <w:sz w:val="16"/>
                <w:szCs w:val="16"/>
              </w:rPr>
              <w:t xml:space="preserve">SAM (Dostępny Segment Rynku)</w:t>
            </w:r>
          </w:p>
          <w:p>
            <w:pPr>
              <w:pStyle w:val="BodyText"/>
            </w:pPr>
            <w:r>
              <w:rPr>
                <w:rFonts w:ascii="Merriweather" w:cs="Merriweather" w:eastAsia="Merriweather" w:hAnsi="Merriweather"/>
                <w:b/>
                <w:bCs/>
                <w:sz w:val="28"/>
                <w:szCs w:val="28"/>
              </w:rPr>
              <w:t xml:space="preserve">10 000 000 EUR</w:t>
            </w:r>
          </w:p>
        </w:tc>
        <w:tc>
          <w:tcPr>
            <w:shd w:fill="F1F5F9"/>
            <w:tcMar>
              <w:top w:type="dxa" w:w="80"/>
              <w:left w:type="dxa" w:w="120"/>
              <w:bottom w:type="dxa" w:w="80"/>
              <w:right w:type="dxa" w:w="120"/>
            </w:tcMar>
          </w:tcPr>
          <w:p>
            <w:pPr>
              <w:pStyle w:val="Caption"/>
            </w:pPr>
            <w:r>
              <w:rPr>
                <w:rFonts w:ascii="Inter" w:cs="Inter" w:eastAsia="Inter" w:hAnsi="Inter"/>
                <w:color w:val="64748B"/>
                <w:sz w:val="16"/>
                <w:szCs w:val="16"/>
              </w:rPr>
              <w:t xml:space="preserve">SOM (Docelowy Udział w Rynku)</w:t>
            </w:r>
          </w:p>
          <w:p>
            <w:pPr>
              <w:pStyle w:val="BodyText"/>
            </w:pPr>
            <w:r>
              <w:rPr>
                <w:rFonts w:ascii="Merriweather" w:cs="Merriweather" w:eastAsia="Merriweather" w:hAnsi="Merriweather"/>
                <w:b/>
                <w:bCs/>
                <w:sz w:val="28"/>
                <w:szCs w:val="28"/>
              </w:rPr>
              <w:t xml:space="preserve">1 800 000 EUR</w:t>
            </w:r>
          </w:p>
        </w:tc>
      </w:tr>
    </w:tbl>
    <w:p>
      <w:pPr>
        <w:pStyle w:val="BodyText"/>
      </w:pPr>
      <w:r>
        <w:rPr>
          <w:rFonts w:ascii="Inter" w:cs="Inter" w:eastAsia="Inter" w:hAnsi="Inter"/>
        </w:rPr>
        <w:t xml:space="preserve">Szacowanie rynku zostało przeprowadzone metodą top-down i bottom-up, uwzględniając dane wyjściowe od firmy Gartner dotyczące prognoz dla sektora AI w 2024 roku. Nasz SOM (Serviceable Obtainable Market) został określony na podstawie strategii go-to-market oraz bazy budowanej przez 1500 klientów, z przewidywanym przychodem po 1200 EUR na klienta. Pozwala to na realistyczne osiągnięcie 1 800 000 EUR przychodów w ramach dostępnego rynku docelowego, przy pełnym uwzględnieniu segmentacji rynku i strategii sprzedaży.</w:t>
      </w:r>
    </w:p>
    <w:p>
      <w:pPr>
        <w:pStyle w:val="Heading1"/>
        <w:pStyle w:val="Heading1"/>
      </w:pPr>
      <w:r>
        <w:rPr>
          <w:rFonts w:ascii="Merriweather" w:cs="Merriweather" w:eastAsia="Merriweather" w:hAnsi="Merriweather"/>
        </w:rPr>
        <w:t xml:space="preserve">5. Hybryda usługi + SaaS — dwa wzmacniające się strumienie</w:t>
      </w:r>
    </w:p>
    <w:p>
      <w:pPr>
        <w:pStyle w:val="BodyText"/>
        <w:spacing w:after="60"/>
      </w:pPr>
      <w:r>
        <w:rPr>
          <w:rFonts w:ascii="Inter" w:cs="Inter" w:eastAsia="Inter" w:hAnsi="Inter"/>
        </w:rPr>
        <w:t xml:space="preserve">• Cena SaaS / seat / mies 100EUR/seat/mies</w:t>
      </w:r>
    </w:p>
    <w:p>
      <w:pPr>
        <w:pStyle w:val="BodyText"/>
        <w:spacing w:after="60"/>
      </w:pPr>
      <w:r>
        <w:rPr>
          <w:rFonts w:ascii="Inter" w:cs="Inter" w:eastAsia="Inter" w:hAnsi="Inter"/>
        </w:rPr>
        <w:t xml:space="preserve">• Wzrost seatów r/r 0.45×</w:t>
      </w:r>
    </w:p>
    <w:p>
      <w:pPr>
        <w:pStyle w:val="BodyText"/>
        <w:spacing w:after="60"/>
      </w:pPr>
      <w:r>
        <w:rPr>
          <w:rFonts w:ascii="Inter" w:cs="Inter" w:eastAsia="Inter" w:hAnsi="Inter"/>
        </w:rPr>
        <w:t xml:space="preserve">• Churn brutto roczny 0.08%</w:t>
      </w:r>
    </w:p>
    <w:p>
      <w:pPr>
        <w:pStyle w:val="BodyText"/>
        <w:spacing w:after="60"/>
      </w:pPr>
      <w:r>
        <w:rPr>
          <w:rFonts w:ascii="Inter" w:cs="Inter" w:eastAsia="Inter" w:hAnsi="Inter"/>
        </w:rPr>
        <w:t xml:space="preserve">• Net revenue retention 1.12×</w:t>
      </w:r>
    </w:p>
    <w:p>
      <w:pPr>
        <w:pStyle w:val="BodyText"/>
        <w:spacing w:after="60"/>
      </w:pPr>
      <w:r>
        <w:rPr>
          <w:rFonts w:ascii="Inter" w:cs="Inter" w:eastAsia="Inter" w:hAnsi="Inter"/>
        </w:rPr>
        <w:t xml:space="preserve">• Przychód usług R1 200000EUR</w:t>
      </w:r>
    </w:p>
    <w:p>
      <w:pPr>
        <w:pStyle w:val="BodyText"/>
      </w:pPr>
      <w:r>
        <w:rPr>
          <w:rFonts w:ascii="Inter" w:cs="Inter" w:eastAsia="Inter" w:hAnsi="Inter"/>
        </w:rPr>
        <w:t xml:space="preserve">...</w:t>
      </w:r>
    </w:p>
    <w:p>
      <w:pPr>
        <w:pStyle w:val="Heading1"/>
        <w:pStyle w:val="Heading1"/>
      </w:pPr>
      <w:r>
        <w:rPr>
          <w:rFonts w:ascii="Merriweather" w:cs="Merriweather" w:eastAsia="Merriweather" w:hAnsi="Merriweather"/>
        </w:rPr>
        <w:t xml:space="preserve">6. Land-and-expand: usługi otwierają drzwi, SaaS skaluje</w:t>
      </w:r>
    </w:p>
    <w:p>
      <w:pPr>
        <w:pStyle w:val="BodyText"/>
      </w:pPr>
      <w:r>
        <w:rPr>
          <w:rFonts w:ascii="Inter" w:cs="Inter" w:eastAsia="Inter" w:hAnsi="Inter"/>
        </w:rPr>
        <w:t xml:space="preserve">Strategia go-to-market dla innowacyjnej platformy AI koncentruje się na modelu land-and-expand. Początkowo usługi otwierają drzwi do nowych klientów poprzez dostarczanie wysokiej jakości rozwiązań, które zaspokajają ich bieżące potrzeby. Następnie skalujemy działalność, oferując SaaS jako kluczowy element, umożliwiający efektywne rozszerzanie się na rynku. Kluczowym elementem tej strategii jest zrozumienie kanałów dystrybucji oraz skrócenie cyklu sprzedaży, aby maksymalnie wykorzystać potencjał sieci współpracy i zbudować długotrwałe relacje z klientami.</w:t>
      </w:r>
    </w:p>
    <w:p>
      <w:pPr>
        <w:pStyle w:val="BodyText"/>
        <w:spacing w:after="60"/>
      </w:pPr>
      <w:r>
        <w:rPr>
          <w:rFonts w:ascii="Inter" w:cs="Inter" w:eastAsia="Inter" w:hAnsi="Inter"/>
        </w:rPr>
        <w:t xml:space="preserve">1. Pierwszy kontakt i analiza potrzeb klienta</w:t>
      </w:r>
    </w:p>
    <w:p>
      <w:pPr>
        <w:pStyle w:val="BodyText"/>
        <w:spacing w:after="60"/>
      </w:pPr>
      <w:r>
        <w:rPr>
          <w:rFonts w:ascii="Inter" w:cs="Inter" w:eastAsia="Inter" w:hAnsi="Inter"/>
        </w:rPr>
        <w:t xml:space="preserve">2. Prezentacja rozwiązania i jego możliwości</w:t>
      </w:r>
    </w:p>
    <w:p>
      <w:pPr>
        <w:pStyle w:val="BodyText"/>
        <w:spacing w:after="60"/>
      </w:pPr>
      <w:r>
        <w:rPr>
          <w:rFonts w:ascii="Inter" w:cs="Inter" w:eastAsia="Inter" w:hAnsi="Inter"/>
        </w:rPr>
        <w:t xml:space="preserve">3. Propozycja wstępnej usługi jako punkt startowy</w:t>
      </w:r>
    </w:p>
    <w:p>
      <w:pPr>
        <w:pStyle w:val="BodyText"/>
        <w:spacing w:after="60"/>
      </w:pPr>
      <w:r>
        <w:rPr>
          <w:rFonts w:ascii="Inter" w:cs="Inter" w:eastAsia="Inter" w:hAnsi="Inter"/>
        </w:rPr>
        <w:t xml:space="preserve">4. Szkolenie i wdrożenie platformy u klienta</w:t>
      </w:r>
    </w:p>
    <w:p>
      <w:pPr>
        <w:pStyle w:val="BodyText"/>
        <w:spacing w:after="60"/>
      </w:pPr>
      <w:r>
        <w:rPr>
          <w:rFonts w:ascii="Inter" w:cs="Inter" w:eastAsia="Inter" w:hAnsi="Inter"/>
        </w:rPr>
        <w:t xml:space="preserve">5. Rozbudowa zakresu usług poprzez SaaS i powiększanie wolumenu biznesu</w:t>
      </w:r>
    </w:p>
    <w:p>
      <w:pPr>
        <w:pStyle w:val="Heading1"/>
        <w:pStyle w:val="Heading1"/>
      </w:pPr>
      <w:r>
        <w:rPr>
          <w:rFonts w:ascii="Merriweather" w:cs="Merriweather" w:eastAsia="Merriweather" w:hAnsi="Merriweather"/>
        </w:rPr>
        <w:t xml:space="preserve">7. Strukturalna przewaga kosztowa = trwały moat</w:t>
      </w:r>
    </w:p>
    <w:p>
      <w:pPr>
        <w:pStyle w:val="BodyText"/>
      </w:pPr>
      <w:r>
        <w:rPr>
          <w:rFonts w:ascii="Inter" w:cs="Inter" w:eastAsia="Inter" w:hAnsi="Inter"/>
        </w:rPr>
        <w:t xml:space="preserve">W dzisiejszym zmiennym krajobrazie konkurencji, nasza strategia budowy strukturalnej przewagi kosztowej stanowi kluczowy, trwały moat. Poprzez ciągłe inwestycje w innowacyjne technologie AI, optymalizujemy nasze operacje, co pozwala na znaczne obniżenie kosztów. To nie tylko pozwala nam na zaoferowanie bardziej konkurencyjnych cen, ale także przyciąga klientów poszukujących najwyższej wartości. Skupienie się na efektywności operacyjnej i strategicznej alokacji zasobów umożliwia utrzymanie przewagi nad konkurencją, czyniąc nas liderem na rynku.</w:t>
      </w:r>
    </w:p>
    <w:p>
      <w:pPr>
        <w:pStyle w:val="Callout"/>
      </w:pPr>
      <w:r>
        <w:rPr>
          <w:rFonts w:ascii="Inter" w:cs="Inter" w:eastAsia="Inter" w:hAnsi="Inter"/>
          <w:b/>
          <w:bCs/>
          <w:i/>
          <w:iCs/>
          <w:color w:val="16A34A"/>
        </w:rPr>
        <w:t xml:space="preserve">Nasza zdolność do utrzymywania niższych kosztów bez kompromisów na jakości stanowi trwałą przewagę konkurencyjną.</w:t>
      </w:r>
    </w:p>
    <w:p>
      <w:pPr>
        <w:pStyle w:val="Heading1"/>
        <w:pStyle w:val="Heading1"/>
      </w:pPr>
      <w:r>
        <w:rPr>
          <w:rFonts w:ascii="Merriweather" w:cs="Merriweather" w:eastAsia="Merriweather" w:hAnsi="Merriweather"/>
        </w:rPr>
        <w:t xml:space="preserve">8. ARR rośnie do 637 034 EUR w 2026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F1F5F9"/>
            <w:tcMar>
              <w:top w:type="dxa" w:w="80"/>
              <w:left w:type="dxa" w:w="120"/>
              <w:bottom w:type="dxa" w:w="80"/>
              <w:right w:type="dxa" w:w="120"/>
            </w:tcMar>
          </w:tcPr>
          <w:p>
            <w:pPr>
              <w:pStyle w:val="Caption"/>
            </w:pPr>
            <w:r>
              <w:rPr>
                <w:rFonts w:ascii="Inter" w:cs="Inter" w:eastAsia="Inter" w:hAnsi="Inter"/>
                <w:color w:val="64748B"/>
                <w:sz w:val="16"/>
                <w:szCs w:val="16"/>
              </w:rPr>
              <w:t xml:space="preserve">ARR w 2024</w:t>
            </w:r>
          </w:p>
          <w:p>
            <w:pPr>
              <w:pStyle w:val="BodyText"/>
            </w:pPr>
            <w:r>
              <w:rPr>
                <w:rFonts w:ascii="Merriweather" w:cs="Merriweather" w:eastAsia="Merriweather" w:hAnsi="Merriweather"/>
                <w:b/>
                <w:bCs/>
                <w:sz w:val="28"/>
                <w:szCs w:val="28"/>
              </w:rPr>
              <w:t xml:space="preserve">800 000 EUR</w:t>
            </w:r>
          </w:p>
        </w:tc>
        <w:tc>
          <w:tcPr>
            <w:shd w:fill="F1F5F9"/>
            <w:tcMar>
              <w:top w:type="dxa" w:w="80"/>
              <w:left w:type="dxa" w:w="120"/>
              <w:bottom w:type="dxa" w:w="80"/>
              <w:right w:type="dxa" w:w="120"/>
            </w:tcMar>
          </w:tcPr>
          <w:p>
            <w:pPr>
              <w:pStyle w:val="Caption"/>
            </w:pPr>
            <w:r>
              <w:rPr>
                <w:rFonts w:ascii="Inter" w:cs="Inter" w:eastAsia="Inter" w:hAnsi="Inter"/>
                <w:color w:val="64748B"/>
                <w:sz w:val="16"/>
                <w:szCs w:val="16"/>
              </w:rPr>
              <w:t xml:space="preserve">ARR w 2025</w:t>
            </w:r>
          </w:p>
          <w:p>
            <w:pPr>
              <w:pStyle w:val="BodyText"/>
            </w:pPr>
            <w:r>
              <w:rPr>
                <w:rFonts w:ascii="Merriweather" w:cs="Merriweather" w:eastAsia="Merriweather" w:hAnsi="Merriweather"/>
                <w:b/>
                <w:bCs/>
                <w:sz w:val="28"/>
                <w:szCs w:val="28"/>
              </w:rPr>
              <w:t xml:space="preserve">878 240 EUR</w:t>
            </w:r>
          </w:p>
          <w:p>
            <w:pPr>
              <w:pStyle w:val="Caption"/>
            </w:pPr>
            <w:r>
              <w:rPr>
                <w:rFonts w:ascii="Inter" w:cs="Inter" w:eastAsia="Inter" w:hAnsi="Inter"/>
                <w:color w:val="16A34A"/>
                <w:sz w:val="16"/>
                <w:szCs w:val="16"/>
              </w:rPr>
              <w:t xml:space="preserve">+78 240 EUR</w:t>
            </w:r>
          </w:p>
        </w:tc>
        <w:tc>
          <w:tcPr>
            <w:shd w:fill="F1F5F9"/>
            <w:tcMar>
              <w:top w:type="dxa" w:w="80"/>
              <w:left w:type="dxa" w:w="120"/>
              <w:bottom w:type="dxa" w:w="80"/>
              <w:right w:type="dxa" w:w="120"/>
            </w:tcMar>
          </w:tcPr>
          <w:p>
            <w:pPr>
              <w:pStyle w:val="Caption"/>
            </w:pPr>
            <w:r>
              <w:rPr>
                <w:rFonts w:ascii="Inter" w:cs="Inter" w:eastAsia="Inter" w:hAnsi="Inter"/>
                <w:color w:val="64748B"/>
                <w:sz w:val="16"/>
                <w:szCs w:val="16"/>
              </w:rPr>
              <w:t xml:space="preserve">ARR w 2026</w:t>
            </w:r>
          </w:p>
          <w:p>
            <w:pPr>
              <w:pStyle w:val="BodyText"/>
            </w:pPr>
            <w:r>
              <w:rPr>
                <w:rFonts w:ascii="Merriweather" w:cs="Merriweather" w:eastAsia="Merriweather" w:hAnsi="Merriweather"/>
                <w:b/>
                <w:bCs/>
                <w:sz w:val="28"/>
                <w:szCs w:val="28"/>
              </w:rPr>
              <w:t xml:space="preserve">975 034 EUR</w:t>
            </w:r>
          </w:p>
          <w:p>
            <w:pPr>
              <w:pStyle w:val="Caption"/>
            </w:pPr>
            <w:r>
              <w:rPr>
                <w:rFonts w:ascii="Inter" w:cs="Inter" w:eastAsia="Inter" w:hAnsi="Inter"/>
                <w:color w:val="16A34A"/>
                <w:sz w:val="16"/>
                <w:szCs w:val="16"/>
              </w:rPr>
              <w:t xml:space="preserve">+96 794 EUR</w:t>
            </w:r>
          </w:p>
        </w:tc>
        <w:tc>
          <w:tcPr>
            <w:shd w:fill="F1F5F9"/>
            <w:tcMar>
              <w:top w:type="dxa" w:w="80"/>
              <w:left w:type="dxa" w:w="120"/>
              <w:bottom w:type="dxa" w:w="80"/>
              <w:right w:type="dxa" w:w="120"/>
            </w:tcMar>
          </w:tcPr>
          <w:p>
            <w:pPr>
              <w:pStyle w:val="Caption"/>
            </w:pPr>
            <w:r>
              <w:rPr>
                <w:rFonts w:ascii="Inter" w:cs="Inter" w:eastAsia="Inter" w:hAnsi="Inter"/>
                <w:color w:val="64748B"/>
                <w:sz w:val="16"/>
                <w:szCs w:val="16"/>
              </w:rPr>
              <w:t xml:space="preserve">Średni roczny wzrost</w:t>
            </w:r>
          </w:p>
          <w:p>
            <w:pPr>
              <w:pStyle w:val="BodyText"/>
            </w:pPr>
            <w:r>
              <w:rPr>
                <w:rFonts w:ascii="Merriweather" w:cs="Merriweather" w:eastAsia="Merriweather" w:hAnsi="Merriweather"/>
                <w:b/>
                <w:bCs/>
                <w:sz w:val="28"/>
                <w:szCs w:val="28"/>
              </w:rPr>
              <w:t xml:space="preserve">10,4%</w:t>
            </w:r>
          </w:p>
        </w:tc>
      </w:tr>
    </w:tbl>
    <w:p>
      <w:pPr>
        <w:pStyle w:val="BodyText"/>
      </w:pPr>
      <w:r>
        <w:rPr>
          <w:rFonts w:ascii="Inter" w:cs="Inter" w:eastAsia="Inter" w:hAnsi="Inter"/>
        </w:rPr>
        <w:t xml:space="preserve">Inwestycja w innowacyjną platformę AI nie tylko obiecuje imponujący wzrost ARR, ale także bazuje na solidnych dowodach działania. Kamienie milowe projektu uwzględniają szybkie przyjęcie technologii przez rynek oraz osiągnięcie kluczowych etapów finansowania. Platforma już zdobyła znaczną bazę klientów, co jest wynikiem dedykowanego podejścia do rozwoju i adaptacji rynkowej. Przeciwdziałanie obawom inwestorów w oparciu o realistyczne dane i osiągnięcia będą kluczem do dalszego sukcesu przedsięwzięcia.</w:t>
      </w:r>
    </w:p>
    <w:p>
      <w:pPr>
        <w:pStyle w:val="Caption"/>
        <w:jc w:val="center"/>
      </w:pPr>
      <w:r>
        <w:drawing>
          <wp:inline distT="0" distB="0" distL="0" distR="0">
            <wp:extent cx="6096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3429000"/>
                    </a:xfrm>
                    <a:prstGeom prst="rect">
                      <a:avLst/>
                    </a:prstGeom>
                  </pic:spPr>
                </pic:pic>
              </a:graphicData>
            </a:graphic>
          </wp:inline>
        </w:drawing>
      </w:r>
    </w:p>
    <w:p>
      <w:pPr>
        <w:pStyle w:val="Caption"/>
      </w:pPr>
      <w:r>
        <w:rPr>
          <w:rFonts w:ascii="Inter" w:cs="Inter" w:eastAsia="Inter" w:hAnsi="Inter"/>
        </w:rPr>
        <w:t xml:space="preserve">Figure 1 — Wzrost ARR i Przychodów w latach 2024-2026</w:t>
      </w:r>
    </w:p>
    <w:p>
      <w:pPr>
        <w:pStyle w:val="Heading1"/>
        <w:pStyle w:val="Heading1"/>
      </w:pPr>
      <w:r>
        <w:rPr>
          <w:rFonts w:ascii="Merriweather" w:cs="Merriweather" w:eastAsia="Merriweather" w:hAnsi="Merriweather"/>
        </w:rPr>
        <w:t xml:space="preserve">9. Przychód 975 034 EUR, EBITDA 343 212 EUR (marża 35%) w 2026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E2E8F0"/>
          </w:tcPr>
          <w:p>
            <w:pPr>
              <w:pStyle w:val="BodyText"/>
            </w:pPr>
            <w:r>
              <w:rPr>
                <w:rFonts w:ascii="Inter" w:cs="Inter" w:eastAsia="Inter" w:hAnsi="Inter"/>
                <w:b/>
                <w:bCs/>
                <w:sz w:val="20"/>
                <w:szCs w:val="20"/>
              </w:rPr>
              <w:t xml:space="preserve">Rok</w:t>
            </w:r>
          </w:p>
        </w:tc>
        <w:tc>
          <w:tcPr>
            <w:shd w:fill="E2E8F0"/>
          </w:tcPr>
          <w:p>
            <w:pPr>
              <w:pStyle w:val="BodyText"/>
            </w:pPr>
            <w:r>
              <w:rPr>
                <w:rFonts w:ascii="Inter" w:cs="Inter" w:eastAsia="Inter" w:hAnsi="Inter"/>
                <w:b/>
                <w:bCs/>
                <w:sz w:val="20"/>
                <w:szCs w:val="20"/>
              </w:rPr>
              <w:t xml:space="preserve">Przychod</w:t>
            </w:r>
          </w:p>
        </w:tc>
        <w:tc>
          <w:tcPr>
            <w:shd w:fill="E2E8F0"/>
          </w:tcPr>
          <w:p>
            <w:pPr>
              <w:pStyle w:val="BodyText"/>
            </w:pPr>
            <w:r>
              <w:rPr>
                <w:rFonts w:ascii="Inter" w:cs="Inter" w:eastAsia="Inter" w:hAnsi="Inter"/>
                <w:b/>
                <w:bCs/>
                <w:sz w:val="20"/>
                <w:szCs w:val="20"/>
              </w:rPr>
              <w:t xml:space="preserve">Ebitda</w:t>
            </w:r>
          </w:p>
        </w:tc>
        <w:tc>
          <w:tcPr>
            <w:shd w:fill="E2E8F0"/>
          </w:tcPr>
          <w:p>
            <w:pPr>
              <w:pStyle w:val="BodyText"/>
            </w:pPr>
            <w:r>
              <w:rPr>
                <w:rFonts w:ascii="Inter" w:cs="Inter" w:eastAsia="Inter" w:hAnsi="Inter"/>
                <w:b/>
                <w:bCs/>
                <w:sz w:val="20"/>
                <w:szCs w:val="20"/>
              </w:rPr>
              <w:t xml:space="preserve">Marza</w:t>
            </w:r>
          </w:p>
        </w:tc>
      </w:tr>
      <w:tr>
        <w:tc>
          <w:p>
            <w:pPr>
              <w:pStyle w:val="BodyText"/>
            </w:pPr>
            <w:r>
              <w:rPr>
                <w:rFonts w:ascii="Inter" w:cs="Inter" w:eastAsia="Inter" w:hAnsi="Inter"/>
                <w:sz w:val="20"/>
                <w:szCs w:val="20"/>
              </w:rPr>
              <w:t xml:space="preserve">Rok 1 (2024)</w:t>
            </w:r>
          </w:p>
        </w:tc>
        <w:tc>
          <w:p>
            <w:pPr>
              <w:pStyle w:val="BodyText"/>
            </w:pPr>
            <w:r>
              <w:rPr>
                <w:rFonts w:ascii="Inter" w:cs="Inter" w:eastAsia="Inter" w:hAnsi="Inter"/>
                <w:sz w:val="20"/>
                <w:szCs w:val="20"/>
              </w:rPr>
              <w:t xml:space="preserve">800000</w:t>
            </w:r>
          </w:p>
        </w:tc>
        <w:tc>
          <w:p>
            <w:pPr>
              <w:pStyle w:val="BodyText"/>
            </w:pPr>
            <w:r>
              <w:rPr>
                <w:rFonts w:ascii="Inter" w:cs="Inter" w:eastAsia="Inter" w:hAnsi="Inter"/>
                <w:sz w:val="20"/>
                <w:szCs w:val="20"/>
              </w:rPr>
              <w:t xml:space="preserve">80000</w:t>
            </w:r>
          </w:p>
        </w:tc>
        <w:tc>
          <w:p>
            <w:pPr>
              <w:pStyle w:val="BodyText"/>
            </w:pPr>
            <w:r>
              <w:rPr>
                <w:rFonts w:ascii="Inter" w:cs="Inter" w:eastAsia="Inter" w:hAnsi="Inter"/>
                <w:sz w:val="20"/>
                <w:szCs w:val="20"/>
              </w:rPr>
              <w:t xml:space="preserve">10%</w:t>
            </w:r>
          </w:p>
        </w:tc>
      </w:tr>
      <w:tr>
        <w:tc>
          <w:p>
            <w:pPr>
              <w:pStyle w:val="BodyText"/>
            </w:pPr>
            <w:r>
              <w:rPr>
                <w:rFonts w:ascii="Inter" w:cs="Inter" w:eastAsia="Inter" w:hAnsi="Inter"/>
                <w:sz w:val="20"/>
                <w:szCs w:val="20"/>
              </w:rPr>
              <w:t xml:space="preserve">Rok 2 (2025)</w:t>
            </w:r>
          </w:p>
        </w:tc>
        <w:tc>
          <w:p>
            <w:pPr>
              <w:pStyle w:val="BodyText"/>
            </w:pPr>
            <w:r>
              <w:rPr>
                <w:rFonts w:ascii="Inter" w:cs="Inter" w:eastAsia="Inter" w:hAnsi="Inter"/>
                <w:sz w:val="20"/>
                <w:szCs w:val="20"/>
              </w:rPr>
              <w:t xml:space="preserve">878240</w:t>
            </w:r>
          </w:p>
        </w:tc>
        <w:tc>
          <w:p>
            <w:pPr>
              <w:pStyle w:val="BodyText"/>
            </w:pPr>
            <w:r>
              <w:rPr>
                <w:rFonts w:ascii="Inter" w:cs="Inter" w:eastAsia="Inter" w:hAnsi="Inter"/>
                <w:sz w:val="20"/>
                <w:szCs w:val="20"/>
              </w:rPr>
              <w:t xml:space="preserve">210778</w:t>
            </w:r>
          </w:p>
        </w:tc>
        <w:tc>
          <w:p>
            <w:pPr>
              <w:pStyle w:val="BodyText"/>
            </w:pPr>
            <w:r>
              <w:rPr>
                <w:rFonts w:ascii="Inter" w:cs="Inter" w:eastAsia="Inter" w:hAnsi="Inter"/>
                <w:sz w:val="20"/>
                <w:szCs w:val="20"/>
              </w:rPr>
              <w:t xml:space="preserve">24%</w:t>
            </w:r>
          </w:p>
        </w:tc>
      </w:tr>
      <w:tr>
        <w:tc>
          <w:p>
            <w:pPr>
              <w:pStyle w:val="BodyText"/>
            </w:pPr>
            <w:r>
              <w:rPr>
                <w:rFonts w:ascii="Inter" w:cs="Inter" w:eastAsia="Inter" w:hAnsi="Inter"/>
                <w:sz w:val="20"/>
                <w:szCs w:val="20"/>
              </w:rPr>
              <w:t xml:space="preserve">Rok 3 (2026)</w:t>
            </w:r>
          </w:p>
        </w:tc>
        <w:tc>
          <w:p>
            <w:pPr>
              <w:pStyle w:val="BodyText"/>
            </w:pPr>
            <w:r>
              <w:rPr>
                <w:rFonts w:ascii="Inter" w:cs="Inter" w:eastAsia="Inter" w:hAnsi="Inter"/>
                <w:sz w:val="20"/>
                <w:szCs w:val="20"/>
              </w:rPr>
              <w:t xml:space="preserve">975034</w:t>
            </w:r>
          </w:p>
        </w:tc>
        <w:tc>
          <w:p>
            <w:pPr>
              <w:pStyle w:val="BodyText"/>
            </w:pPr>
            <w:r>
              <w:rPr>
                <w:rFonts w:ascii="Inter" w:cs="Inter" w:eastAsia="Inter" w:hAnsi="Inter"/>
                <w:sz w:val="20"/>
                <w:szCs w:val="20"/>
              </w:rPr>
              <w:t xml:space="preserve">343212</w:t>
            </w:r>
          </w:p>
        </w:tc>
        <w:tc>
          <w:p>
            <w:pPr>
              <w:pStyle w:val="BodyText"/>
            </w:pPr>
            <w:r>
              <w:rPr>
                <w:rFonts w:ascii="Inter" w:cs="Inter" w:eastAsia="Inter" w:hAnsi="Inter"/>
                <w:sz w:val="20"/>
                <w:szCs w:val="20"/>
              </w:rPr>
              <w:t xml:space="preserve">35%</w:t>
            </w:r>
          </w:p>
        </w:tc>
      </w:tr>
    </w:tbl>
    <w:p>
      <w:pPr>
        <w:pStyle w:val="Caption"/>
      </w:pPr>
      <w:r>
        <w:rPr>
          <w:rFonts w:ascii="Inter" w:cs="Inter" w:eastAsia="Inter" w:hAnsi="Inter"/>
        </w:rPr>
        <w:t xml:space="preserve">Table 4</w:t>
      </w:r>
    </w:p>
    <w:p>
      <w:pPr>
        <w:pStyle w:val="Caption"/>
        <w:jc w:val="center"/>
      </w:pPr>
      <w:r>
        <w:drawing>
          <wp:inline distT="0" distB="0" distL="0" distR="0">
            <wp:extent cx="6096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3429000"/>
                    </a:xfrm>
                    <a:prstGeom prst="rect">
                      <a:avLst/>
                    </a:prstGeom>
                  </pic:spPr>
                </pic:pic>
              </a:graphicData>
            </a:graphic>
          </wp:inline>
        </w:drawing>
      </w:r>
    </w:p>
    <w:p>
      <w:pPr>
        <w:pStyle w:val="Caption"/>
      </w:pPr>
      <w:r>
        <w:rPr>
          <w:rFonts w:ascii="Inter" w:cs="Inter" w:eastAsia="Inter" w:hAnsi="Inter"/>
        </w:rPr>
        <w:t xml:space="preserve">Figure 2 — Przychód i EBITDA 3 lata</w:t>
      </w:r>
    </w:p>
    <w:p>
      <w:pPr>
        <w:pStyle w:val="BodyText"/>
      </w:pPr>
      <w:r>
        <w:rPr>
          <w:rFonts w:ascii="Inter" w:cs="Inter" w:eastAsia="Inter" w:hAnsi="Inter"/>
        </w:rPr>
        <w:t xml:space="preserve">Interpretacja danych daje wgląd w rozwój przedsiębiorstwa, wskazując na silną trajektorię ku rentowności. Przewidywane osiągnięcia progu rentowności w pierwszym roku (2024) pokazują, że strategia wzrostu jest skuteczna i dobrze skalibrowana. Sukcesywne zwiększanie zarówno przychodów, jak i marży EBITDA, jest testamentem zdolności firmy do efektywnego zarządzania wydatkami operacyjnymi i generowania wartości na rynku. To pokazuje, że fundamenty strategii finansowej są solidne i dobrze przemyślane, promując zaufanie w osiąganie przyszłych celów.</w:t>
      </w:r>
    </w:p>
    <w:p>
      <w:pPr>
        <w:pStyle w:val="Callout"/>
      </w:pPr>
      <w:r>
        <w:rPr>
          <w:rFonts w:ascii="Inter" w:cs="Inter" w:eastAsia="Inter" w:hAnsi="Inter"/>
          <w:b/>
          <w:bCs/>
          <w:i/>
          <w:iCs/>
          <w:color w:val="2563EB"/>
        </w:rPr>
        <w:t xml:space="preserve">Scenariusze przedstawiają możliwe wyniki na koniec trzeciego roku (2026) w kategoriach EBITDA. Podstawowy scenariusz zakłada konserwatywne szacunki, co wskazuje na EBITDA 343212 EUR. W scenariuszu optymistycznym (bull) możemy oczekiwać EBITDA na poziomie 369510 EUR, co sugeruje lepszą niż oczekiwana dynamikę wzrostu. Z kolei scenariusz pesymistyczny (bear) zakłada EBITDA 313125 EUR, co uwzględnia możliwe przeszkody na drodze rozwoju. Te szacunkowe wartości podkreślają nie tylko potencjał wzrostu, ale także znaczenie elastyczności w planach inwestycyjnych.</w:t>
      </w:r>
    </w:p>
    <w:p>
      <w:pPr>
        <w:pStyle w:val="Heading1"/>
        <w:pStyle w:val="Heading1"/>
      </w:pPr>
      <w:r>
        <w:rPr>
          <w:rFonts w:ascii="Merriweather" w:cs="Merriweather" w:eastAsia="Merriweather" w:hAnsi="Merriweather"/>
        </w:rPr>
        <w:t xml:space="preserve">10. LTV/CAC 8.33 ×, payback 18 mies — ekonomika zdrowa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F1F5F9"/>
            <w:tcMar>
              <w:top w:type="dxa" w:w="80"/>
              <w:left w:type="dxa" w:w="120"/>
              <w:bottom w:type="dxa" w:w="80"/>
              <w:right w:type="dxa" w:w="120"/>
            </w:tcMar>
          </w:tcPr>
          <w:p>
            <w:pPr>
              <w:pStyle w:val="Caption"/>
            </w:pPr>
            <w:r>
              <w:rPr>
                <w:rFonts w:ascii="Inter" w:cs="Inter" w:eastAsia="Inter" w:hAnsi="Inter"/>
                <w:color w:val="64748B"/>
                <w:sz w:val="16"/>
                <w:szCs w:val="16"/>
              </w:rPr>
              <w:t xml:space="preserve">LTV/CAC Ratio</w:t>
            </w:r>
          </w:p>
          <w:p>
            <w:pPr>
              <w:pStyle w:val="BodyText"/>
            </w:pPr>
            <w:r>
              <w:rPr>
                <w:rFonts w:ascii="Merriweather" w:cs="Merriweather" w:eastAsia="Merriweather" w:hAnsi="Merriweather"/>
                <w:b/>
                <w:bCs/>
                <w:sz w:val="28"/>
                <w:szCs w:val="28"/>
              </w:rPr>
              <w:t xml:space="preserve">8.33 ×</w:t>
            </w:r>
          </w:p>
          <w:p>
            <w:pPr>
              <w:pStyle w:val="Caption"/>
            </w:pPr>
            <w:r>
              <w:rPr>
                <w:rFonts w:ascii="Inter" w:cs="Inter" w:eastAsia="Inter" w:hAnsi="Inter"/>
                <w:color w:val="16A34A"/>
                <w:sz w:val="16"/>
                <w:szCs w:val="16"/>
              </w:rPr>
              <w:t xml:space="preserve">▲ 0.5</w:t>
            </w:r>
          </w:p>
        </w:tc>
        <w:tc>
          <w:tcPr>
            <w:shd w:fill="F1F5F9"/>
            <w:tcMar>
              <w:top w:type="dxa" w:w="80"/>
              <w:left w:type="dxa" w:w="120"/>
              <w:bottom w:type="dxa" w:w="80"/>
              <w:right w:type="dxa" w:w="120"/>
            </w:tcMar>
          </w:tcPr>
          <w:p>
            <w:pPr>
              <w:pStyle w:val="Caption"/>
            </w:pPr>
            <w:r>
              <w:rPr>
                <w:rFonts w:ascii="Inter" w:cs="Inter" w:eastAsia="Inter" w:hAnsi="Inter"/>
                <w:color w:val="64748B"/>
                <w:sz w:val="16"/>
                <w:szCs w:val="16"/>
              </w:rPr>
              <w:t xml:space="preserve">CAC Payback Period</w:t>
            </w:r>
          </w:p>
          <w:p>
            <w:pPr>
              <w:pStyle w:val="BodyText"/>
            </w:pPr>
            <w:r>
              <w:rPr>
                <w:rFonts w:ascii="Merriweather" w:cs="Merriweather" w:eastAsia="Merriweather" w:hAnsi="Merriweather"/>
                <w:b/>
                <w:bCs/>
                <w:sz w:val="28"/>
                <w:szCs w:val="28"/>
              </w:rPr>
              <w:t xml:space="preserve">18 months</w:t>
            </w:r>
          </w:p>
          <w:p>
            <w:pPr>
              <w:pStyle w:val="Caption"/>
            </w:pPr>
            <w:r>
              <w:rPr>
                <w:rFonts w:ascii="Inter" w:cs="Inter" w:eastAsia="Inter" w:hAnsi="Inter"/>
                <w:color w:val="DC2626"/>
                <w:sz w:val="16"/>
                <w:szCs w:val="16"/>
              </w:rPr>
              <w:t xml:space="preserve">-2 months</w:t>
            </w:r>
          </w:p>
        </w:tc>
        <w:tc>
          <w:tcPr>
            <w:shd w:fill="F1F5F9"/>
            <w:tcMar>
              <w:top w:type="dxa" w:w="80"/>
              <w:left w:type="dxa" w:w="120"/>
              <w:bottom w:type="dxa" w:w="80"/>
              <w:right w:type="dxa" w:w="120"/>
            </w:tcMar>
          </w:tcPr>
          <w:p>
            <w:pPr>
              <w:pStyle w:val="Caption"/>
            </w:pPr>
            <w:r>
              <w:rPr>
                <w:rFonts w:ascii="Inter" w:cs="Inter" w:eastAsia="Inter" w:hAnsi="Inter"/>
                <w:color w:val="64748B"/>
                <w:sz w:val="16"/>
                <w:szCs w:val="16"/>
              </w:rPr>
              <w:t xml:space="preserve">Customer Acquisition Cost (CAC)</w:t>
            </w:r>
          </w:p>
          <w:p>
            <w:pPr>
              <w:pStyle w:val="BodyText"/>
            </w:pPr>
            <w:r>
              <w:rPr>
                <w:rFonts w:ascii="Merriweather" w:cs="Merriweather" w:eastAsia="Merriweather" w:hAnsi="Merriweather"/>
                <w:b/>
                <w:bCs/>
                <w:sz w:val="28"/>
                <w:szCs w:val="28"/>
              </w:rPr>
              <w:t xml:space="preserve">$250</w:t>
            </w:r>
          </w:p>
        </w:tc>
      </w:tr>
    </w:tbl>
    <w:p>
      <w:pPr>
        <w:pStyle w:val="BodyText"/>
      </w:pPr>
      <w:r>
        <w:rPr>
          <w:rFonts w:ascii="Inter" w:cs="Inter" w:eastAsia="Inter" w:hAnsi="Inter"/>
        </w:rPr>
        <w:t xml:space="preserve">The Lifetime Value to Customer Acquisition Cost (LTV/CAC) ratio stands at an impressive 8.33 times, indicating a strong return on customer investment. The payback period for CAC is 18 months, ensuring cash flow sustenance. Additionally, the Net Revenue Retention (NRR) rate is at a robust 112%, highlighting effective customer retention and upselling strategies. Furthermore, the business adheres to the Rule of 40 with a value of 46, underscoring balanced growth and profitability. These metrics collectively reflect a healthy economic model, positioning the company for sustainable growth.</w:t>
      </w:r>
    </w:p>
    <w:p>
      <w:pPr>
        <w:pStyle w:val="Heading1"/>
        <w:pStyle w:val="Heading1"/>
      </w:pPr>
      <w:r>
        <w:rPr>
          <w:rFonts w:ascii="Merriweather" w:cs="Merriweather" w:eastAsia="Merriweather" w:hAnsi="Merriweather"/>
        </w:rPr>
        <w:t xml:space="preserve">11. Zespół łączy ekspertyzę doradczą z inżynierią AI</w:t>
      </w:r>
    </w:p>
    <w:p>
      <w:pPr>
        <w:pStyle w:val="BodyText"/>
      </w:pPr>
      <w:r>
        <w:rPr>
          <w:rFonts w:ascii="Inter" w:cs="Inter" w:eastAsia="Inter" w:hAnsi="Inter"/>
        </w:rPr>
        <w:t xml:space="preserve">Nasz zespół wyróżnia się dzięki unikalnemu połączeniu głębokiej wiedzy doradczej i zaawansowanej inżynierii AI. Dysponujemy ekspertami z doświadczeniem w zarządzaniu projektami transformacyjnymi oraz inżynierami zdolnymi do tworzenia i wdrażania nowoczesnych rozwiązań technologicznych. Ten zintegrowany model zespołu pozwala nam lepiej zrozumieć potrzeby klienta i dostosować rozwiązania AI, aby efektywnie rozwiązywały rzeczywiste problemy. Efektem jest zarówno innowacyjność w podejściu, jak i praktyczność w zastosowaniu. Dzięki temu gwarantujemy, że nasze projekty nie tylko spełniają, ale przewyższają oczekiwania.</w:t>
      </w:r>
    </w:p>
    <w:p>
      <w:pPr>
        <w:pStyle w:val="Heading1"/>
        <w:pStyle w:val="Heading1"/>
      </w:pPr>
      <w:r>
        <w:rPr>
          <w:rFonts w:ascii="Merriweather" w:cs="Merriweather" w:eastAsia="Merriweather" w:hAnsi="Merriweather"/>
        </w:rPr>
        <w:t xml:space="preserve">12. Ryzyka zidentyfikowane i zmitygowane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E2E8F0"/>
          </w:tcPr>
          <w:p>
            <w:pPr>
              <w:pStyle w:val="BodyText"/>
            </w:pPr>
            <w:r>
              <w:rPr>
                <w:rFonts w:ascii="Inter" w:cs="Inter" w:eastAsia="Inter" w:hAnsi="Inter"/>
                <w:b/>
                <w:bCs/>
                <w:sz w:val="20"/>
                <w:szCs w:val="20"/>
              </w:rPr>
              <w:t xml:space="preserve">Ryzyko</w:t>
            </w:r>
          </w:p>
        </w:tc>
        <w:tc>
          <w:tcPr>
            <w:shd w:fill="E2E8F0"/>
          </w:tcPr>
          <w:p>
            <w:pPr>
              <w:pStyle w:val="BodyText"/>
            </w:pPr>
            <w:r>
              <w:rPr>
                <w:rFonts w:ascii="Inter" w:cs="Inter" w:eastAsia="Inter" w:hAnsi="Inter"/>
                <w:b/>
                <w:bCs/>
                <w:sz w:val="20"/>
                <w:szCs w:val="20"/>
              </w:rPr>
              <w:t xml:space="preserve">Prawdopodobienstwo</w:t>
            </w:r>
          </w:p>
        </w:tc>
        <w:tc>
          <w:tcPr>
            <w:shd w:fill="E2E8F0"/>
          </w:tcPr>
          <w:p>
            <w:pPr>
              <w:pStyle w:val="BodyText"/>
            </w:pPr>
            <w:r>
              <w:rPr>
                <w:rFonts w:ascii="Inter" w:cs="Inter" w:eastAsia="Inter" w:hAnsi="Inter"/>
                <w:b/>
                <w:bCs/>
                <w:sz w:val="20"/>
                <w:szCs w:val="20"/>
              </w:rPr>
              <w:t xml:space="preserve">Wplyw</w:t>
            </w:r>
          </w:p>
        </w:tc>
        <w:tc>
          <w:tcPr>
            <w:shd w:fill="E2E8F0"/>
          </w:tcPr>
          <w:p>
            <w:pPr>
              <w:pStyle w:val="BodyText"/>
            </w:pPr>
            <w:r>
              <w:rPr>
                <w:rFonts w:ascii="Inter" w:cs="Inter" w:eastAsia="Inter" w:hAnsi="Inter"/>
                <w:b/>
                <w:bCs/>
                <w:sz w:val="20"/>
                <w:szCs w:val="20"/>
              </w:rPr>
              <w:t xml:space="preserve">Mitygacja</w:t>
            </w:r>
          </w:p>
        </w:tc>
        <w:tc>
          <w:tcPr>
            <w:shd w:fill="E2E8F0"/>
          </w:tcPr>
          <w:p>
            <w:pPr>
              <w:pStyle w:val="BodyText"/>
            </w:pPr>
            <w:r>
              <w:rPr>
                <w:rFonts w:ascii="Inter" w:cs="Inter" w:eastAsia="Inter" w:hAnsi="Inter"/>
                <w:b/>
                <w:bCs/>
                <w:sz w:val="20"/>
                <w:szCs w:val="20"/>
              </w:rPr>
              <w:t xml:space="preserve">Wlasciciel</w:t>
            </w:r>
          </w:p>
        </w:tc>
      </w:tr>
      <w:tr>
        <w:tc>
          <w:p>
            <w:pPr>
              <w:pStyle w:val="BodyText"/>
            </w:pPr>
            <w:r>
              <w:rPr>
                <w:rFonts w:ascii="Inter" w:cs="Inter" w:eastAsia="Inter" w:hAnsi="Inter"/>
                <w:sz w:val="20"/>
                <w:szCs w:val="20"/>
              </w:rPr>
              <w:t xml:space="preserve">Projektowanie mitygacyjnych strategii</w:t>
            </w:r>
          </w:p>
        </w:tc>
        <w:tc>
          <w:tcPr>
            <w:shd w:fill="D97706"/>
          </w:tcPr>
          <w:p>
            <w:pPr>
              <w:pStyle w:val="BodyText"/>
            </w:pPr>
            <w:r>
              <w:rPr>
                <w:rFonts w:ascii="Inter" w:cs="Inter" w:eastAsia="Inter" w:hAnsi="Inter"/>
                <w:b/>
                <w:bCs/>
                <w:color w:val="FFFFFF"/>
                <w:sz w:val="20"/>
                <w:szCs w:val="20"/>
              </w:rPr>
              <w:t xml:space="preserve">Średnie</w:t>
            </w:r>
          </w:p>
        </w:tc>
        <w:tc>
          <w:tcPr>
            <w:shd w:fill="DC2626"/>
          </w:tcPr>
          <w:p>
            <w:pPr>
              <w:pStyle w:val="BodyText"/>
            </w:pPr>
            <w:r>
              <w:rPr>
                <w:rFonts w:ascii="Inter" w:cs="Inter" w:eastAsia="Inter" w:hAnsi="Inter"/>
                <w:b/>
                <w:bCs/>
                <w:color w:val="FFFFFF"/>
                <w:sz w:val="20"/>
                <w:szCs w:val="20"/>
              </w:rPr>
              <w:t xml:space="preserve">Wysokie</w:t>
            </w:r>
          </w:p>
        </w:tc>
        <w:tc>
          <w:p>
            <w:pPr>
              <w:pStyle w:val="BodyText"/>
            </w:pPr>
            <w:r>
              <w:rPr>
                <w:rFonts w:ascii="Inter" w:cs="Inter" w:eastAsia="Inter" w:hAnsi="Inter"/>
                <w:sz w:val="20"/>
                <w:szCs w:val="20"/>
              </w:rPr>
              <w:t xml:space="preserve">Regularne analizy i korekty planu</w:t>
            </w:r>
          </w:p>
        </w:tc>
        <w:tc>
          <w:p>
            <w:pPr>
              <w:pStyle w:val="BodyText"/>
            </w:pPr>
            <w:r>
              <w:rPr>
                <w:rFonts w:ascii="Inter" w:cs="Inter" w:eastAsia="Inter" w:hAnsi="Inter"/>
                <w:sz w:val="20"/>
                <w:szCs w:val="20"/>
              </w:rPr>
              <w:t xml:space="preserve">Dział strategiczny</w:t>
            </w:r>
          </w:p>
        </w:tc>
      </w:tr>
      <w:tr>
        <w:tc>
          <w:p>
            <w:pPr>
              <w:pStyle w:val="BodyText"/>
            </w:pPr>
            <w:r>
              <w:rPr>
                <w:rFonts w:ascii="Inter" w:cs="Inter" w:eastAsia="Inter" w:hAnsi="Inter"/>
                <w:sz w:val="20"/>
                <w:szCs w:val="20"/>
              </w:rPr>
              <w:t xml:space="preserve">Rozwój technologii</w:t>
            </w:r>
          </w:p>
        </w:tc>
        <w:tc>
          <w:tcPr>
            <w:shd w:fill="DC2626"/>
          </w:tcPr>
          <w:p>
            <w:pPr>
              <w:pStyle w:val="BodyText"/>
            </w:pPr>
            <w:r>
              <w:rPr>
                <w:rFonts w:ascii="Inter" w:cs="Inter" w:eastAsia="Inter" w:hAnsi="Inter"/>
                <w:b/>
                <w:bCs/>
                <w:color w:val="FFFFFF"/>
                <w:sz w:val="20"/>
                <w:szCs w:val="20"/>
              </w:rPr>
              <w:t xml:space="preserve">Wysokie</w:t>
            </w:r>
          </w:p>
        </w:tc>
        <w:tc>
          <w:tcPr>
            <w:shd w:fill="D97706"/>
          </w:tcPr>
          <w:p>
            <w:pPr>
              <w:pStyle w:val="BodyText"/>
            </w:pPr>
            <w:r>
              <w:rPr>
                <w:rFonts w:ascii="Inter" w:cs="Inter" w:eastAsia="Inter" w:hAnsi="Inter"/>
                <w:b/>
                <w:bCs/>
                <w:color w:val="FFFFFF"/>
                <w:sz w:val="20"/>
                <w:szCs w:val="20"/>
              </w:rPr>
              <w:t xml:space="preserve">Średnie</w:t>
            </w:r>
          </w:p>
        </w:tc>
        <w:tc>
          <w:p>
            <w:pPr>
              <w:pStyle w:val="BodyText"/>
            </w:pPr>
            <w:r>
              <w:rPr>
                <w:rFonts w:ascii="Inter" w:cs="Inter" w:eastAsia="Inter" w:hAnsi="Inter"/>
                <w:sz w:val="20"/>
                <w:szCs w:val="20"/>
              </w:rPr>
              <w:t xml:space="preserve">Instalacja systemów kontroli jakości</w:t>
            </w:r>
          </w:p>
        </w:tc>
        <w:tc>
          <w:p>
            <w:pPr>
              <w:pStyle w:val="BodyText"/>
            </w:pPr>
            <w:r>
              <w:rPr>
                <w:rFonts w:ascii="Inter" w:cs="Inter" w:eastAsia="Inter" w:hAnsi="Inter"/>
                <w:sz w:val="20"/>
                <w:szCs w:val="20"/>
              </w:rPr>
              <w:t xml:space="preserve">Dział technologii</w:t>
            </w:r>
          </w:p>
        </w:tc>
      </w:tr>
      <w:tr>
        <w:tc>
          <w:p>
            <w:pPr>
              <w:pStyle w:val="BodyText"/>
            </w:pPr>
            <w:r>
              <w:rPr>
                <w:rFonts w:ascii="Inter" w:cs="Inter" w:eastAsia="Inter" w:hAnsi="Inter"/>
                <w:sz w:val="20"/>
                <w:szCs w:val="20"/>
              </w:rPr>
              <w:t xml:space="preserve">Fluktuacja personelu kluczowego</w:t>
            </w:r>
          </w:p>
        </w:tc>
        <w:tc>
          <w:tcPr>
            <w:shd w:fill="16A34A"/>
          </w:tcPr>
          <w:p>
            <w:pPr>
              <w:pStyle w:val="BodyText"/>
            </w:pPr>
            <w:r>
              <w:rPr>
                <w:rFonts w:ascii="Inter" w:cs="Inter" w:eastAsia="Inter" w:hAnsi="Inter"/>
                <w:b/>
                <w:bCs/>
                <w:color w:val="FFFFFF"/>
                <w:sz w:val="20"/>
                <w:szCs w:val="20"/>
              </w:rPr>
              <w:t xml:space="preserve">Niskie</w:t>
            </w:r>
          </w:p>
        </w:tc>
        <w:tc>
          <w:tcPr>
            <w:shd w:fill="D97706"/>
          </w:tcPr>
          <w:p>
            <w:pPr>
              <w:pStyle w:val="BodyText"/>
            </w:pPr>
            <w:r>
              <w:rPr>
                <w:rFonts w:ascii="Inter" w:cs="Inter" w:eastAsia="Inter" w:hAnsi="Inter"/>
                <w:b/>
                <w:bCs/>
                <w:color w:val="FFFFFF"/>
                <w:sz w:val="20"/>
                <w:szCs w:val="20"/>
              </w:rPr>
              <w:t xml:space="preserve">Średnie</w:t>
            </w:r>
          </w:p>
        </w:tc>
        <w:tc>
          <w:p>
            <w:pPr>
              <w:pStyle w:val="BodyText"/>
            </w:pPr>
            <w:r>
              <w:rPr>
                <w:rFonts w:ascii="Inter" w:cs="Inter" w:eastAsia="Inter" w:hAnsi="Inter"/>
                <w:sz w:val="20"/>
                <w:szCs w:val="20"/>
              </w:rPr>
              <w:t xml:space="preserve">Programy retencyjne</w:t>
            </w:r>
          </w:p>
        </w:tc>
        <w:tc>
          <w:p>
            <w:pPr>
              <w:pStyle w:val="BodyText"/>
            </w:pPr>
            <w:r>
              <w:rPr>
                <w:rFonts w:ascii="Inter" w:cs="Inter" w:eastAsia="Inter" w:hAnsi="Inter"/>
                <w:sz w:val="20"/>
                <w:szCs w:val="20"/>
              </w:rPr>
              <w:t xml:space="preserve">HR</w:t>
            </w:r>
          </w:p>
        </w:tc>
      </w:tr>
      <w:tr>
        <w:tc>
          <w:p>
            <w:pPr>
              <w:pStyle w:val="BodyText"/>
            </w:pPr>
            <w:r>
              <w:rPr>
                <w:rFonts w:ascii="Inter" w:cs="Inter" w:eastAsia="Inter" w:hAnsi="Inter"/>
                <w:sz w:val="20"/>
                <w:szCs w:val="20"/>
              </w:rPr>
              <w:t xml:space="preserve">Zmiany regulacyjne</w:t>
            </w:r>
          </w:p>
        </w:tc>
        <w:tc>
          <w:tcPr>
            <w:shd w:fill="D97706"/>
          </w:tcPr>
          <w:p>
            <w:pPr>
              <w:pStyle w:val="BodyText"/>
            </w:pPr>
            <w:r>
              <w:rPr>
                <w:rFonts w:ascii="Inter" w:cs="Inter" w:eastAsia="Inter" w:hAnsi="Inter"/>
                <w:b/>
                <w:bCs/>
                <w:color w:val="FFFFFF"/>
                <w:sz w:val="20"/>
                <w:szCs w:val="20"/>
              </w:rPr>
              <w:t xml:space="preserve">Średnie</w:t>
            </w:r>
          </w:p>
        </w:tc>
        <w:tc>
          <w:tcPr>
            <w:shd w:fill="DC2626"/>
          </w:tcPr>
          <w:p>
            <w:pPr>
              <w:pStyle w:val="BodyText"/>
            </w:pPr>
            <w:r>
              <w:rPr>
                <w:rFonts w:ascii="Inter" w:cs="Inter" w:eastAsia="Inter" w:hAnsi="Inter"/>
                <w:b/>
                <w:bCs/>
                <w:color w:val="FFFFFF"/>
                <w:sz w:val="20"/>
                <w:szCs w:val="20"/>
              </w:rPr>
              <w:t xml:space="preserve">Wysokie</w:t>
            </w:r>
          </w:p>
        </w:tc>
        <w:tc>
          <w:p>
            <w:pPr>
              <w:pStyle w:val="BodyText"/>
            </w:pPr>
            <w:r>
              <w:rPr>
                <w:rFonts w:ascii="Inter" w:cs="Inter" w:eastAsia="Inter" w:hAnsi="Inter"/>
                <w:sz w:val="20"/>
                <w:szCs w:val="20"/>
              </w:rPr>
              <w:t xml:space="preserve">Monitorowanie i współpraca z prawnikiem</w:t>
            </w:r>
          </w:p>
        </w:tc>
        <w:tc>
          <w:p>
            <w:pPr>
              <w:pStyle w:val="BodyText"/>
            </w:pPr>
            <w:r>
              <w:rPr>
                <w:rFonts w:ascii="Inter" w:cs="Inter" w:eastAsia="Inter" w:hAnsi="Inter"/>
                <w:sz w:val="20"/>
                <w:szCs w:val="20"/>
              </w:rPr>
              <w:t xml:space="preserve">Legal</w:t>
            </w:r>
          </w:p>
        </w:tc>
      </w:tr>
      <w:tr>
        <w:tc>
          <w:p>
            <w:pPr>
              <w:pStyle w:val="BodyText"/>
            </w:pPr>
            <w:r>
              <w:rPr>
                <w:rFonts w:ascii="Inter" w:cs="Inter" w:eastAsia="Inter" w:hAnsi="Inter"/>
                <w:sz w:val="20"/>
                <w:szCs w:val="20"/>
              </w:rPr>
              <w:t xml:space="preserve">Konkurencja</w:t>
            </w:r>
          </w:p>
        </w:tc>
        <w:tc>
          <w:tcPr>
            <w:shd w:fill="DC2626"/>
          </w:tcPr>
          <w:p>
            <w:pPr>
              <w:pStyle w:val="BodyText"/>
            </w:pPr>
            <w:r>
              <w:rPr>
                <w:rFonts w:ascii="Inter" w:cs="Inter" w:eastAsia="Inter" w:hAnsi="Inter"/>
                <w:b/>
                <w:bCs/>
                <w:color w:val="FFFFFF"/>
                <w:sz w:val="20"/>
                <w:szCs w:val="20"/>
              </w:rPr>
              <w:t xml:space="preserve">Wysokie</w:t>
            </w:r>
          </w:p>
        </w:tc>
        <w:tc>
          <w:tcPr>
            <w:shd w:fill="DC2626"/>
          </w:tcPr>
          <w:p>
            <w:pPr>
              <w:pStyle w:val="BodyText"/>
            </w:pPr>
            <w:r>
              <w:rPr>
                <w:rFonts w:ascii="Inter" w:cs="Inter" w:eastAsia="Inter" w:hAnsi="Inter"/>
                <w:b/>
                <w:bCs/>
                <w:color w:val="FFFFFF"/>
                <w:sz w:val="20"/>
                <w:szCs w:val="20"/>
              </w:rPr>
              <w:t xml:space="preserve">Wysokie</w:t>
            </w:r>
          </w:p>
        </w:tc>
        <w:tc>
          <w:p>
            <w:pPr>
              <w:pStyle w:val="BodyText"/>
            </w:pPr>
            <w:r>
              <w:rPr>
                <w:rFonts w:ascii="Inter" w:cs="Inter" w:eastAsia="Inter" w:hAnsi="Inter"/>
                <w:sz w:val="20"/>
                <w:szCs w:val="20"/>
              </w:rPr>
              <w:t xml:space="preserve">Inwestycje w R&amp;D</w:t>
            </w:r>
          </w:p>
        </w:tc>
        <w:tc>
          <w:p>
            <w:pPr>
              <w:pStyle w:val="BodyText"/>
            </w:pPr>
            <w:r>
              <w:rPr>
                <w:rFonts w:ascii="Inter" w:cs="Inter" w:eastAsia="Inter" w:hAnsi="Inter"/>
                <w:sz w:val="20"/>
                <w:szCs w:val="20"/>
              </w:rPr>
              <w:t xml:space="preserve">Zarząd</w:t>
            </w:r>
          </w:p>
        </w:tc>
      </w:tr>
    </w:tbl>
    <w:p>
      <w:pPr>
        <w:pStyle w:val="Caption"/>
      </w:pPr>
      <w:r>
        <w:rPr>
          <w:rFonts w:ascii="Inter" w:cs="Inter" w:eastAsia="Inter" w:hAnsi="Inter"/>
        </w:rPr>
        <w:t xml:space="preserve">Table 6</w:t>
      </w:r>
    </w:p>
    <w:p>
      <w:pPr>
        <w:pStyle w:val="Callout"/>
      </w:pPr>
      <w:r>
        <w:rPr>
          <w:rFonts w:ascii="Inter" w:cs="Inter" w:eastAsia="Inter" w:hAnsi="Inter"/>
          <w:b/>
          <w:bCs/>
          <w:i/>
          <w:iCs/>
          <w:color w:val="DC2626"/>
        </w:rPr>
        <w:t xml:space="preserve">Wysoka konkurencja na rynku AI zostało uznana za ryzyko krytyczne. Kluczowym krokiem w mitygacji tego ryzyka jest intensyfikacja inwestycji w dział badań i rozwoju, aby zwiększyć przewagę technologiczną i utrzymać konkurencyjność platformy. Regularne badania rynkowe oraz adaptacja strategii zgodnie z ich wynikami również są integralnymi elementami tego planu.</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E2E8F0"/>
          </w:tcPr>
          <w:p>
            <w:pPr>
              <w:pStyle w:val="BodyText"/>
            </w:pPr>
            <w:r>
              <w:rPr>
                <w:rFonts w:ascii="Inter" w:cs="Inter" w:eastAsia="Inter" w:hAnsi="Inter"/>
                <w:b/>
                <w:bCs/>
                <w:sz w:val="20"/>
                <w:szCs w:val="20"/>
              </w:rPr>
              <w:t xml:space="preserve">Zalozenie</w:t>
            </w:r>
          </w:p>
        </w:tc>
        <w:tc>
          <w:tcPr>
            <w:shd w:fill="E2E8F0"/>
          </w:tcPr>
          <w:p>
            <w:pPr>
              <w:pStyle w:val="BodyText"/>
            </w:pPr>
            <w:r>
              <w:rPr>
                <w:rFonts w:ascii="Inter" w:cs="Inter" w:eastAsia="Inter" w:hAnsi="Inter"/>
                <w:b/>
                <w:bCs/>
                <w:sz w:val="20"/>
                <w:szCs w:val="20"/>
              </w:rPr>
              <w:t xml:space="preserve">Wartosc</w:t>
            </w:r>
          </w:p>
        </w:tc>
        <w:tc>
          <w:tcPr>
            <w:shd w:fill="E2E8F0"/>
          </w:tcPr>
          <w:p>
            <w:pPr>
              <w:pStyle w:val="BodyText"/>
            </w:pPr>
            <w:r>
              <w:rPr>
                <w:rFonts w:ascii="Inter" w:cs="Inter" w:eastAsia="Inter" w:hAnsi="Inter"/>
                <w:b/>
                <w:bCs/>
                <w:sz w:val="20"/>
                <w:szCs w:val="20"/>
              </w:rPr>
              <w:t xml:space="preserve">Zrodlo</w:t>
            </w:r>
          </w:p>
        </w:tc>
        <w:tc>
          <w:tcPr>
            <w:shd w:fill="E2E8F0"/>
          </w:tcPr>
          <w:p>
            <w:pPr>
              <w:pStyle w:val="BodyText"/>
            </w:pPr>
            <w:r>
              <w:rPr>
                <w:rFonts w:ascii="Inter" w:cs="Inter" w:eastAsia="Inter" w:hAnsi="Inter"/>
                <w:b/>
                <w:bCs/>
                <w:sz w:val="20"/>
                <w:szCs w:val="20"/>
              </w:rPr>
              <w:t xml:space="preserve">Zakres</w:t>
            </w:r>
          </w:p>
        </w:tc>
        <w:tc>
          <w:tcPr>
            <w:shd w:fill="E2E8F0"/>
          </w:tcPr>
          <w:p>
            <w:pPr>
              <w:pStyle w:val="BodyText"/>
            </w:pPr>
            <w:r>
              <w:rPr>
                <w:rFonts w:ascii="Inter" w:cs="Inter" w:eastAsia="Inter" w:hAnsi="Inter"/>
                <w:b/>
                <w:bCs/>
                <w:sz w:val="20"/>
                <w:szCs w:val="20"/>
              </w:rPr>
              <w:t xml:space="preserve">Ranga</w:t>
            </w:r>
          </w:p>
        </w:tc>
      </w:tr>
      <w:tr>
        <w:tc>
          <w:p>
            <w:pPr>
              <w:pStyle w:val="BodyText"/>
            </w:pPr>
            <w:r>
              <w:rPr>
                <w:rFonts w:ascii="Inter" w:cs="Inter" w:eastAsia="Inter" w:hAnsi="Inter"/>
                <w:sz w:val="20"/>
                <w:szCs w:val="20"/>
              </w:rPr>
              <w:t xml:space="preserve">Wzrost seatów r/r</w:t>
            </w:r>
          </w:p>
        </w:tc>
        <w:tc>
          <w:p>
            <w:pPr>
              <w:pStyle w:val="BodyText"/>
            </w:pPr>
            <w:r>
              <w:rPr>
                <w:rFonts w:ascii="Inter" w:cs="Inter" w:eastAsia="Inter" w:hAnsi="Inter"/>
                <w:sz w:val="20"/>
                <w:szCs w:val="20"/>
              </w:rPr>
              <w:t xml:space="preserve">0.45×</w:t>
            </w:r>
          </w:p>
        </w:tc>
        <w:tc>
          <w:p>
            <w:pPr>
              <w:pStyle w:val="BodyText"/>
            </w:pPr>
            <w:r>
              <w:rPr>
                <w:rFonts w:ascii="Inter" w:cs="Inter" w:eastAsia="Inter" w:hAnsi="Inter"/>
                <w:sz w:val="20"/>
                <w:szCs w:val="20"/>
              </w:rPr>
              <w:t xml:space="preserve">model wewnętrzny</w:t>
            </w:r>
          </w:p>
        </w:tc>
        <w:tc>
          <w:p>
            <w:pPr>
              <w:pStyle w:val="BodyText"/>
            </w:pPr>
            <w:r>
              <w:rPr>
                <w:rFonts w:ascii="Inter" w:cs="Inter" w:eastAsia="Inter" w:hAnsi="Inter"/>
                <w:sz w:val="20"/>
                <w:szCs w:val="20"/>
              </w:rPr>
              <w:t xml:space="preserve">0.41–0.5</w:t>
            </w:r>
          </w:p>
        </w:tc>
        <w:tc>
          <w:p>
            <w:pPr>
              <w:pStyle w:val="BodyText"/>
            </w:pPr>
            <w:r>
              <w:rPr>
                <w:rFonts w:ascii="Inter" w:cs="Inter" w:eastAsia="Inter" w:hAnsi="Inter"/>
                <w:sz w:val="20"/>
                <w:szCs w:val="20"/>
              </w:rPr>
              <w:t xml:space="preserve">5</w:t>
            </w:r>
          </w:p>
        </w:tc>
      </w:tr>
      <w:tr>
        <w:tc>
          <w:p>
            <w:pPr>
              <w:pStyle w:val="BodyText"/>
            </w:pPr>
            <w:r>
              <w:rPr>
                <w:rFonts w:ascii="Inter" w:cs="Inter" w:eastAsia="Inter" w:hAnsi="Inter"/>
                <w:sz w:val="20"/>
                <w:szCs w:val="20"/>
              </w:rPr>
              <w:t xml:space="preserve">Net revenue retention</w:t>
            </w:r>
          </w:p>
        </w:tc>
        <w:tc>
          <w:p>
            <w:pPr>
              <w:pStyle w:val="BodyText"/>
            </w:pPr>
            <w:r>
              <w:rPr>
                <w:rFonts w:ascii="Inter" w:cs="Inter" w:eastAsia="Inter" w:hAnsi="Inter"/>
                <w:sz w:val="20"/>
                <w:szCs w:val="20"/>
              </w:rPr>
              <w:t xml:space="preserve">1.12×</w:t>
            </w:r>
          </w:p>
        </w:tc>
        <w:tc>
          <w:p>
            <w:pPr>
              <w:pStyle w:val="BodyText"/>
            </w:pPr>
            <w:r>
              <w:rPr>
                <w:rFonts w:ascii="Inter" w:cs="Inter" w:eastAsia="Inter" w:hAnsi="Inter"/>
                <w:sz w:val="20"/>
                <w:szCs w:val="20"/>
              </w:rPr>
              <w:t xml:space="preserve">Analiza wzrostu dla platform AI</w:t>
            </w:r>
          </w:p>
        </w:tc>
        <w:tc>
          <w:p>
            <w:pPr>
              <w:pStyle w:val="BodyText"/>
            </w:pPr>
            <w:r>
              <w:rPr>
                <w:rFonts w:ascii="Inter" w:cs="Inter" w:eastAsia="Inter" w:hAnsi="Inter"/>
                <w:sz w:val="20"/>
                <w:szCs w:val="20"/>
              </w:rPr>
              <w:t xml:space="preserve">1.01–1.23</w:t>
            </w:r>
          </w:p>
        </w:tc>
        <w:tc>
          <w:p>
            <w:pPr>
              <w:pStyle w:val="BodyText"/>
            </w:pPr>
            <w:r>
              <w:rPr>
                <w:rFonts w:ascii="Inter" w:cs="Inter" w:eastAsia="Inter" w:hAnsi="Inter"/>
                <w:sz w:val="20"/>
                <w:szCs w:val="20"/>
              </w:rPr>
              <w:t xml:space="preserve">5</w:t>
            </w:r>
          </w:p>
        </w:tc>
      </w:tr>
      <w:tr>
        <w:tc>
          <w:p>
            <w:pPr>
              <w:pStyle w:val="BodyText"/>
            </w:pPr>
            <w:r>
              <w:rPr>
                <w:rFonts w:ascii="Inter" w:cs="Inter" w:eastAsia="Inter" w:hAnsi="Inter"/>
                <w:sz w:val="20"/>
                <w:szCs w:val="20"/>
              </w:rPr>
              <w:t xml:space="preserve">Churn brutto roczny</w:t>
            </w:r>
          </w:p>
        </w:tc>
        <w:tc>
          <w:p>
            <w:pPr>
              <w:pStyle w:val="BodyText"/>
            </w:pPr>
            <w:r>
              <w:rPr>
                <w:rFonts w:ascii="Inter" w:cs="Inter" w:eastAsia="Inter" w:hAnsi="Inter"/>
                <w:sz w:val="20"/>
                <w:szCs w:val="20"/>
              </w:rPr>
              <w:t xml:space="preserve">0.08%</w:t>
            </w:r>
          </w:p>
        </w:tc>
        <w:tc>
          <w:p>
            <w:pPr>
              <w:pStyle w:val="BodyText"/>
            </w:pPr>
            <w:r>
              <w:rPr>
                <w:rFonts w:ascii="Inter" w:cs="Inter" w:eastAsia="Inter" w:hAnsi="Inter"/>
                <w:sz w:val="20"/>
                <w:szCs w:val="20"/>
              </w:rPr>
              <w:t xml:space="preserve">model wewnętrzny</w:t>
            </w:r>
          </w:p>
        </w:tc>
        <w:tc>
          <w:p>
            <w:pPr>
              <w:pStyle w:val="BodyText"/>
            </w:pPr>
            <w:r>
              <w:rPr>
                <w:rFonts w:ascii="Inter" w:cs="Inter" w:eastAsia="Inter" w:hAnsi="Inter"/>
                <w:sz w:val="20"/>
                <w:szCs w:val="20"/>
              </w:rPr>
              <w:t xml:space="preserve">0.07–0.09</w:t>
            </w:r>
          </w:p>
        </w:tc>
        <w:tc>
          <w:p>
            <w:pPr>
              <w:pStyle w:val="BodyText"/>
            </w:pPr>
            <w:r>
              <w:rPr>
                <w:rFonts w:ascii="Inter" w:cs="Inter" w:eastAsia="Inter" w:hAnsi="Inter"/>
                <w:sz w:val="20"/>
                <w:szCs w:val="20"/>
              </w:rPr>
              <w:t xml:space="preserve">4</w:t>
            </w:r>
          </w:p>
        </w:tc>
      </w:tr>
      <w:tr>
        <w:tc>
          <w:p>
            <w:pPr>
              <w:pStyle w:val="BodyText"/>
            </w:pPr>
            <w:r>
              <w:rPr>
                <w:rFonts w:ascii="Inter" w:cs="Inter" w:eastAsia="Inter" w:hAnsi="Inter"/>
                <w:sz w:val="20"/>
                <w:szCs w:val="20"/>
              </w:rPr>
              <w:t xml:space="preserve">Marża brutto</w:t>
            </w:r>
          </w:p>
        </w:tc>
        <w:tc>
          <w:p>
            <w:pPr>
              <w:pStyle w:val="BodyText"/>
            </w:pPr>
            <w:r>
              <w:rPr>
                <w:rFonts w:ascii="Inter" w:cs="Inter" w:eastAsia="Inter" w:hAnsi="Inter"/>
                <w:sz w:val="20"/>
                <w:szCs w:val="20"/>
              </w:rPr>
              <w:t xml:space="preserve">0.8%</w:t>
            </w:r>
          </w:p>
        </w:tc>
        <w:tc>
          <w:p>
            <w:pPr>
              <w:pStyle w:val="BodyText"/>
            </w:pPr>
            <w:r>
              <w:rPr>
                <w:rFonts w:ascii="Inter" w:cs="Inter" w:eastAsia="Inter" w:hAnsi="Inter"/>
                <w:sz w:val="20"/>
                <w:szCs w:val="20"/>
              </w:rPr>
              <w:t xml:space="preserve">model wewnętrzny</w:t>
            </w:r>
          </w:p>
        </w:tc>
        <w:tc>
          <w:p>
            <w:pPr>
              <w:pStyle w:val="BodyText"/>
            </w:pPr>
            <w:r>
              <w:rPr>
                <w:rFonts w:ascii="Inter" w:cs="Inter" w:eastAsia="Inter" w:hAnsi="Inter"/>
                <w:sz w:val="20"/>
                <w:szCs w:val="20"/>
              </w:rPr>
              <w:t xml:space="preserve">0.72–0.88</w:t>
            </w:r>
          </w:p>
        </w:tc>
        <w:tc>
          <w:p>
            <w:pPr>
              <w:pStyle w:val="BodyText"/>
            </w:pPr>
            <w:r>
              <w:rPr>
                <w:rFonts w:ascii="Inter" w:cs="Inter" w:eastAsia="Inter" w:hAnsi="Inter"/>
                <w:sz w:val="20"/>
                <w:szCs w:val="20"/>
              </w:rPr>
              <w:t xml:space="preserve">4</w:t>
            </w:r>
          </w:p>
        </w:tc>
      </w:tr>
      <w:tr>
        <w:tc>
          <w:p>
            <w:pPr>
              <w:pStyle w:val="BodyText"/>
            </w:pPr>
            <w:r>
              <w:rPr>
                <w:rFonts w:ascii="Inter" w:cs="Inter" w:eastAsia="Inter" w:hAnsi="Inter"/>
                <w:sz w:val="20"/>
                <w:szCs w:val="20"/>
              </w:rPr>
              <w:t xml:space="preserve">CAC</w:t>
            </w:r>
          </w:p>
        </w:tc>
        <w:tc>
          <w:p>
            <w:pPr>
              <w:pStyle w:val="BodyText"/>
            </w:pPr>
            <w:r>
              <w:rPr>
                <w:rFonts w:ascii="Inter" w:cs="Inter" w:eastAsia="Inter" w:hAnsi="Inter"/>
                <w:sz w:val="20"/>
                <w:szCs w:val="20"/>
              </w:rPr>
              <w:t xml:space="preserve">1440EUR</w:t>
            </w:r>
          </w:p>
        </w:tc>
        <w:tc>
          <w:p>
            <w:pPr>
              <w:pStyle w:val="BodyText"/>
            </w:pPr>
            <w:r>
              <w:rPr>
                <w:rFonts w:ascii="Inter" w:cs="Inter" w:eastAsia="Inter" w:hAnsi="Inter"/>
                <w:sz w:val="20"/>
                <w:szCs w:val="20"/>
              </w:rPr>
              <w:t xml:space="preserve">Koszty marketingowe branży technologicznej 2023</w:t>
            </w:r>
          </w:p>
        </w:tc>
        <w:tc>
          <w:p>
            <w:pPr>
              <w:pStyle w:val="BodyText"/>
            </w:pPr>
            <w:r>
              <w:rPr>
                <w:rFonts w:ascii="Inter" w:cs="Inter" w:eastAsia="Inter" w:hAnsi="Inter"/>
                <w:sz w:val="20"/>
                <w:szCs w:val="20"/>
              </w:rPr>
              <w:t xml:space="preserve">1152–1728</w:t>
            </w:r>
          </w:p>
        </w:tc>
        <w:tc>
          <w:p>
            <w:pPr>
              <w:pStyle w:val="BodyText"/>
            </w:pPr>
            <w:r>
              <w:rPr>
                <w:rFonts w:ascii="Inter" w:cs="Inter" w:eastAsia="Inter" w:hAnsi="Inter"/>
                <w:sz w:val="20"/>
                <w:szCs w:val="20"/>
              </w:rPr>
              <w:t xml:space="preserve">4</w:t>
            </w:r>
          </w:p>
        </w:tc>
      </w:tr>
    </w:tbl>
    <w:p>
      <w:pPr>
        <w:pStyle w:val="Caption"/>
      </w:pPr>
      <w:r>
        <w:rPr>
          <w:rFonts w:ascii="Inter" w:cs="Inter" w:eastAsia="Inter" w:hAnsi="Inter"/>
        </w:rPr>
        <w:t xml:space="preserve">Table 7</w:t>
      </w:r>
    </w:p>
    <w:p>
      <w:pPr>
        <w:pStyle w:val="Heading1"/>
        <w:pStyle w:val="Heading1"/>
      </w:pPr>
      <w:r>
        <w:rPr>
          <w:rFonts w:ascii="Merriweather" w:cs="Merriweather" w:eastAsia="Merriweather" w:hAnsi="Merriweather"/>
        </w:rPr>
        <w:t xml:space="preserve">13. 3.5 mln EUR finansowania na wdrożenie i rozwój platformy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F1F5F9"/>
            <w:tcMar>
              <w:top w:type="dxa" w:w="80"/>
              <w:left w:type="dxa" w:w="120"/>
              <w:bottom w:type="dxa" w:w="80"/>
              <w:right w:type="dxa" w:w="120"/>
            </w:tcMar>
          </w:tcPr>
          <w:p>
            <w:pPr>
              <w:pStyle w:val="Caption"/>
            </w:pPr>
            <w:r>
              <w:rPr>
                <w:rFonts w:ascii="Inter" w:cs="Inter" w:eastAsia="Inter" w:hAnsi="Inter"/>
                <w:color w:val="64748B"/>
                <w:sz w:val="16"/>
                <w:szCs w:val="16"/>
              </w:rPr>
              <w:t xml:space="preserve">Ask / runda</w:t>
            </w:r>
          </w:p>
          <w:p>
            <w:pPr>
              <w:pStyle w:val="BodyText"/>
            </w:pPr>
            <w:r>
              <w:rPr>
                <w:rFonts w:ascii="Merriweather" w:cs="Merriweather" w:eastAsia="Merriweather" w:hAnsi="Merriweather"/>
                <w:b/>
                <w:bCs/>
                <w:sz w:val="28"/>
                <w:szCs w:val="28"/>
              </w:rPr>
              <w:t xml:space="preserve">3 500 000 EUR</w:t>
            </w:r>
          </w:p>
        </w:tc>
        <w:tc>
          <w:tcPr>
            <w:shd w:fill="F1F5F9"/>
            <w:tcMar>
              <w:top w:type="dxa" w:w="80"/>
              <w:left w:type="dxa" w:w="120"/>
              <w:bottom w:type="dxa" w:w="80"/>
              <w:right w:type="dxa" w:w="120"/>
            </w:tcMar>
          </w:tcPr>
          <w:p>
            <w:pPr>
              <w:pStyle w:val="Caption"/>
            </w:pPr>
            <w:r>
              <w:rPr>
                <w:rFonts w:ascii="Inter" w:cs="Inter" w:eastAsia="Inter" w:hAnsi="Inter"/>
                <w:color w:val="64748B"/>
                <w:sz w:val="16"/>
                <w:szCs w:val="16"/>
              </w:rPr>
              <w:t xml:space="preserve">Przydzielone na rozwój technologii</w:t>
            </w:r>
          </w:p>
          <w:p>
            <w:pPr>
              <w:pStyle w:val="BodyText"/>
            </w:pPr>
            <w:r>
              <w:rPr>
                <w:rFonts w:ascii="Merriweather" w:cs="Merriweather" w:eastAsia="Merriweather" w:hAnsi="Merriweather"/>
                <w:b/>
                <w:bCs/>
                <w:sz w:val="28"/>
                <w:szCs w:val="28"/>
              </w:rPr>
              <w:t xml:space="preserve">1 500 000 EUR</w:t>
            </w:r>
          </w:p>
        </w:tc>
        <w:tc>
          <w:tcPr>
            <w:shd w:fill="F1F5F9"/>
            <w:tcMar>
              <w:top w:type="dxa" w:w="80"/>
              <w:left w:type="dxa" w:w="120"/>
              <w:bottom w:type="dxa" w:w="80"/>
              <w:right w:type="dxa" w:w="120"/>
            </w:tcMar>
          </w:tcPr>
          <w:p>
            <w:pPr>
              <w:pStyle w:val="Caption"/>
            </w:pPr>
            <w:r>
              <w:rPr>
                <w:rFonts w:ascii="Inter" w:cs="Inter" w:eastAsia="Inter" w:hAnsi="Inter"/>
                <w:color w:val="64748B"/>
                <w:sz w:val="16"/>
                <w:szCs w:val="16"/>
              </w:rPr>
              <w:t xml:space="preserve">Marketing i sprzedaż</w:t>
            </w:r>
          </w:p>
          <w:p>
            <w:pPr>
              <w:pStyle w:val="BodyText"/>
            </w:pPr>
            <w:r>
              <w:rPr>
                <w:rFonts w:ascii="Merriweather" w:cs="Merriweather" w:eastAsia="Merriweather" w:hAnsi="Merriweather"/>
                <w:b/>
                <w:bCs/>
                <w:sz w:val="28"/>
                <w:szCs w:val="28"/>
              </w:rPr>
              <w:t xml:space="preserve">1 000 000 EUR</w:t>
            </w:r>
          </w:p>
        </w:tc>
        <w:tc>
          <w:tcPr>
            <w:shd w:fill="F1F5F9"/>
            <w:tcMar>
              <w:top w:type="dxa" w:w="80"/>
              <w:left w:type="dxa" w:w="120"/>
              <w:bottom w:type="dxa" w:w="80"/>
              <w:right w:type="dxa" w:w="120"/>
            </w:tcMar>
          </w:tcPr>
          <w:p>
            <w:pPr>
              <w:pStyle w:val="Caption"/>
            </w:pPr>
            <w:r>
              <w:rPr>
                <w:rFonts w:ascii="Inter" w:cs="Inter" w:eastAsia="Inter" w:hAnsi="Inter"/>
                <w:color w:val="64748B"/>
                <w:sz w:val="16"/>
                <w:szCs w:val="16"/>
              </w:rPr>
              <w:t xml:space="preserve">Zasoby ludzkie</w:t>
            </w:r>
          </w:p>
          <w:p>
            <w:pPr>
              <w:pStyle w:val="BodyText"/>
            </w:pPr>
            <w:r>
              <w:rPr>
                <w:rFonts w:ascii="Merriweather" w:cs="Merriweather" w:eastAsia="Merriweather" w:hAnsi="Merriweather"/>
                <w:b/>
                <w:bCs/>
                <w:sz w:val="28"/>
                <w:szCs w:val="28"/>
              </w:rPr>
              <w:t xml:space="preserve">750 000 EUR</w:t>
            </w:r>
          </w:p>
        </w:tc>
        <w:tc>
          <w:tcPr>
            <w:shd w:fill="F1F5F9"/>
            <w:tcMar>
              <w:top w:type="dxa" w:w="80"/>
              <w:left w:type="dxa" w:w="120"/>
              <w:bottom w:type="dxa" w:w="80"/>
              <w:right w:type="dxa" w:w="120"/>
            </w:tcMar>
          </w:tcPr>
          <w:p>
            <w:pPr>
              <w:pStyle w:val="Caption"/>
            </w:pPr>
            <w:r>
              <w:rPr>
                <w:rFonts w:ascii="Inter" w:cs="Inter" w:eastAsia="Inter" w:hAnsi="Inter"/>
                <w:color w:val="64748B"/>
                <w:sz w:val="16"/>
                <w:szCs w:val="16"/>
              </w:rPr>
              <w:t xml:space="preserve">Koszty administracyjne</w:t>
            </w:r>
          </w:p>
          <w:p>
            <w:pPr>
              <w:pStyle w:val="BodyText"/>
            </w:pPr>
            <w:r>
              <w:rPr>
                <w:rFonts w:ascii="Merriweather" w:cs="Merriweather" w:eastAsia="Merriweather" w:hAnsi="Merriweather"/>
                <w:b/>
                <w:bCs/>
                <w:sz w:val="28"/>
                <w:szCs w:val="28"/>
              </w:rPr>
              <w:t xml:space="preserve">250 000 EUR</w:t>
            </w:r>
          </w:p>
        </w:tc>
      </w:tr>
    </w:tbl>
    <w:p>
      <w:pPr>
        <w:pStyle w:val="BodyText"/>
      </w:pPr>
      <w:r>
        <w:rPr>
          <w:rFonts w:ascii="Inter" w:cs="Inter" w:eastAsia="Inter" w:hAnsi="Inter"/>
        </w:rPr>
        <w:t xml:space="preserve">Kwota 3.5 mln EUR finansowania zostanie strategicznie alokowana w kluczowe obszary działalności. Zostanie to podzielone na wdrożenie technologii, rozwój infrastruktury, oraz działania marketingowe. Ustalone kamienie milowe obejmują skalowanie technologii oraz zwiększenie bazy użytkowników do momentu kolejnej rundy finansowania. Planowany runway, przy takim podziale środków, wynosi 18 miesięcy, co zapewni wystarczające przygotowanie do dalszego wzrostu oraz osiągnięcia zakładanych celów.</w:t>
      </w:r>
    </w:p>
    <w:p>
      <w:pPr>
        <w:pStyle w:val="Heading1"/>
        <w:pStyle w:val="Heading1"/>
      </w:pPr>
      <w:r>
        <w:rPr>
          <w:rFonts w:ascii="Merriweather" w:cs="Merriweather" w:eastAsia="Merriweather" w:hAnsi="Merriweather"/>
        </w:rPr>
        <w:t xml:space="preserve">14. Roadmapa do 2026</w:t>
      </w:r>
    </w:p>
    <w:p>
      <w:pPr>
        <w:pStyle w:val="BodyText"/>
      </w:pPr>
      <w:r>
        <w:rPr>
          <w:rFonts w:ascii="Inter" w:cs="Inter" w:eastAsia="Inter" w:hAnsi="Inter"/>
        </w:rPr>
        <w:t xml:space="preserve">Roadmapa do 2026 roku zakłada wprowadzenie zaawansowanych rozwiązań AI poprzez starannie zaplanowane fazy. Każda faza koncentruje się na kluczowych aspektach rozwoju, takich jak technologia, rynek oraz finanse, aby zapewnić stabilny i zrównoważony wzrost. Dzięki realistycznym założeniom oraz optymalnym wskaźnikom finansowym, ta innowacyjna platforma AI ma ogromny potencjał wzrostu i zdolność adaptacji do zmieniających się warunków rynkowych. Z każdą kolejna fazą planowana jest zarówno eksploatacja nowych możliwości technologicznych, jak i optymalizacja już istniejących funkcji.</w:t>
      </w:r>
    </w:p>
    <w:p>
      <w:pPr>
        <w:pStyle w:val="BodyText"/>
        <w:spacing w:after="60"/>
      </w:pPr>
      <w:r>
        <w:rPr>
          <w:rFonts w:ascii="Inter" w:cs="Inter" w:eastAsia="Inter" w:hAnsi="Inter"/>
        </w:rPr>
        <w:t xml:space="preserve">1. Faza 1 (2023): Opracowanie prototypu platformy oraz testy wstępne z kluczowymi klientami.</w:t>
      </w:r>
    </w:p>
    <w:p>
      <w:pPr>
        <w:pStyle w:val="BodyText"/>
        <w:spacing w:after="60"/>
      </w:pPr>
      <w:r>
        <w:rPr>
          <w:rFonts w:ascii="Inter" w:cs="Inter" w:eastAsia="Inter" w:hAnsi="Inter"/>
        </w:rPr>
        <w:t xml:space="preserve">2. Faza 2 (2024): Rozszerzenie funkcjonalności oraz skalowanie infrastruktury technologicznej.</w:t>
      </w:r>
    </w:p>
    <w:p>
      <w:pPr>
        <w:pStyle w:val="BodyText"/>
        <w:spacing w:after="60"/>
      </w:pPr>
      <w:r>
        <w:rPr>
          <w:rFonts w:ascii="Inter" w:cs="Inter" w:eastAsia="Inter" w:hAnsi="Inter"/>
        </w:rPr>
        <w:t xml:space="preserve">3. Faza 3 (2025): Wejście na nowe rynki geograficzne oraz rozwój partnerstw strategicznych.</w:t>
      </w:r>
    </w:p>
    <w:p>
      <w:pPr>
        <w:pStyle w:val="BodyText"/>
        <w:spacing w:after="60"/>
      </w:pPr>
      <w:r>
        <w:rPr>
          <w:rFonts w:ascii="Inter" w:cs="Inter" w:eastAsia="Inter" w:hAnsi="Inter"/>
        </w:rPr>
        <w:t xml:space="preserve">4. Faza 4 (2026): Optymalizacja kosztów operacyjnych oraz wprowadzenie zaawansowanych narzędzi analitycznych.</w:t>
      </w:r>
    </w:p>
    <w:p>
      <w:pPr>
        <w:pStyle w:val="Heading1"/>
        <w:pStyle w:val="Heading1"/>
      </w:pPr>
      <w:r>
        <w:rPr>
          <w:rFonts w:ascii="Merriweather" w:cs="Merriweather" w:eastAsia="Merriweather" w:hAnsi="Merriweather"/>
        </w:rPr>
        <w:t xml:space="preserve">Sources &amp; traceability</w:t>
      </w:r>
    </w:p>
    <w:p>
      <w:pPr>
        <w:pStyle w:val="AssumptionBody"/>
      </w:pPr>
      <w:r>
        <w:rPr>
          <w:rFonts w:ascii="Inter" w:cs="Inter" w:eastAsia="Inter" w:hAnsi="Inter"/>
        </w:rPr>
        <w:t xml:space="preserve">No sources attached. Substantive content blocks are flagged as assumptions and require a source pack before client distribution.</w:t>
      </w:r>
    </w:p>
    <w:sectPr>
      <w:headerReference w:type="default" r:id="rId7"/>
      <w:footerReference w:type="default" r:id="rId8"/>
      <w:pgSz w:w="11906" w:h="16838" w:orient="portrait"/>
      <w:pgMar w:top="1134" w:right="1304" w:bottom="1134" w:left="130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Inter" w:cs="Inter" w:eastAsia="Inter" w:hAnsi="Inter"/>
        <w:color w:val="94A3B8"/>
        <w:sz w:val="16"/>
        <w:szCs w:val="16"/>
      </w:rPr>
      <w:t xml:space="preserve">client confidential</w:t>
    </w:r>
    <w:r>
      <w:rPr>
        <w:rFonts w:ascii="Inter" w:cs="Inter" w:eastAsia="Inter" w:hAnsi="Inter"/>
        <w:color w:val="94A3B8"/>
        <w:sz w:val="16"/>
        <w:szCs w:val="16"/>
      </w:rPr>
      <w:t xml:space="preserve">   |   </w:t>
    </w:r>
    <w:r>
      <w:rPr>
        <w:rFonts w:ascii="Inter" w:cs="Inter" w:eastAsia="Inter" w:hAnsi="Inter"/>
        <w:color w:val="94A3B8"/>
        <w:sz w:val="16"/>
        <w:szCs w:val="16"/>
      </w:rPr>
      <w:t xml:space="preserve">Page </w:t>
    </w:r>
    <w:r>
      <w:rPr>
        <w:rFonts w:ascii="Inter" w:cs="Inter" w:eastAsia="Inter" w:hAnsi="Inter"/>
        <w:color w:val="94A3B8"/>
        <w:sz w:val="16"/>
        <w:szCs w:val="16"/>
      </w:rPr>
      <w:fldChar w:fldCharType="begin"/>
      <w:instrText xml:space="preserve">PAGE</w:instrText>
      <w:fldChar w:fldCharType="separate"/>
      <w:fldChar w:fldCharType="end"/>
    </w:r>
    <w:r>
      <w:rPr>
        <w:rFonts w:ascii="Inter" w:cs="Inter" w:eastAsia="Inter" w:hAnsi="Inter"/>
        <w:color w:val="94A3B8"/>
        <w:sz w:val="16"/>
        <w:szCs w:val="16"/>
      </w:rPr>
      <w:t xml:space="preserve"> / </w:t>
    </w:r>
    <w:r>
      <w:rPr>
        <w:rFonts w:ascii="Inter" w:cs="Inter" w:eastAsia="Inter" w:hAnsi="Inter"/>
        <w:color w:val="94A3B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Inter" w:cs="Inter" w:eastAsia="Inter" w:hAnsi="Inter"/>
        <w:color w:val="64748B"/>
        <w:sz w:val="18"/>
        <w:szCs w:val="18"/>
      </w:rPr>
      <w:t xml:space="preserve">AI Platform Solutions — Biznesplan inwestorski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40" w:before="280"/>
    </w:pPr>
    <w:rPr>
      <w:rFonts w:ascii="Merriweather" w:cs="Merriweather" w:eastAsia="Merriweather" w:hAnsi="Merriweather"/>
      <w:b/>
      <w:bCs/>
      <w:color w:val="0F172A"/>
      <w:sz w:val="34"/>
      <w:szCs w:val="34"/>
    </w:rPr>
  </w:style>
  <w:style w:type="paragraph" w:styleId="Heading2">
    <w:name w:val="Heading 2"/>
    <w:basedOn w:val="Normal"/>
    <w:next w:val="Normal"/>
    <w:qFormat/>
    <w:pPr>
      <w:spacing w:after="110" w:before="220"/>
    </w:pPr>
    <w:rPr>
      <w:rFonts w:ascii="Merriweather" w:cs="Merriweather" w:eastAsia="Merriweather" w:hAnsi="Merriweather"/>
      <w:b/>
      <w:bCs/>
      <w:color w:val="1E293B"/>
      <w:sz w:val="28"/>
      <w:szCs w:val="28"/>
    </w:rPr>
  </w:style>
  <w:style w:type="paragraph" w:styleId="Heading3">
    <w:name w:val="Heading 3"/>
    <w:basedOn w:val="Normal"/>
    <w:next w:val="Normal"/>
    <w:qFormat/>
    <w:pPr>
      <w:spacing w:after="90" w:before="180"/>
    </w:pPr>
    <w:rPr>
      <w:rFonts w:ascii="Merriweather" w:cs="Merriweather" w:eastAsia="Merriweather" w:hAnsi="Merriweather"/>
      <w:b/>
      <w:bCs/>
      <w:color w:val="334155"/>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DocStudioTitle">
    <w:name w:val="Doc Studio Title"/>
    <w:basedOn w:val="Normal"/>
    <w:next w:val="Subtitle"/>
    <w:qFormat/>
    <w:pPr>
      <w:spacing w:after="200" w:before="600"/>
      <w:jc w:val="center"/>
    </w:pPr>
    <w:rPr>
      <w:rFonts w:ascii="Merriweather" w:cs="Merriweather" w:eastAsia="Merriweather" w:hAnsi="Merriweather"/>
      <w:b/>
      <w:bCs/>
      <w:color w:val="0F172A"/>
      <w:sz w:val="56"/>
      <w:szCs w:val="56"/>
    </w:rPr>
  </w:style>
  <w:style w:type="paragraph" w:styleId="Subtitle">
    <w:name w:val="Subtitle"/>
    <w:basedOn w:val="Normal"/>
    <w:next w:val="BodyText"/>
    <w:qFormat/>
    <w:pPr>
      <w:spacing w:after="80"/>
      <w:jc w:val="center"/>
    </w:pPr>
    <w:rPr>
      <w:rFonts w:ascii="Inter" w:cs="Inter" w:eastAsia="Inter" w:hAnsi="Inter"/>
      <w:i/>
      <w:iCs/>
      <w:color w:val="475569"/>
      <w:sz w:val="26"/>
      <w:szCs w:val="26"/>
    </w:rPr>
  </w:style>
  <w:style w:type="paragraph" w:styleId="Heading1">
    <w:name w:val="Heading 1"/>
    <w:basedOn w:val="Normal"/>
    <w:next w:val="BodyText"/>
    <w:qFormat/>
    <w:pPr>
      <w:spacing w:after="140" w:before="280"/>
    </w:pPr>
    <w:rPr>
      <w:rFonts w:ascii="Merriweather" w:cs="Merriweather" w:eastAsia="Merriweather" w:hAnsi="Merriweather"/>
      <w:b/>
      <w:bCs/>
      <w:color w:val="0F172A"/>
      <w:sz w:val="34"/>
      <w:szCs w:val="34"/>
    </w:rPr>
  </w:style>
  <w:style w:type="paragraph" w:styleId="Heading2">
    <w:name w:val="Heading 2"/>
    <w:basedOn w:val="Normal"/>
    <w:next w:val="BodyText"/>
    <w:qFormat/>
    <w:pPr>
      <w:spacing w:after="110" w:before="220"/>
    </w:pPr>
    <w:rPr>
      <w:rFonts w:ascii="Merriweather" w:cs="Merriweather" w:eastAsia="Merriweather" w:hAnsi="Merriweather"/>
      <w:b/>
      <w:bCs/>
      <w:color w:val="1E293B"/>
      <w:sz w:val="28"/>
      <w:szCs w:val="28"/>
    </w:rPr>
  </w:style>
  <w:style w:type="paragraph" w:styleId="Heading3">
    <w:name w:val="Heading 3"/>
    <w:basedOn w:val="Normal"/>
    <w:next w:val="BodyText"/>
    <w:qFormat/>
    <w:pPr>
      <w:spacing w:after="90" w:before="180"/>
    </w:pPr>
    <w:rPr>
      <w:rFonts w:ascii="Merriweather" w:cs="Merriweather" w:eastAsia="Merriweather" w:hAnsi="Merriweather"/>
      <w:b/>
      <w:bCs/>
      <w:color w:val="334155"/>
      <w:sz w:val="23"/>
      <w:szCs w:val="23"/>
    </w:rPr>
  </w:style>
  <w:style w:type="paragraph" w:styleId="BodyText">
    <w:name w:val="Body Text"/>
    <w:basedOn w:val="Normal"/>
    <w:next w:val="BodyText"/>
    <w:qFormat/>
    <w:pPr>
      <w:spacing w:after="120"/>
    </w:pPr>
    <w:rPr>
      <w:rFonts w:ascii="Inter" w:cs="Inter" w:eastAsia="Inter" w:hAnsi="Inter"/>
      <w:color w:val="0F172A"/>
      <w:sz w:val="22"/>
      <w:szCs w:val="22"/>
    </w:rPr>
  </w:style>
  <w:style w:type="paragraph" w:styleId="BlockQuote">
    <w:name w:val="Block Quote"/>
    <w:basedOn w:val="BodyText"/>
    <w:next w:val="BodyText"/>
    <w:pPr>
      <w:spacing w:after="120" w:before="80"/>
      <w:ind w:left="360"/>
    </w:pPr>
    <w:rPr>
      <w:rFonts w:ascii="Inter" w:cs="Inter" w:eastAsia="Inter" w:hAnsi="Inter"/>
      <w:i/>
      <w:iCs/>
      <w:color w:val="475569"/>
      <w:sz w:val="22"/>
      <w:szCs w:val="22"/>
    </w:rPr>
  </w:style>
  <w:style w:type="paragraph" w:styleId="Caption">
    <w:name w:val="Caption"/>
    <w:basedOn w:val="Normal"/>
    <w:next w:val="BodyText"/>
    <w:pPr>
      <w:spacing w:after="120" w:before="60"/>
    </w:pPr>
    <w:rPr>
      <w:rFonts w:ascii="Inter" w:cs="Inter" w:eastAsia="Inter" w:hAnsi="Inter"/>
      <w:i/>
      <w:iCs/>
      <w:color w:val="64748B"/>
      <w:sz w:val="18"/>
      <w:szCs w:val="18"/>
    </w:rPr>
  </w:style>
  <w:style w:type="paragraph" w:styleId="DocStudioFootnote">
    <w:name w:val="Doc Studio Footnote"/>
    <w:basedOn w:val="Normal"/>
    <w:next w:val="BodyText"/>
    <w:pPr>
      <w:spacing w:after="40"/>
    </w:pPr>
    <w:rPr>
      <w:rFonts w:ascii="Inter" w:cs="Inter" w:eastAsia="Inter" w:hAnsi="Inter"/>
      <w:color w:val="475569"/>
      <w:sz w:val="18"/>
      <w:szCs w:val="18"/>
    </w:rPr>
  </w:style>
  <w:style w:type="paragraph" w:styleId="AssumptionBody">
    <w:name w:val="Assumption Body"/>
    <w:basedOn w:val="BodyText"/>
    <w:next w:val="BodyText"/>
    <w:pPr>
      <w:spacing w:after="120"/>
    </w:pPr>
    <w:rPr>
      <w:rFonts w:ascii="Inter" w:cs="Inter" w:eastAsia="Inter" w:hAnsi="Inter"/>
      <w:i/>
      <w:iCs/>
      <w:color w:val="92400E"/>
      <w:sz w:val="22"/>
      <w:szCs w:val="22"/>
    </w:rPr>
  </w:style>
  <w:style w:type="paragraph" w:styleId="Callout">
    <w:name w:val="Callout"/>
    <w:basedOn w:val="BodyText"/>
    <w:next w:val="BodyText"/>
    <w:pPr>
      <w:spacing w:after="120" w:before="80"/>
      <w:ind w:left="240"/>
    </w:pPr>
    <w:rPr>
      <w:rFonts w:ascii="Inter" w:cs="Inter" w:eastAsia="Inter" w:hAnsi="Inter"/>
      <w:color w:val="0F172A"/>
      <w:sz w:val="22"/>
      <w:szCs w:val="22"/>
    </w:rPr>
  </w:style>
  <w:style w:type="paragraph" w:styleId="SourceList">
    <w:name w:val="Source List"/>
    <w:basedOn w:val="BodyText"/>
    <w:next w:val="SourceList"/>
    <w:pPr>
      <w:spacing w:after="60"/>
    </w:pPr>
    <w:rPr>
      <w:rFonts w:ascii="Inter" w:cs="Inter" w:eastAsia="Inter" w:hAnsi="Inter"/>
      <w:color w:val="0F172A"/>
      <w:sz w:val="22"/>
      <w:szCs w:val="22"/>
    </w:rPr>
  </w:style>
  <w:style w:type="paragraph" w:styleId="TOCHeading">
    <w:name w:val="TOC Heading"/>
    <w:basedOn w:val="Heading1"/>
    <w:next w:val="BodyText"/>
    <w:qFormat/>
    <w:pPr>
      <w:spacing w:after="140" w:before="280"/>
    </w:pPr>
    <w:rPr>
      <w:rFonts w:ascii="Merriweather" w:cs="Merriweather" w:eastAsia="Merriweather" w:hAnsi="Merriweather"/>
      <w:b/>
      <w:bCs/>
      <w:color w:val="0F172A"/>
      <w:sz w:val="34"/>
      <w:szCs w:val="3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36d132c15f6fa8487a1ff577ccef09219a0b83f.png"/><Relationship Id="rId10" Type="http://schemas.openxmlformats.org/officeDocument/2006/relationships/image" Target="media/025408a9d1c7646e2eaa31803783141a4ba3ba98.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Platform Solutions — Biznesplan inwestorski</dc:title>
  <dc:creator>Consultify Document Studio</dc:creator>
  <dc:description>Consultify Document Studio · steering_committee_report · executive</dc:description>
  <cp:lastModifiedBy>Un-named</cp:lastModifiedBy>
  <cp:revision>1</cp:revision>
  <dcterms:created xsi:type="dcterms:W3CDTF">2026-06-28T05:40:16.057Z</dcterms:created>
  <dcterms:modified xsi:type="dcterms:W3CDTF">2026-06-28T05:40:16.057Z</dcterms:modified>
</cp:coreProperties>
</file>

<file path=docProps/custom.xml><?xml version="1.0" encoding="utf-8"?>
<Properties xmlns="http://schemas.openxmlformats.org/officeDocument/2006/custom-properties" xmlns:vt="http://schemas.openxmlformats.org/officeDocument/2006/docPropsVTypes"/>
</file>