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ptos" w:cs="Aptos" w:eastAsia="Aptos" w:hAnsi="Aptos"/>
          <w:b/>
          <w:bCs/>
          <w:color w:val="1B2A41"/>
          <w:sz w:val="19"/>
          <w:szCs w:val="19"/>
        </w:rPr>
        <w:t xml:space="preserve">Consultify · DBR77</w:t>
      </w:r>
    </w:p>
    <w:p>
      <w:pPr>
        <w:pBdr>
          <w:top w:val="single" w:color="D8DEE8" w:sz="4"/>
          <w:bottom w:val="single" w:color="D8DEE8" w:sz="4"/>
          <w:left w:val="single" w:color="D8DEE8" w:sz="4"/>
          <w:right w:val="single" w:color="D8DEE8" w:sz="4"/>
        </w:pBdr>
        <w:spacing w:after="1280" w:before="80"/>
        <w:jc w:val="right"/>
      </w:pPr>
      <w:r>
        <w:rPr>
          <w:rFonts w:ascii="Aptos" w:cs="Aptos" w:eastAsia="Aptos" w:hAnsi="Aptos"/>
          <w:color w:val="667085"/>
          <w:sz w:val="18"/>
          <w:szCs w:val="18"/>
        </w:rPr>
        <w:t xml:space="preserve">[ CLIENT LOGO ]</w:t>
      </w:r>
    </w:p>
    <w:p>
      <w:pPr>
        <w:spacing w:after="180"/>
      </w:pPr>
      <w:r>
        <w:rPr>
          <w:rFonts w:ascii="Aptos" w:cs="Aptos" w:eastAsia="Aptos" w:hAnsi="Aptos"/>
          <w:b/>
          <w:bCs/>
          <w:color w:val="2563EB"/>
          <w:sz w:val="18"/>
          <w:szCs w:val="18"/>
        </w:rPr>
        <w:t xml:space="preserve">C L I E N T   F I N A L   R E P O R T</w:t>
      </w:r>
    </w:p>
    <w:p>
      <w:pPr>
        <w:spacing w:after="220"/>
      </w:pPr>
      <w:r>
        <w:rPr>
          <w:rFonts w:ascii="Aptos Display" w:cs="Aptos Display" w:eastAsia="Aptos Display" w:hAnsi="Aptos Display"/>
          <w:b/>
          <w:bCs/>
          <w:color w:val="1B2A41"/>
          <w:sz w:val="60"/>
          <w:szCs w:val="60"/>
        </w:rPr>
        <w:t xml:space="preserve">Northwind transformation report</w:t>
      </w:r>
    </w:p>
    <w:p>
      <w:pPr>
        <w:pBdr>
          <w:bottom w:val="single" w:color="2563EB" w:sz="18"/>
        </w:pBdr>
        <w:spacing w:after="240"/>
      </w:pPr>
      <w:r>
        <w:rPr>
          <w:rFonts w:ascii="Aptos" w:cs="Aptos" w:eastAsia="Aptos" w:hAnsi="Aptos"/>
        </w:rPr>
        <w:t xml:space="preserve"/>
      </w:r>
    </w:p>
    <w:p>
      <w:pPr>
        <w:spacing w:after="80"/>
      </w:pPr>
      <w:r>
        <w:rPr>
          <w:rFonts w:ascii="Aptos" w:cs="Aptos" w:eastAsia="Aptos" w:hAnsi="Aptos"/>
          <w:color w:val="101828"/>
          <w:sz w:val="28"/>
          <w:szCs w:val="28"/>
        </w:rPr>
        <w:t xml:space="preserve">Northwind Manufacturing Ltd.</w:t>
      </w:r>
    </w:p>
    <w:p>
      <w:pPr>
        <w:spacing w:after="80"/>
      </w:pPr>
      <w:r>
        <w:rPr>
          <w:rFonts w:ascii="Aptos" w:cs="Aptos" w:eastAsia="Aptos" w:hAnsi="Aptos"/>
          <w:color w:val="667085"/>
          <w:sz w:val="19"/>
          <w:szCs w:val="19"/>
        </w:rPr>
        <w:t xml:space="preserve">16 September 2026  ·  Version 1.0  ·  Confidential</w:t>
      </w:r>
    </w:p>
    <w:p>
      <w:pPr>
        <w:spacing w:after="9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5"/>
            </w:pPr>
            <w:r>
              <w:rPr>
                <w:rFonts w:ascii="Aptos" w:cs="Aptos" w:eastAsia="Aptos" w:hAnsi="Aptos"/>
                <w:b/>
                <w:bCs/>
                <w:color w:val="667085"/>
                <w:sz w:val="16"/>
                <w:szCs w:val="16"/>
              </w:rPr>
              <w:t xml:space="preserve">PREPARED FOR</w:t>
            </w:r>
          </w:p>
          <w:p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Client Sponsor, Executive Team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5"/>
            </w:pPr>
            <w:r>
              <w:rPr>
                <w:rFonts w:ascii="Aptos" w:cs="Aptos" w:eastAsia="Aptos" w:hAnsi="Aptos"/>
                <w:b/>
                <w:bCs/>
                <w:color w:val="667085"/>
                <w:sz w:val="16"/>
                <w:szCs w:val="16"/>
              </w:rPr>
              <w:t xml:space="preserve">PREPARED BY</w:t>
            </w:r>
          </w:p>
          <w:p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Consultify · DBR77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5"/>
            </w:pPr>
            <w:r>
              <w:rPr>
                <w:rFonts w:ascii="Aptos" w:cs="Aptos" w:eastAsia="Aptos" w:hAnsi="Aptos"/>
                <w:b/>
                <w:bCs/>
                <w:color w:val="66708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ptos" w:cs="Aptos" w:eastAsia="Aptos" w:hAnsi="Aptos"/>
                <w:color w:val="101828"/>
                <w:sz w:val="19"/>
                <w:szCs w:val="19"/>
              </w:rPr>
              <w:t xml:space="preserve">Northwind steering snapshot (northwind-steering-snapshot)</w:t>
            </w:r>
          </w:p>
        </w:tc>
      </w:tr>
    </w:tbl>
    <w:p>
      <w:r>
        <w:br w:type="page"/>
      </w:r>
    </w:p>
    <w:p>
      <w:pPr>
        <w:pStyle w:val="TOCHeading"/>
      </w:pPr>
      <w:r>
        <w:rPr>
          <w:rFonts w:ascii="Aptos Display" w:cs="Aptos Display" w:eastAsia="Aptos Display" w:hAnsi="Aptos Display"/>
        </w:rPr>
        <w:t xml:space="preserve">Table of Contents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1. Executive summary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2. Context and scope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3. Methodology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4. Findings by axis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5. Maturity matrix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6. Recommendations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7. Roadmap</w:t>
      </w:r>
    </w:p>
    <w:p>
      <w:pPr>
        <w:pStyle w:val="BodyText"/>
        <w:keepNext/>
        <w:spacing w:after="80"/>
        <w:ind w:left="0"/>
      </w:pPr>
      <w:r>
        <w:rPr>
          <w:rFonts w:ascii="Aptos" w:cs="Aptos" w:eastAsia="Aptos" w:hAnsi="Aptos"/>
        </w:rPr>
        <w:t xml:space="preserve">Appendix A — Appendix</w:t>
      </w:r>
    </w:p>
    <w:p>
      <w:pPr>
        <w:pStyle w:val="BodyText"/>
        <w:pBdr>
          <w:bottom w:val="single" w:color="94A3B8" w:sz="4" w:space="1"/>
        </w:pBdr>
        <w:spacing w:after="160"/>
      </w:pPr>
      <w:r>
        <w:rPr>
          <w:rFonts w:ascii="Aptos" w:cs="Aptos" w:eastAsia="Aptos" w:hAnsi="Aptos"/>
        </w:rPr>
        <w:t xml:space="preserve"/>
      </w:r>
    </w:p>
    <w:p>
      <w:r>
        <w:br w:type="page"/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1. </w:t>
      </w:r>
      <w:r>
        <w:rPr>
          <w:rFonts w:ascii="Aptos Display" w:cs="Aptos Display" w:eastAsia="Aptos Display" w:hAnsi="Aptos Display"/>
          <w:color w:val="1B2A41"/>
        </w:rPr>
        <w:t xml:space="preserve">Executive summary</w:t>
      </w:r>
    </w:p>
    <w:p>
      <w:pPr>
        <w:pStyle w:val="Heading3"/>
        <w:pStyle w:val="Heading3"/>
      </w:pPr>
      <w:r>
        <w:rPr>
          <w:rFonts w:ascii="Aptos Display" w:cs="Aptos Display" w:eastAsia="Aptos Display" w:hAnsi="Aptos Display"/>
        </w:rPr>
        <w:t xml:space="preserve">Key message</w:t>
      </w:r>
    </w:p>
    <w:p>
      <w:pPr>
        <w:pStyle w:val="BodyText"/>
      </w:pPr>
      <w:r>
        <w:rPr>
          <w:rFonts w:ascii="Aptos" w:cs="Aptos" w:eastAsia="Aptos" w:hAnsi="Aptos"/>
        </w:rPr>
        <w:t xml:space="preserve">Delivery confidence can recover within four weeks when capacity and blockers are reviewed weekly.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OEE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76.2%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78.0%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Critical milestones protected</w:t>
            </w:r>
          </w:p>
        </w:tc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5</w:t>
            </w:r>
          </w:p>
        </w:tc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7</w:t>
            </w:r>
          </w:p>
        </w:tc>
      </w:tr>
    </w:tbl>
    <w:p>
      <w:pPr>
        <w:pStyle w:val="Caption"/>
      </w:pPr>
      <w:r>
        <w:rPr>
          <w:rFonts w:ascii="Aptos" w:cs="Aptos" w:eastAsia="Aptos" w:hAnsi="Aptos"/>
        </w:rPr>
        <w:t xml:space="preserve">Table 1</w:t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2. </w:t>
      </w:r>
      <w:r>
        <w:rPr>
          <w:rFonts w:ascii="Aptos Display" w:cs="Aptos Display" w:eastAsia="Aptos Display" w:hAnsi="Aptos Display"/>
          <w:color w:val="1B2A41"/>
        </w:rPr>
        <w:t xml:space="preserve">Context and scope</w:t>
      </w:r>
    </w:p>
    <w:p>
      <w:pPr>
        <w:pStyle w:val="BodyText"/>
      </w:pPr>
      <w:r>
        <w:rPr>
          <w:rFonts w:ascii="Aptos" w:cs="Aptos" w:eastAsia="Aptos" w:hAnsi="Aptos"/>
        </w:rPr>
        <w:t xml:space="preserve">The review covers Line 3 delivery, capacity and weekly steering evidence.</w:t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3. </w:t>
      </w:r>
      <w:r>
        <w:rPr>
          <w:rFonts w:ascii="Aptos Display" w:cs="Aptos Display" w:eastAsia="Aptos Display" w:hAnsi="Aptos Display"/>
          <w:color w:val="1B2A41"/>
        </w:rPr>
        <w:t xml:space="preserve">Methodology</w:t>
      </w:r>
    </w:p>
    <w:p>
      <w:pPr>
        <w:pStyle w:val="BodyText"/>
      </w:pPr>
      <w:r>
        <w:rPr>
          <w:rFonts w:ascii="Aptos" w:cs="Aptos" w:eastAsia="Aptos" w:hAnsi="Aptos"/>
        </w:rPr>
        <w:t xml:space="preserve">Review milestones and validate capacity by person and week.</w:t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4. </w:t>
      </w:r>
      <w:r>
        <w:rPr>
          <w:rFonts w:ascii="Aptos Display" w:cs="Aptos Display" w:eastAsia="Aptos Display" w:hAnsi="Aptos Display"/>
          <w:color w:val="1B2A41"/>
        </w:rPr>
        <w:t xml:space="preserve">Findings by axis</w:t>
      </w:r>
    </w:p>
    <w:p>
      <w:pPr>
        <w:pStyle w:val="BodyText"/>
      </w:pPr>
      <w:r>
        <w:rPr>
          <w:rFonts w:ascii="Aptos" w:cs="Aptos" w:eastAsia="Aptos" w:hAnsi="Aptos"/>
        </w:rPr>
        <w:t xml:space="preserve">Delivery risk is concentrated in two work cells; three blockers need sponsor decisions.</w:t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5. </w:t>
      </w:r>
      <w:r>
        <w:rPr>
          <w:rFonts w:ascii="Aptos Display" w:cs="Aptos Display" w:eastAsia="Aptos Display" w:hAnsi="Aptos Display"/>
          <w:color w:val="1B2A41"/>
        </w:rPr>
        <w:t xml:space="preserve">Maturity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Delivery governance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2.8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3.5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Data discipline</w:t>
            </w:r>
          </w:p>
        </w:tc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3.1</w:t>
            </w:r>
          </w:p>
        </w:tc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3.8</w:t>
            </w:r>
          </w:p>
        </w:tc>
      </w:tr>
    </w:tbl>
    <w:p>
      <w:pPr>
        <w:pStyle w:val="Caption"/>
      </w:pPr>
      <w:r>
        <w:rPr>
          <w:rFonts w:ascii="Aptos" w:cs="Aptos" w:eastAsia="Aptos" w:hAnsi="Aptos"/>
        </w:rPr>
        <w:t xml:space="preserve">Table 2</w:t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6. </w:t>
      </w:r>
      <w:r>
        <w:rPr>
          <w:rFonts w:ascii="Aptos Display" w:cs="Aptos Display" w:eastAsia="Aptos Display" w:hAnsi="Aptos Display"/>
          <w:color w:val="1B2A41"/>
        </w:rPr>
        <w:t xml:space="preserve">Recommendations</w:t>
      </w:r>
    </w:p>
    <w:p>
      <w:pPr>
        <w:pStyle w:val="BodyText"/>
        <w:numPr>
          <w:ilvl w:val="0"/>
          <w:numId w:val="2"/>
        </w:numPr>
        <w:spacing w:after="60"/>
      </w:pPr>
      <w:r>
        <w:rPr>
          <w:rFonts w:ascii="Aptos" w:cs="Aptos" w:eastAsia="Aptos" w:hAnsi="Aptos"/>
        </w:rPr>
        <w:t xml:space="preserve">Protect the seven customer milestones.</w:t>
      </w:r>
    </w:p>
    <w:p>
      <w:pPr>
        <w:pStyle w:val="BodyText"/>
        <w:numPr>
          <w:ilvl w:val="0"/>
          <w:numId w:val="2"/>
        </w:numPr>
        <w:spacing w:after="60"/>
      </w:pPr>
      <w:r>
        <w:rPr>
          <w:rFonts w:ascii="Aptos" w:cs="Aptos" w:eastAsia="Aptos" w:hAnsi="Aptos"/>
        </w:rPr>
        <w:t xml:space="preserve">Review capacity constraints every Friday.</w:t>
      </w:r>
    </w:p>
    <w:p>
      <w:pPr>
        <w:pStyle w:val="Heading1"/>
        <w:pStyle w:val="Heading1"/>
        <w:keepNext/>
      </w:pPr>
      <w:r>
        <w:rPr>
          <w:rFonts w:ascii="Aptos Display" w:cs="Aptos Display" w:eastAsia="Aptos Display" w:hAnsi="Aptos Display"/>
          <w:color w:val="2563EB"/>
        </w:rPr>
        <w:t xml:space="preserve">7. </w:t>
      </w:r>
      <w:r>
        <w:rPr>
          <w:rFonts w:ascii="Aptos Display" w:cs="Aptos Display" w:eastAsia="Aptos Display" w:hAnsi="Aptos Display"/>
          <w:color w:val="1B2A41"/>
        </w:rPr>
        <w:t xml:space="preserve">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shd w:fill="1B2A41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rPr>
          <w:cantSplit/>
        </w:trPr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MES Line 3 pilot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COO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Weeks 1–4</w:t>
            </w:r>
          </w:p>
        </w:tc>
      </w:tr>
      <w:tr>
        <w:trPr>
          <w:cantSplit/>
        </w:trPr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Capacity review</w:t>
            </w:r>
          </w:p>
        </w:tc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PMO</w:t>
            </w:r>
          </w:p>
        </w:tc>
        <w:tc>
          <w:tcPr>
            <w:shd w:fill="F1F4F8"/>
          </w:tcPr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Weekly</w:t>
            </w:r>
          </w:p>
        </w:tc>
      </w:tr>
      <w:tr>
        <w:trPr>
          <w:cantSplit/>
        </w:trPr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Evidence readback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Quality Lead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Week 2</w:t>
            </w:r>
          </w:p>
        </w:tc>
      </w:tr>
    </w:tbl>
    <w:p>
      <w:pPr>
        <w:pStyle w:val="Caption"/>
      </w:pPr>
      <w:r>
        <w:rPr>
          <w:rFonts w:ascii="Aptos" w:cs="Aptos" w:eastAsia="Aptos" w:hAnsi="Aptos"/>
        </w:rPr>
        <w:t xml:space="preserve">Table 3</w:t>
      </w:r>
    </w:p>
    <w:p>
      <w:pPr>
        <w:pStyle w:val="Heading1"/>
        <w:pStyle w:val="Heading1"/>
        <w:keepNext/>
        <w:pageBreakBefore/>
      </w:pPr>
      <w:r>
        <w:rPr>
          <w:rFonts w:ascii="Aptos Display" w:cs="Aptos Display" w:eastAsia="Aptos Display" w:hAnsi="Aptos Display"/>
          <w:color w:val="2563EB"/>
        </w:rPr>
        <w:t xml:space="preserve">Appendix A — </w:t>
      </w:r>
      <w:r>
        <w:rPr>
          <w:rFonts w:ascii="Aptos Display" w:cs="Aptos Display" w:eastAsia="Aptos Display" w:hAnsi="Aptos Display"/>
          <w:color w:val="1B2A41"/>
        </w:rPr>
        <w:t xml:space="preserve">Appendix</w:t>
      </w:r>
    </w:p>
    <w:p>
      <w:pPr>
        <w:pStyle w:val="Heading3"/>
        <w:pStyle w:val="Heading3"/>
      </w:pPr>
      <w:r>
        <w:rPr>
          <w:rFonts w:ascii="Aptos Display" w:cs="Aptos Display" w:eastAsia="Aptos Display" w:hAnsi="Aptos Display"/>
        </w:rPr>
        <w:t xml:space="preserve">Decision log</w:t>
      </w:r>
    </w:p>
    <w:p>
      <w:pPr>
        <w:pStyle w:val="BodyText"/>
      </w:pPr>
      <w:r>
        <w:rPr>
          <w:rFonts w:ascii="Aptos" w:cs="Aptos" w:eastAsia="Aptos" w:hAnsi="Aptos"/>
        </w:rPr>
        <w:t xml:space="preserve">The steering team approved the four-week recovery sequence.</w:t>
      </w:r>
    </w:p>
    <w:p>
      <w:pPr>
        <w:pStyle w:val="Heading3"/>
        <w:pStyle w:val="Heading3"/>
      </w:pPr>
      <w:r>
        <w:rPr>
          <w:rFonts w:ascii="Aptos Display" w:cs="Aptos Display" w:eastAsia="Aptos Display" w:hAnsi="Aptos Display"/>
        </w:rPr>
        <w:t xml:space="preserve">Sources</w:t>
      </w:r>
    </w:p>
    <w:p>
      <w:pPr>
        <w:pStyle w:val="BodyText"/>
      </w:pPr>
      <w:r>
        <w:rPr>
          <w:rFonts w:ascii="Aptos" w:cs="Aptos" w:eastAsia="Aptos" w:hAnsi="Aptos"/>
        </w:rPr>
        <w:t xml:space="preserve">Northwind steering snapshot and decision log.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Sources &amp; traceability</w:t>
      </w:r>
    </w:p>
    <w:p>
      <w:pPr>
        <w:pStyle w:val="SourceList"/>
      </w:pPr>
      <w:r>
        <w:rPr>
          <w:rFonts w:ascii="Aptos" w:cs="Aptos" w:eastAsia="Aptos" w:hAnsi="Aptos"/>
          <w:b/>
          <w:bCs/>
        </w:rPr>
        <w:t xml:space="preserve">1. </w:t>
      </w:r>
      <w:r>
        <w:rPr>
          <w:rFonts w:ascii="Aptos" w:cs="Aptos" w:eastAsia="Aptos" w:hAnsi="Aptos"/>
        </w:rPr>
        <w:t xml:space="preserve">source_pack#northwind-steering-snapshot — Northwind steering snapshot</w:t>
      </w:r>
    </w:p>
    <w:p>
      <w:pPr>
        <w:pStyle w:val="SourceList"/>
      </w:pPr>
      <w:r>
        <w:rPr>
          <w:rFonts w:ascii="Aptos" w:cs="Aptos" w:eastAsia="Aptos" w:hAnsi="Aptos"/>
          <w:b/>
          <w:bCs/>
        </w:rPr>
        <w:t xml:space="preserve">2. </w:t>
      </w:r>
      <w:r>
        <w:rPr>
          <w:rFonts w:ascii="Aptos" w:cs="Aptos" w:eastAsia="Aptos" w:hAnsi="Aptos"/>
        </w:rPr>
        <w:t xml:space="preserve">decision_log#northwind-decision-log — Northwind decision log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304" w:bottom="1134" w:left="130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family w:val="swiss"/>
    <w:pitch w:val="variable"/>
  </w:font>
  <w:font w:name="Aptos Display">
    <w:altName w:val="Arial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8" w:sz="4" w:space="6"/>
      </w:pBdr>
      <w:tabs>
        <w:tab w:val="right" w:pos="9300"/>
      </w:tabs>
    </w:pPr>
    <w:r>
      <w:rPr>
        <w:rFonts w:ascii="Aptos" w:cs="Aptos" w:eastAsia="Aptos" w:hAnsi="Aptos"/>
        <w:color w:val="667085"/>
        <w:sz w:val="16"/>
        <w:szCs w:val="16"/>
      </w:rPr>
      <w:t xml:space="preserve">Consultify · Northwind Manufacturing Ltd. · Confidential</w:t>
    </w:r>
    <w:r>
      <w:rPr>
        <w:rFonts w:ascii="Aptos" w:cs="Aptos" w:eastAsia="Aptos" w:hAnsi="Aptos"/>
        <w:sz w:val="16"/>
        <w:szCs w:val="16"/>
      </w:rPr>
      <w:t xml:space="preserve">	Page </w:t>
    </w:r>
    <w:r>
      <w:rPr>
        <w:rFonts w:ascii="Aptos" w:cs="Aptos" w:eastAsia="Aptos" w:hAnsi="Aptos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sz w:val="16"/>
        <w:szCs w:val="16"/>
      </w:rPr>
      <w:t xml:space="preserve"> of </w:t>
    </w:r>
    <w:r>
      <w:rPr>
        <w:rFonts w:ascii="Aptos" w:cs="Aptos" w:eastAsia="Aptos" w:hAnsi="Aptos"/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8" w:sz="4" w:space="6"/>
      </w:pBdr>
    </w:pPr>
    <w:r>
      <w:rPr>
        <w:rFonts w:ascii="Aptos" w:cs="Aptos" w:eastAsia="Aptos" w:hAnsi="Aptos"/>
        <w:color w:val="667085"/>
        <w:sz w:val="16"/>
        <w:szCs w:val="16"/>
      </w:rPr>
      <w:t xml:space="preserve">Consultify · Northwind Manufacturing Ltd.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8" w:sz="4" w:space="5"/>
      </w:pBdr>
      <w:tabs>
        <w:tab w:val="right" w:pos="9300"/>
      </w:tabs>
    </w:pPr>
    <w:r>
      <w:rPr>
        <w:rFonts w:ascii="Aptos" w:cs="Aptos" w:eastAsia="Aptos" w:hAnsi="Aptos"/>
        <w:color w:val="667085"/>
        <w:sz w:val="16"/>
        <w:szCs w:val="16"/>
      </w:rPr>
      <w:t xml:space="preserve">Northwind transformation report</w:t>
    </w:r>
    <w:r>
      <w:rPr>
        <w:rFonts w:ascii="Aptos" w:cs="Aptos" w:eastAsia="Aptos" w:hAnsi="Aptos"/>
        <w:sz w:val="16"/>
        <w:szCs w:val="16"/>
      </w:rPr>
      <w:t xml:space="preserve">	</w:t>
    </w:r>
    <w:r>
      <w:rPr>
        <w:rFonts w:ascii="Aptos" w:cs="Aptos" w:eastAsia="Aptos" w:hAnsi="Aptos"/>
        <w:color w:val="667085"/>
        <w:sz w:val="16"/>
        <w:szCs w:val="16"/>
      </w:rPr>
      <w:t xml:space="preserve">Northwind Manufacturing Ltd.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</w:pPr>
    <w:rPr>
      <w:rFonts w:ascii="Aptos Display" w:cs="Aptos Display" w:eastAsia="Aptos Display" w:hAnsi="Aptos Display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after="200" w:before="600"/>
      <w:jc w:val="center"/>
    </w:pPr>
    <w:rPr>
      <w:rFonts w:ascii="Aptos Display" w:cs="Aptos Display" w:eastAsia="Aptos Display" w:hAnsi="Aptos Display"/>
      <w:b/>
      <w:bCs/>
      <w:color w:val="1B2A41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Aptos" w:cs="Aptos" w:eastAsia="Aptos" w:hAnsi="Aptos"/>
      <w:i/>
      <w:iCs/>
      <w:color w:val="667085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2563EB" w:sz="8" w:space="6"/>
      </w:pBdr>
      <w:spacing w:after="140" w:before="280"/>
    </w:pPr>
    <w:rPr>
      <w:rFonts w:ascii="Aptos Display" w:cs="Aptos Display" w:eastAsia="Aptos Display" w:hAnsi="Aptos Display"/>
      <w:b/>
      <w:bCs/>
      <w:color w:val="1B2A41"/>
      <w:sz w:val="34"/>
      <w:szCs w:val="34"/>
    </w:rPr>
  </w:style>
  <w:style w:type="paragraph" w:styleId="Heading2">
    <w:name w:val="Heading 2"/>
    <w:basedOn w:val="Normal"/>
    <w:next w:val="BodyText"/>
    <w:qFormat/>
    <w:pPr>
      <w:spacing w:after="110" w:before="220"/>
    </w:pPr>
    <w:rPr>
      <w:rFonts w:ascii="Aptos Display" w:cs="Aptos Display" w:eastAsia="Aptos Display" w:hAnsi="Aptos Display"/>
      <w:b/>
      <w:bCs/>
      <w:color w:val="1B2A41"/>
      <w:sz w:val="28"/>
      <w:szCs w:val="28"/>
    </w:rPr>
  </w:style>
  <w:style w:type="paragraph" w:styleId="Heading3">
    <w:name w:val="Heading 3"/>
    <w:basedOn w:val="Normal"/>
    <w:next w:val="BodyText"/>
    <w:qFormat/>
    <w:pPr>
      <w:spacing w:after="90" w:before="180"/>
    </w:pPr>
    <w:rPr>
      <w:rFonts w:ascii="Aptos Display" w:cs="Aptos Display" w:eastAsia="Aptos Display" w:hAnsi="Aptos Display"/>
      <w:b/>
      <w:bCs/>
      <w:color w:val="101828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40" w:line="276"/>
      <w:jc w:val="both"/>
    </w:pPr>
    <w:rPr>
      <w:rFonts w:ascii="Aptos" w:cs="Aptos" w:eastAsia="Aptos" w:hAnsi="Aptos"/>
      <w:color w:val="101828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after="120" w:before="80"/>
      <w:ind w:left="360"/>
    </w:pPr>
    <w:rPr>
      <w:rFonts w:ascii="Aptos" w:cs="Aptos" w:eastAsia="Aptos" w:hAnsi="Aptos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after="120" w:before="60"/>
    </w:pPr>
    <w:rPr>
      <w:rFonts w:ascii="Aptos" w:cs="Aptos" w:eastAsia="Aptos" w:hAnsi="Aptos"/>
      <w:i/>
      <w:iCs/>
      <w:color w:val="667085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Aptos" w:cs="Aptos" w:eastAsia="Aptos" w:hAnsi="Aptos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Aptos" w:cs="Aptos" w:eastAsia="Aptos" w:hAnsi="Aptos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after="120" w:before="80"/>
      <w:ind w:left="240"/>
    </w:pPr>
    <w:rPr>
      <w:rFonts w:ascii="Aptos" w:cs="Aptos" w:eastAsia="Aptos" w:hAnsi="Aptos"/>
      <w:color w:val="101828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Aptos" w:cs="Aptos" w:eastAsia="Aptos" w:hAnsi="Aptos"/>
      <w:color w:val="101828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after="140" w:before="280"/>
    </w:pPr>
    <w:rPr>
      <w:rFonts w:ascii="Aptos Display" w:cs="Aptos Display" w:eastAsia="Aptos Display" w:hAnsi="Aptos Display"/>
      <w:b/>
      <w:bCs/>
      <w:color w:val="1B2A41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DocBaseTheme" Type="http://schemas.openxmlformats.org/officeDocument/2006/relationships/theme" Target="theme/theme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Consultify DOC-BASE">
  <a:themeElements>
    <a:clrScheme name="Consultify">
      <a:dk1>
        <a:sysClr val="windowText" lastClr="000000"/>
      </a:dk1>
      <a:lt1>
        <a:sysClr val="window" lastClr="FFFFFF"/>
      </a:lt1>
      <a:dk2>
        <a:srgbClr val="0C447C"/>
      </a:dk2>
      <a:lt2>
        <a:srgbClr val="F3F7FB"/>
      </a:lt2>
      <a:accent1>
        <a:srgbClr val="2563EB"/>
      </a:accent1>
      <a:accent2>
        <a:srgbClr val="1D9E75"/>
      </a:accent2>
      <a:accent3>
        <a:srgbClr val="46556B"/>
      </a:accent3>
      <a:accent4>
        <a:srgbClr val="667085"/>
      </a:accent4>
      <a:accent5>
        <a:srgbClr val="D8DEE8"/>
      </a:accent5>
      <a:accent6>
        <a:srgbClr val="DBE7FF"/>
      </a:accent6>
      <a:hlink>
        <a:srgbClr val="0563C1"/>
      </a:hlink>
      <a:folHlink>
        <a:srgbClr val="954F72"/>
      </a:folHlink>
    </a:clrScheme>
    <a:fontScheme name="Consultify Apto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onsultify">
      <a:fillStyleLst>
        <a:solidFill>
          <a:schemeClr val="phClr"/>
        </a:solidFill>
        <a:solidFill>
          <a:schemeClr val="accent1"/>
        </a:solidFill>
        <a:solidFill>
          <a:schemeClr val="accent2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lt1"/>
        </a:solidFill>
        <a:solidFill>
          <a:schemeClr val="lt2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transformation report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2026-09-16T19:24:37.599Z</dcterms:created>
  <dcterms:modified xsi:type="dcterms:W3CDTF">2026-09-16T19:24:37.599Z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