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StudioTitle"/>
        <w:jc w:val="center"/>
      </w:pPr>
      <w:r>
        <w:t xml:space="preserve">Raport z oceny dojrzałości cyfrowej</w:t>
      </w:r>
    </w:p>
    <w:p>
      <w:pPr>
        <w:pBdr>
          <w:bottom w:val="single" w:color="1D9E75" w:sz="18" w:space="1"/>
        </w:pBdr>
        <w:spacing w:after="160"/>
        <w:jc w:val="center"/>
      </w:pPr>
      <w:r>
        <w:t xml:space="preserve"/>
      </w:r>
    </w:p>
    <w:p>
      <w:pPr>
        <w:pStyle w:val="Subtitle"/>
        <w:jc w:val="center"/>
      </w:pPr>
      <w:r>
        <w:t xml:space="preserve">client final report · PL · comprehensive · poufne dla klienta</w:t>
      </w:r>
    </w:p>
    <w:p>
      <w:pPr>
        <w:pStyle w:val="Subtitle"/>
        <w:jc w:val="center"/>
      </w:pPr>
      <w:r>
        <w:t xml:space="preserve">Odbiorcy: Zakład Wtryskowni Ćmielów</w:t>
      </w:r>
    </w:p>
    <w:p>
      <w:pPr>
        <w:pStyle w:val="Subtitle"/>
        <w:jc w:val="center"/>
      </w:pPr>
      <w:r>
        <w:t xml:space="preserve">Wygenerowano: 2026-08-26</w:t>
      </w:r>
      <w:r>
        <w:br w:type="page"/>
      </w:r>
    </w:p>
    <w:p>
      <w:pPr>
        <w:pStyle w:val="Kicker"/>
        <w:pageBreakBefore/>
      </w:pPr>
      <w:r>
        <w:t xml:space="preserve">NAWIGACJA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Kicker"/>
        <w:keepNext/>
      </w:pPr>
      <w:r>
        <w:t xml:space="preserve">STRESZCZENIE</w:t>
      </w:r>
    </w:p>
    <w:p>
      <w:pPr>
        <w:pStyle w:val="Heading1"/>
        <w:pStyle w:val="Heading1"/>
        <w:keepNext/>
      </w:pPr>
      <w:r>
        <w:t xml:space="preserve">Streszczenie zarządcze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Caption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1 — Profil dojrzałości DRD</w:t>
      </w:r>
    </w:p>
    <w:p>
      <w:pPr>
        <w:pStyle w:val="Caption"/>
      </w:pPr>
      <w:r>
        <w:rPr>
          <w:i/>
          <w:iCs/>
        </w:rPr>
        <w:t xml:space="preserve">Rys. 1. Profil dojrzałości cyfrowej według siedmiu osi DRD.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Oś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Obecny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Docelowy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Luki krytyczne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14%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71%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pStyle w:val="Caption"/>
      </w:pPr>
      <w:r>
        <w:t xml:space="preserve">Table 1 — Tab. 1. Zestawienie siedmiu osi DRD.</w:t>
      </w:r>
    </w:p>
    <w:p>
      <w:pPr>
        <w:pStyle w:val="Heading2"/>
        <w:pStyle w:val="Heading2"/>
      </w:pPr>
      <w:r>
        <w:t xml:space="preserve">Luki krytyczne i rekomendacja główna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  <w:keepNext/>
        <w:pageBreakBefore/>
      </w:pPr>
      <w:r>
        <w:t xml:space="preserve">Rozdział 1 z 7 · oś 1 struktury DRD</w:t>
      </w:r>
    </w:p>
    <w:p>
      <w:pPr>
        <w:pStyle w:val="Heading1"/>
        <w:pStyle w:val="Heading1"/>
        <w:keepNext/>
      </w:pPr>
      <w:r>
        <w:t xml:space="preserve">1. Procesy Cyfrowe</w:t>
      </w:r>
    </w:p>
    <w:p>
      <w:pPr>
        <w:pStyle w:val="Podpis"/>
      </w:pPr>
      <w:r>
        <w:t xml:space="preserve">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+3 more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Sprzedaży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fill="E8F5F1"/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fill="E8F5F1"/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shd w:fill="E8F5F1"/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· Krytyczny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Marketingowe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Technologia Procesowa i R&amp;D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Zakupowe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Logistyczne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Produkcyjne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Jakości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Finansami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HR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</w:tbl>
    <w:p>
      <w:pPr>
        <w:pStyle w:val="Caption"/>
      </w:pPr>
      <w:r>
        <w:t xml:space="preserve">Table 2 — Sekcja do uzupełnienia — limit 30–60 słów.</w:t>
      </w:r>
    </w:p>
    <w:p>
      <w:pPr>
        <w:pStyle w:val="Podpis"/>
      </w:pPr>
      <w:r>
        <w:t xml:space="preserve">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1A Procesy Sprzedaży</w:t>
      </w:r>
    </w:p>
    <w:p>
      <w:pPr>
        <w:pStyle w:val="Sygnatura"/>
      </w:pPr>
      <w:r>
        <w:t xml:space="preserve">Poziom obecny: 1 (Rejestracja danych) · Poziom docelowy: 5 (MES) · Luka: 4 · Priorytet: Krytyczny · Dowody: udokumentowane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1B Procesy Marketingowe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 pominięty w ocenie — kod: wiele kodów.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1C Technologia Procesowa i R&amp;D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1D Procesy Zakupowe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1E Procesy Logistyczne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1F Procesy Produkcyjne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1G Procesy Jakości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1H Zarządzanie Finansami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1I Procesy HR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Caption"/>
      </w:pPr>
      <w:r>
        <w:t xml:space="preserve">Table 3</w:t>
      </w:r>
    </w:p>
    <w:p>
      <w:pPr>
        <w:pStyle w:val="Kicker"/>
        <w:keepNext/>
        <w:pageBreakBefore/>
      </w:pPr>
      <w:r>
        <w:t xml:space="preserve">Rozdział 2 z 7 · oś 2 struktury DRD</w:t>
      </w:r>
    </w:p>
    <w:p>
      <w:pPr>
        <w:pStyle w:val="Heading1"/>
        <w:pStyle w:val="Heading1"/>
        <w:keepNext/>
      </w:pPr>
      <w:r>
        <w:t xml:space="preserve">2. Produkty Cyfrowe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Społecznościowe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ICT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Dopasowanie Produktu do Oczekiwań Klienta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Skalowalność Produktu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Table 4 — Sekcja do uzupełnienia — limit 30–60 słów.</w:t>
      </w:r>
    </w:p>
    <w:p>
      <w:pPr>
        <w:pStyle w:val="Podpis"/>
      </w:pPr>
      <w:r>
        <w:t xml:space="preserve">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2A Produkty Cyfrowe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Pominięte pytania: 2A-1 — odroczone_do_kolejnej_rewizji.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2B Produkty Społecznościowe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2C Produkty ICT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2D Dopasowanie Produktu do Oczekiwań Klienta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2E Skalowalność Produktu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Caption"/>
      </w:pPr>
      <w:r>
        <w:t xml:space="preserve">Table 5</w:t>
      </w:r>
    </w:p>
    <w:p>
      <w:pPr>
        <w:pStyle w:val="Kicker"/>
        <w:keepNext/>
        <w:pageBreakBefore/>
      </w:pPr>
      <w:r>
        <w:t xml:space="preserve">Rozdział 3 z 7 · oś 3 struktury DRD</w:t>
      </w:r>
    </w:p>
    <w:p>
      <w:pPr>
        <w:pStyle w:val="Heading1"/>
        <w:pStyle w:val="Heading1"/>
        <w:keepNext/>
      </w:pPr>
      <w:r>
        <w:t xml:space="preserve">3. Cyfrowe Modele Biznesowe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E-commerce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Rozwiązania Platformowe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 As-a-Service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Współdzielenia Zasobów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Monetyzacji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Table 6 — Sekcja do uzupełnienia — limit 30–60 słów.</w:t>
      </w:r>
    </w:p>
    <w:p>
      <w:pPr>
        <w:pStyle w:val="Podpis"/>
      </w:pPr>
      <w:r>
        <w:t xml:space="preserve">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3A Modele E-commerce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3B Rozwiązania Platformowe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3C Model As-a-Service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3D Modele Współdzielenia Zasobów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3E Modele Monetyzacji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Caption"/>
      </w:pPr>
      <w:r>
        <w:t xml:space="preserve">Table 7</w:t>
      </w:r>
    </w:p>
    <w:p>
      <w:pPr>
        <w:pStyle w:val="Kicker"/>
        <w:keepNext/>
        <w:pageBreakBefore/>
      </w:pPr>
      <w:r>
        <w:t xml:space="preserve">Rozdział 4 z 7 · oś 4 struktury DRD</w:t>
      </w:r>
    </w:p>
    <w:p>
      <w:pPr>
        <w:pStyle w:val="Heading1"/>
        <w:pStyle w:val="Heading1"/>
        <w:keepNext/>
      </w:pPr>
      <w:r>
        <w:t xml:space="preserve">4. Zarządzanie Danymi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+3 more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Zbieranie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Metodologia Przechowywania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Komunikacja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Analiza Big Data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Przetwarzanie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</w:tbl>
    <w:p>
      <w:pPr>
        <w:pStyle w:val="Caption"/>
      </w:pPr>
      <w:r>
        <w:t xml:space="preserve">Table 8 — Sekcja do uzupełnienia — limit 30–60 słów.</w:t>
      </w:r>
    </w:p>
    <w:p>
      <w:pPr>
        <w:pStyle w:val="Podpis"/>
      </w:pPr>
      <w:r>
        <w:t xml:space="preserve">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4A Zbieranie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4B Metodologia Przechowywania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4C Komunikacja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4D Analiza Big Data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4E Przetwarzanie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Caption"/>
      </w:pPr>
      <w:r>
        <w:t xml:space="preserve">Table 9</w:t>
      </w:r>
    </w:p>
    <w:p>
      <w:pPr>
        <w:pStyle w:val="Kicker"/>
        <w:keepNext/>
        <w:pageBreakBefore/>
      </w:pPr>
      <w:r>
        <w:t xml:space="preserve">Rozdział 5 z 7 · oś 5 struktury DRD</w:t>
      </w:r>
    </w:p>
    <w:p>
      <w:pPr>
        <w:pStyle w:val="Heading1"/>
        <w:pStyle w:val="Heading1"/>
        <w:keepNext/>
      </w:pPr>
      <w:r>
        <w:t xml:space="preserve">5. Kultura Transformacji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+2 more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Postawy przywódcze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Gotowość na zmianę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Ciągły rozwój kompetencji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innowacji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Dostępność zasobów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</w:tbl>
    <w:p>
      <w:pPr>
        <w:pStyle w:val="Caption"/>
      </w:pPr>
      <w:r>
        <w:t xml:space="preserve">Table 10 — Sekcja do uzupełnienia — limit 30–60 słów.</w:t>
      </w:r>
    </w:p>
    <w:p>
      <w:pPr>
        <w:pStyle w:val="Podpis"/>
      </w:pPr>
      <w:r>
        <w:t xml:space="preserve">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5A Postawy przywódcze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5B Gotowość na zmianę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5C Ciągły rozwój kompetencji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5D Kultura innowacji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5E Dostępność zasobów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Caption"/>
      </w:pPr>
      <w:r>
        <w:t xml:space="preserve">Table 11</w:t>
      </w:r>
    </w:p>
    <w:p>
      <w:pPr>
        <w:pStyle w:val="Kicker"/>
        <w:keepNext/>
        <w:pageBreakBefore/>
      </w:pPr>
      <w:r>
        <w:t xml:space="preserve">Rozdział 6 z 7 · oś 6 struktury DRD</w:t>
      </w:r>
    </w:p>
    <w:p>
      <w:pPr>
        <w:pStyle w:val="Heading1"/>
        <w:pStyle w:val="Heading1"/>
        <w:keepNext/>
      </w:pPr>
      <w:r>
        <w:t xml:space="preserve">6. Cyberbezpieczeństwo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+2 more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Strategia i zarządzanie ryzykiem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Ochrona sieci i systemów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Ochrona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Edukacja i jakość systemów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Plany awaryjne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 · —</w:t>
            </w:r>
          </w:p>
        </w:tc>
      </w:tr>
    </w:tbl>
    <w:p>
      <w:pPr>
        <w:pStyle w:val="Caption"/>
      </w:pPr>
      <w:r>
        <w:t xml:space="preserve">Table 12 — Sekcja do uzupełnienia — limit 30–60 słów.</w:t>
      </w:r>
    </w:p>
    <w:p>
      <w:pPr>
        <w:pStyle w:val="Podpis"/>
      </w:pPr>
      <w:r>
        <w:t xml:space="preserve">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6A Strategia i zarządzanie ryzykiem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6B Ochrona sieci i systemów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6C Ochrona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6D Edukacja i jakość systemów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6E Plany awaryjne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Caption"/>
      </w:pPr>
      <w:r>
        <w:t xml:space="preserve">Table 13</w:t>
      </w:r>
    </w:p>
    <w:p>
      <w:pPr>
        <w:pStyle w:val="Kicker"/>
        <w:keepNext/>
        <w:pageBreakBefore/>
      </w:pPr>
      <w:r>
        <w:t xml:space="preserve">Rozdział 7 z 7 · oś 7 struktury DRD</w:t>
      </w:r>
    </w:p>
    <w:p>
      <w:pPr>
        <w:pStyle w:val="Heading1"/>
        <w:pStyle w:val="Heading1"/>
        <w:keepNext/>
      </w:pPr>
      <w:r>
        <w:t xml:space="preserve">7. Dojrzałość AI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Dane i Fundamenty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Wspierane przez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AI w Produktach i Usługach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Governance, Bezpieczeństwo i Etyka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Kompetencje i Kultura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Table 14 — Sekcja do uzupełnienia — limit 30–60 słów.</w:t>
      </w:r>
    </w:p>
    <w:p>
      <w:pPr>
        <w:pStyle w:val="Podpis"/>
      </w:pPr>
      <w:r>
        <w:t xml:space="preserve">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7A Dane i Fundamenty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7B Procesy Wspierane przez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7C AI w Produktach i Usługach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7D Governance, Bezpieczeństwo i Etyka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3"/>
        <w:pStyle w:val="Heading3"/>
      </w:pPr>
      <w:r>
        <w:t xml:space="preserve">7E Kompetencje i Kultura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słów.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stan faktyczny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ocena i wiarygodność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znaczenie dla przedsiębiorstwa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luka i sens poziomu docelowego</w:t>
      </w:r>
    </w:p>
    <w:p>
      <w:pPr>
        <w:pStyle w:val="BodyText"/>
        <w:numPr>
          <w:ilvl w:val="0"/>
          <w:numId w:val="2"/>
        </w:numPr>
        <w:spacing w:after="60"/>
      </w:pPr>
      <w:r>
        <w:t xml:space="preserve">najbliższy krok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Caption"/>
      </w:pPr>
      <w:r>
        <w:t xml:space="preserve">Table 15</w:t>
      </w:r>
    </w:p>
    <w:p>
      <w:pPr>
        <w:pStyle w:val="Kicker"/>
        <w:keepNext/>
        <w:pageBreakBefore/>
      </w:pPr>
      <w:r>
        <w:t xml:space="preserve">SYNTEZA</w:t>
      </w:r>
    </w:p>
    <w:p>
      <w:pPr>
        <w:pStyle w:val="Heading1"/>
        <w:pStyle w:val="Heading1"/>
        <w:keepNext/>
      </w:pPr>
      <w:r>
        <w:t xml:space="preserve">8. Wnioski końcowe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Heading2"/>
        <w:pStyle w:val="Heading2"/>
      </w:pPr>
      <w:r>
        <w:t xml:space="preserve">Linia decyzyjna programu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Caption"/>
      </w:pPr>
      <w:r>
        <w:t xml:space="preserve">Table 16</w:t>
      </w:r>
    </w:p>
    <w:p>
      <w:pPr>
        <w:pStyle w:val="Kicker"/>
        <w:keepNext/>
        <w:pageBreakBefore/>
      </w:pPr>
      <w:r>
        <w:t xml:space="preserve">ZAŁĄCZNIK</w:t>
      </w:r>
    </w:p>
    <w:p>
      <w:pPr>
        <w:pStyle w:val="Heading1"/>
        <w:pStyle w:val="Heading1"/>
        <w:keepNext/>
      </w:pPr>
      <w:r>
        <w:t xml:space="preserve">Załącznik A. Rejestr luk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Oś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Poziom docelowy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1A Procesy Sprzedaży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Krytyczny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MES</w:t>
            </w:r>
          </w:p>
        </w:tc>
      </w:tr>
    </w:tbl>
    <w:p>
      <w:pPr>
        <w:pStyle w:val="Caption"/>
      </w:pPr>
      <w:r>
        <w:t xml:space="preserve">Table 17 — Rejestr luk posortowany malejąco według wielkości luki.</w:t>
      </w:r>
    </w:p>
    <w:p>
      <w:pPr>
        <w:pStyle w:val="Heading1"/>
        <w:pStyle w:val="Heading1"/>
      </w:pPr>
      <w:r>
        <w:t xml:space="preserve">Źródła i identyfikowalność</w:t>
      </w:r>
    </w:p>
    <w:p>
      <w:pPr>
        <w:pStyle w:val="AssumptionBody"/>
      </w:pPr>
      <w:r>
        <w:t xml:space="preserve">Nie dołączono źródeł. Merytoryczne bloki treści oznaczono jako założenia i przed dystrybucją do klienta wymagają pakietu źródłowego.</w:t>
      </w:r>
    </w:p>
    <w:sectPr>
      <w:footerReference w:type="default" r:id="rId6"/>
      <w:footerReference w:type="first" r:id="rId7"/>
      <w:pgSz w:w="11906" w:h="16838" w:orient="portrait"/>
      <w:pgMar w:top="1247" w:right="1247" w:bottom="1134" w:left="1247" w:header="708" w:footer="62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4A3B8"/>
        <w:sz w:val="16"/>
        <w:szCs w:val="16"/>
      </w:rPr>
      <w:t xml:space="preserve">Poufne — Zakład Wtryskowni Ćmielów</w:t>
    </w:r>
    <w:r>
      <w:rPr>
        <w:color w:val="94A3B8"/>
        <w:sz w:val="16"/>
        <w:szCs w:val="16"/>
      </w:rPr>
      <w:t xml:space="preserve">   |   </w:t>
    </w:r>
    <w:r>
      <w:rPr>
        <w:color w:val="94A3B8"/>
        <w:sz w:val="16"/>
        <w:szCs w:val="16"/>
      </w:rPr>
      <w:t xml:space="preserve">poufne — tylko dla klienta</w:t>
    </w:r>
    <w:r>
      <w:rPr>
        <w:color w:val="94A3B8"/>
        <w:sz w:val="16"/>
        <w:szCs w:val="16"/>
      </w:rPr>
      <w:t xml:space="preserve">   |   </w:t>
    </w:r>
    <w:r>
      <w:rPr>
        <w:color w:val="94A3B8"/>
        <w:sz w:val="16"/>
        <w:szCs w:val="16"/>
      </w:rPr>
      <w:t xml:space="preserve">Strona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z 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lang w:val="pl-PL" w:eastAsia="pl-PL" w:bidi="pl-P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10"/>
    </w:pPr>
    <w:rPr>
      <w:rFonts w:ascii="Calibri Light" w:cs="Calibri Light" w:eastAsia="Calibri Light" w:hAnsi="Calibri Light"/>
      <w:b/>
      <w:bCs/>
      <w:color w:val="1B5F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90"/>
    </w:pPr>
    <w:rPr>
      <w:rFonts w:ascii="Calibri Light" w:cs="Calibri Light" w:eastAsia="Calibri Light" w:hAnsi="Calibri Light"/>
      <w:b/>
      <w:bCs/>
      <w:color w:val="334155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DocStudioTitle">
    <w:name w:val="Doc Studio Title"/>
    <w:basedOn w:val="Normal"/>
    <w:next w:val="Subtitle"/>
    <w:qFormat/>
    <w:pPr>
      <w:spacing w:before="600" w:after="200"/>
      <w:jc w:val="center"/>
    </w:pPr>
    <w:rPr>
      <w:rFonts w:ascii="Calibri Light" w:cs="Calibri Light" w:eastAsia="Calibri Light" w:hAnsi="Calibri Light"/>
      <w:b/>
      <w:bCs/>
      <w:color w:val="0A2F57"/>
      <w:sz w:val="56"/>
      <w:szCs w:val="56"/>
    </w:rPr>
  </w:style>
  <w:style w:type="paragraph" w:styleId="Subtitle">
    <w:name w:val="Subtitle"/>
    <w:basedOn w:val="Normal"/>
    <w:next w:val="BodyText"/>
    <w:qFormat/>
    <w:pPr>
      <w:spacing w:after="80"/>
      <w:jc w:val="center"/>
    </w:pPr>
    <w:rPr>
      <w:rFonts w:ascii="Calibri" w:cs="Calibri" w:eastAsia="Calibri" w:hAnsi="Calibri"/>
      <w:i/>
      <w:iCs/>
      <w:color w:val="475569"/>
      <w:sz w:val="26"/>
      <w:szCs w:val="26"/>
    </w:rPr>
  </w:style>
  <w:style w:type="paragraph" w:styleId="Heading1">
    <w:name w:val="Heading 1"/>
    <w:basedOn w:val="Normal"/>
    <w:next w:val="BodyText"/>
    <w:qFormat/>
    <w:pPr>
      <w:pBdr>
        <w:bottom w:val="single" w:color="1D9E75" w:sz="8" w:space="6"/>
      </w:pBd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Heading2">
    <w:name w:val="Heading 2"/>
    <w:basedOn w:val="Normal"/>
    <w:next w:val="BodyText"/>
    <w:qFormat/>
    <w:pPr>
      <w:spacing w:before="220" w:after="110"/>
    </w:pPr>
    <w:rPr>
      <w:rFonts w:ascii="Calibri Light" w:cs="Calibri Light" w:eastAsia="Calibri Light" w:hAnsi="Calibri Light"/>
      <w:b/>
      <w:bCs/>
      <w:color w:val="1B5FA8"/>
      <w:sz w:val="28"/>
      <w:szCs w:val="28"/>
    </w:rPr>
  </w:style>
  <w:style w:type="paragraph" w:styleId="Heading3">
    <w:name w:val="Heading 3"/>
    <w:basedOn w:val="Normal"/>
    <w:next w:val="BodyText"/>
    <w:qFormat/>
    <w:pPr>
      <w:spacing w:before="180" w:after="90"/>
    </w:pPr>
    <w:rPr>
      <w:rFonts w:ascii="Calibri Light" w:cs="Calibri Light" w:eastAsia="Calibri Light" w:hAnsi="Calibri Light"/>
      <w:b/>
      <w:bCs/>
      <w:color w:val="334155"/>
      <w:sz w:val="23"/>
      <w:szCs w:val="23"/>
    </w:rPr>
  </w:style>
  <w:style w:type="paragraph" w:styleId="BodyText">
    <w:name w:val="Body Text"/>
    <w:basedOn w:val="Normal"/>
    <w:next w:val="BodyText"/>
    <w:qFormat/>
    <w:pPr>
      <w:spacing w:after="120"/>
    </w:pPr>
    <w:rPr>
      <w:rFonts w:ascii="Calibri" w:cs="Calibri" w:eastAsia="Calibri" w:hAnsi="Calibri"/>
      <w:color w:val="1F2933"/>
      <w:sz w:val="22"/>
      <w:szCs w:val="22"/>
    </w:rPr>
  </w:style>
  <w:style w:type="paragraph" w:styleId="BlockQuote">
    <w:name w:val="Block Quote"/>
    <w:basedOn w:val="BodyText"/>
    <w:next w:val="BodyText"/>
    <w:pPr>
      <w:pBdr>
        <w:left w:val="single" w:color="0C447C" w:sz="18" w:space="12"/>
      </w:pBdr>
      <w:spacing w:before="80" w:after="120"/>
      <w:ind w:left="360"/>
    </w:pPr>
    <w:rPr>
      <w:rFonts w:ascii="Calibri" w:cs="Calibri" w:eastAsia="Calibri" w:hAnsi="Calibri"/>
      <w:i/>
      <w:iCs/>
      <w:color w:val="475569"/>
      <w:sz w:val="22"/>
      <w:szCs w:val="22"/>
    </w:rPr>
  </w:style>
  <w:style w:type="paragraph" w:styleId="Caption">
    <w:name w:val="Caption"/>
    <w:basedOn w:val="Normal"/>
    <w:next w:val="BodyText"/>
    <w:pPr>
      <w:spacing w:before="60" w:after="120"/>
    </w:pPr>
    <w:rPr>
      <w:rFonts w:ascii="Calibri" w:cs="Calibri" w:eastAsia="Calibri" w:hAnsi="Calibri"/>
      <w:i/>
      <w:iCs/>
      <w:color w:val="64748B"/>
      <w:sz w:val="18"/>
      <w:szCs w:val="18"/>
    </w:rPr>
  </w:style>
  <w:style w:type="paragraph" w:styleId="DocStudioFootnote">
    <w:name w:val="Doc Studio Footnote"/>
    <w:basedOn w:val="Normal"/>
    <w:next w:val="BodyText"/>
    <w:pPr>
      <w:spacing w:after="40"/>
    </w:pPr>
    <w:rPr>
      <w:rFonts w:ascii="Calibri" w:cs="Calibri" w:eastAsia="Calibri" w:hAnsi="Calibri"/>
      <w:color w:val="475569"/>
      <w:sz w:val="18"/>
      <w:szCs w:val="18"/>
    </w:rPr>
  </w:style>
  <w:style w:type="paragraph" w:styleId="AssumptionBody">
    <w:name w:val="Assumption Body"/>
    <w:basedOn w:val="BodyText"/>
    <w:next w:val="BodyText"/>
    <w:pPr>
      <w:spacing w:after="120"/>
    </w:pPr>
    <w:rPr>
      <w:rFonts w:ascii="Calibri" w:cs="Calibri" w:eastAsia="Calibri" w:hAnsi="Calibri"/>
      <w:i/>
      <w:iCs/>
      <w:color w:val="92400E"/>
      <w:sz w:val="22"/>
      <w:szCs w:val="22"/>
    </w:rPr>
  </w:style>
  <w:style w:type="paragraph" w:styleId="Callout">
    <w:name w:val="Callout"/>
    <w:basedOn w:val="BodyText"/>
    <w:next w:val="BodyText"/>
    <w:pPr>
      <w:pBdr>
        <w:left w:val="single" w:color="1D9E75" w:sz="24" w:space="12"/>
      </w:pBdr>
      <w:shd w:fill="F5F8FC" w:val="clear"/>
      <w:spacing w:before="80" w:after="120"/>
      <w:ind w:left="240"/>
    </w:pPr>
    <w:rPr>
      <w:rFonts w:ascii="Calibri" w:cs="Calibri" w:eastAsia="Calibri" w:hAnsi="Calibri"/>
      <w:color w:val="1F2933"/>
      <w:sz w:val="22"/>
      <w:szCs w:val="22"/>
    </w:rPr>
  </w:style>
  <w:style w:type="paragraph" w:styleId="SourceList">
    <w:name w:val="Source List"/>
    <w:basedOn w:val="BodyText"/>
    <w:next w:val="SourceList"/>
    <w:pPr>
      <w:spacing w:after="60"/>
    </w:pPr>
    <w:rPr>
      <w:rFonts w:ascii="Calibri" w:cs="Calibri" w:eastAsia="Calibri" w:hAnsi="Calibri"/>
      <w:color w:val="1F2933"/>
      <w:sz w:val="22"/>
      <w:szCs w:val="22"/>
    </w:rPr>
  </w:style>
  <w:style w:type="paragraph" w:styleId="TOCHeading">
    <w:name w:val="TOC Heading"/>
    <w:basedOn w:val="Heading1"/>
    <w:next w:val="BodyText"/>
    <w:qFormat/>
    <w:pP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Tresc">
    <w:name w:val="Treść"/>
    <w:basedOn w:val="Normal"/>
    <w:next w:val="Tresc"/>
    <w:qFormat/>
    <w:pPr>
      <w:spacing w:line="312" w:after="120"/>
    </w:pPr>
    <w:rPr>
      <w:rFonts w:ascii="Calibri" w:cs="Calibri" w:eastAsia="Calibri" w:hAnsi="Calibri"/>
      <w:color w:val="1F2937"/>
      <w:sz w:val="22"/>
      <w:szCs w:val="22"/>
    </w:rPr>
  </w:style>
  <w:style w:type="paragraph" w:styleId="Lead">
    <w:name w:val="Lead"/>
    <w:basedOn w:val="Tresc"/>
    <w:next w:val="Tresc"/>
    <w:pPr>
      <w:spacing w:line="336" w:after="160"/>
    </w:pPr>
    <w:rPr>
      <w:rFonts w:ascii="Calibri" w:cs="Calibri" w:eastAsia="Calibri" w:hAnsi="Calibri"/>
      <w:color w:val="1F2937"/>
      <w:sz w:val="24"/>
      <w:szCs w:val="24"/>
    </w:rPr>
  </w:style>
  <w:style w:type="paragraph" w:styleId="Kicker">
    <w:name w:val="Kicker"/>
    <w:basedOn w:val="Normal"/>
    <w:next w:val="Heading1"/>
    <w:pPr>
      <w:spacing w:after="80"/>
    </w:pPr>
    <w:rPr>
      <w:rFonts w:ascii="Calibri" w:cs="Calibri" w:eastAsia="Calibri" w:hAnsi="Calibri"/>
      <w:b/>
      <w:bCs/>
      <w:color w:val="1D9E75"/>
      <w:sz w:val="18"/>
      <w:szCs w:val="18"/>
    </w:rPr>
  </w:style>
  <w:style w:type="paragraph" w:styleId="Podpis">
    <w:name w:val="Podpis"/>
    <w:basedOn w:val="Tresc"/>
    <w:next w:val="Tresc"/>
    <w:pPr>
      <w:spacing w:before="60" w:after="120"/>
    </w:pPr>
    <w:rPr>
      <w:rFonts w:ascii="Calibri" w:cs="Calibri" w:eastAsia="Calibri" w:hAnsi="Calibri"/>
      <w:i/>
      <w:iCs/>
      <w:color w:val="6B7280"/>
      <w:sz w:val="18"/>
      <w:szCs w:val="18"/>
    </w:rPr>
  </w:style>
  <w:style w:type="paragraph" w:styleId="Sygnatura">
    <w:name w:val="Sygnatura"/>
    <w:basedOn w:val="Tresc"/>
    <w:next w:val="Tresc"/>
    <w:pPr>
      <w:pBdr>
        <w:left w:val="single" w:color="1D9E75" w:sz="18" w:space="10"/>
      </w:pBdr>
      <w:shd w:fill="E2E9EF" w:val="clear"/>
      <w:spacing w:before="80" w:after="100"/>
      <w:ind w:left="180"/>
    </w:pPr>
    <w:rPr>
      <w:rFonts w:ascii="Calibri" w:cs="Calibri" w:eastAsia="Calibri" w:hAnsi="Calibri"/>
      <w:color w:val="1F2937"/>
      <w:sz w:val="19"/>
      <w:szCs w:val="19"/>
    </w:rPr>
  </w:style>
  <w:style w:type="paragraph" w:styleId="TOC1">
    <w:name w:val="TOC 1"/>
    <w:basedOn w:val="Tresc"/>
    <w:next w:val="TOC1"/>
    <w:pPr>
      <w:spacing w:after="70"/>
    </w:pPr>
    <w:rPr>
      <w:rFonts w:ascii="Calibri" w:cs="Calibri" w:eastAsia="Calibri" w:hAnsi="Calibri"/>
      <w:color w:val="083152"/>
      <w:sz w:val="20"/>
      <w:szCs w:val="20"/>
    </w:rPr>
  </w:style>
  <w:style w:type="paragraph" w:styleId="TOC2">
    <w:name w:val="TOC 2"/>
    <w:basedOn w:val="Tresc"/>
    <w:next w:val="TOC2"/>
    <w:pPr>
      <w:spacing w:after="50"/>
      <w:ind w:left="360"/>
    </w:pPr>
    <w:rPr>
      <w:rFonts w:ascii="Calibri" w:cs="Calibri" w:eastAsia="Calibri" w:hAnsi="Calibri"/>
      <w:color w:val="6B7280"/>
      <w:sz w:val="18"/>
      <w:szCs w:val="18"/>
    </w:rPr>
  </w:style>
  <w:style w:type="paragraph" w:styleId="NaglowekBezNumeru">
    <w:name w:val="Nagłówek bez numeru"/>
    <w:basedOn w:val="Heading1"/>
    <w:next w:val="Tresc"/>
    <w:qFormat/>
    <w:pPr>
      <w:spacing w:before="240" w:after="120"/>
    </w:pPr>
    <w:rPr>
      <w:rFonts w:ascii="Calibri Light" w:cs="Calibri Light" w:eastAsia="Calibri Light" w:hAnsi="Calibri Light"/>
      <w:color w:val="0C447C"/>
      <w:sz w:val="40"/>
      <w:szCs w:val="40"/>
    </w:rPr>
  </w:style>
  <w:style w:type="paragraph" w:styleId="NaglowekBezNumeru2">
    <w:name w:val="Nagłówek sekcji bez spisu"/>
    <w:basedOn w:val="Heading2"/>
    <w:next w:val="Tresc"/>
    <w:pPr>
      <w:spacing w:before="200" w:after="100"/>
    </w:pPr>
    <w:rPr>
      <w:rFonts w:ascii="Calibri Light" w:cs="Calibri Light" w:eastAsia="Calibri Light" w:hAnsi="Calibri Light"/>
      <w:b/>
      <w:bCs/>
      <w:color w:val="083152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b8397bdac97473eef4886168d432be475095a0ff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z oceny dojrzałości cyfrowej</dc:title>
  <dc:creator>Consultify Document Studio</dc:creator>
  <dc:description>Consultify Document Studio · client_final_report · executive</dc:description>
  <cp:lastModifiedBy>Un-named</cp:lastModifiedBy>
  <cp:revision>1</cp:revision>
  <dcterms:created xsi:type="dcterms:W3CDTF">2026-08-26T21:22:47.665Z</dcterms:created>
  <dcterms:modified xsi:type="dcterms:W3CDTF">2026-08-26T21:22:47.665Z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