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StudioTitle"/>
        <w:jc w:val="center"/>
      </w:pPr>
      <w:r>
        <w:rPr>
          <w:rFonts w:ascii="Aptos Display" w:cs="Aptos Display" w:eastAsia="Aptos Display" w:hAnsi="Aptos Display"/>
        </w:rPr>
        <w:t xml:space="preserve">AI Readiness Diagnostics — Biznesplan inwestorski</w:t>
      </w:r>
    </w:p>
    <w:p>
      <w:pPr>
        <w:pStyle w:val="Subtitle"/>
        <w:jc w:val="center"/>
      </w:pPr>
      <w:r>
        <w:rPr>
          <w:rFonts w:ascii="Aptos" w:cs="Aptos" w:eastAsia="Aptos" w:hAnsi="Aptos"/>
        </w:rPr>
        <w:t xml:space="preserve">steering committee report · PL · detailed · client_confidential</w:t>
      </w:r>
    </w:p>
    <w:p>
      <w:pPr>
        <w:pStyle w:val="Subtitle"/>
        <w:jc w:val="center"/>
      </w:pPr>
      <w:r>
        <w:rPr>
          <w:rFonts w:ascii="Aptos" w:cs="Aptos" w:eastAsia="Aptos" w:hAnsi="Aptos"/>
        </w:rPr>
        <w:t xml:space="preserve">Audience: investor</w:t>
      </w:r>
    </w:p>
    <w:p>
      <w:pPr>
        <w:pStyle w:val="Subtitle"/>
        <w:jc w:val="center"/>
      </w:pPr>
      <w:r>
        <w:rPr>
          <w:rFonts w:ascii="Aptos" w:cs="Aptos" w:eastAsia="Aptos" w:hAnsi="Aptos"/>
        </w:rPr>
        <w:t xml:space="preserve">Generated: 2026-06-24</w:t>
      </w:r>
      <w:r>
        <w:br w:type="page"/>
      </w:r>
    </w:p>
    <w:p>
      <w:pPr>
        <w:pStyle w:val="Heading1"/>
        <w:pStyle w:val="TOCHeading"/>
      </w:pPr>
      <w:r>
        <w:rPr>
          <w:rFonts w:ascii="Aptos Display" w:cs="Aptos Display" w:eastAsia="Aptos Display" w:hAnsi="Aptos Display"/>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BodyText"/>
      </w:pPr>
      <w:r>
        <w:br w:type="page"/>
      </w:r>
    </w:p>
    <w:p>
      <w:pPr>
        <w:pStyle w:val="Heading1"/>
        <w:pStyle w:val="Heading1"/>
      </w:pPr>
      <w:r>
        <w:rPr>
          <w:rFonts w:ascii="Aptos Display" w:cs="Aptos Display" w:eastAsia="Aptos Display" w:hAnsi="Aptos Display"/>
        </w:rPr>
        <w:t xml:space="preserve">1. Firmy produkcyjne w Polsce i CEE stoją przed presją automatyzacji i AI, ale nie wiedzą, od czego zacząć — brakuje im ustrukturyzowanej diagnozy luk kompetencyjnych, danych i procesowych. Niszowy doradca wyspecjalizowany wyłącznie w AI Readiness dla przemysłu może pobierać premium za skrócenie czasu decyzji zarządu i redukcję ryzyka chybionego wdrożenia AI, budując przy tym powtarzalny produkt doradczy (standaryzowana metodyka + narzędzie SaaS do pomiaru indeksu).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Przychód (ost. rok)</w:t>
            </w:r>
          </w:p>
          <w:p>
            <w:pPr>
              <w:pStyle w:val="BodyText"/>
            </w:pPr>
            <w:r>
              <w:rPr>
                <w:rFonts w:ascii="Aptos Display" w:cs="Aptos Display" w:eastAsia="Aptos Display" w:hAnsi="Aptos Display"/>
                <w:b/>
                <w:bCs/>
                <w:sz w:val="28"/>
                <w:szCs w:val="28"/>
              </w:rPr>
              <w:t xml:space="preserve">329 239 EUR</w:t>
            </w:r>
          </w:p>
          <w:p>
            <w:pPr>
              <w:pStyle w:val="Caption"/>
            </w:pPr>
            <w:r>
              <w:rPr>
                <w:rFonts w:ascii="Aptos" w:cs="Aptos" w:eastAsia="Aptos" w:hAnsi="Aptos"/>
                <w:color w:val="16A34A"/>
                <w:sz w:val="16"/>
                <w:szCs w:val="16"/>
              </w:rPr>
              <w:t xml:space="preserve">+18% vs rok poprzedni</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EBITDA (ost. rok)</w:t>
            </w:r>
          </w:p>
          <w:p>
            <w:pPr>
              <w:pStyle w:val="BodyText"/>
            </w:pPr>
            <w:r>
              <w:rPr>
                <w:rFonts w:ascii="Aptos Display" w:cs="Aptos Display" w:eastAsia="Aptos Display" w:hAnsi="Aptos Display"/>
                <w:b/>
                <w:bCs/>
                <w:sz w:val="28"/>
                <w:szCs w:val="28"/>
              </w:rPr>
              <w:t xml:space="preserve">57 734 EUR</w:t>
            </w:r>
          </w:p>
          <w:p>
            <w:pPr>
              <w:pStyle w:val="Caption"/>
            </w:pPr>
            <w:r>
              <w:rPr>
                <w:rFonts w:ascii="Aptos" w:cs="Aptos" w:eastAsia="Aptos" w:hAnsi="Aptos"/>
                <w:color w:val="64748B"/>
                <w:sz w:val="16"/>
                <w:szCs w:val="16"/>
              </w:rPr>
              <w:t xml:space="preserve">Marża 17,5%</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ARR (ost. rok)</w:t>
            </w:r>
          </w:p>
          <w:p>
            <w:pPr>
              <w:pStyle w:val="BodyText"/>
            </w:pPr>
            <w:r>
              <w:rPr>
                <w:rFonts w:ascii="Aptos Display" w:cs="Aptos Display" w:eastAsia="Aptos Display" w:hAnsi="Aptos Display"/>
                <w:b/>
                <w:bCs/>
                <w:sz w:val="28"/>
                <w:szCs w:val="28"/>
              </w:rPr>
              <w:t xml:space="preserve">22 039 EUR</w:t>
            </w:r>
          </w:p>
          <w:p>
            <w:pPr>
              <w:pStyle w:val="Caption"/>
            </w:pPr>
            <w:r>
              <w:rPr>
                <w:rFonts w:ascii="Aptos" w:cs="Aptos" w:eastAsia="Aptos" w:hAnsi="Aptos"/>
                <w:color w:val="16A34A"/>
                <w:sz w:val="16"/>
                <w:szCs w:val="16"/>
              </w:rPr>
              <w:t xml:space="preserve">▲ Pierwsze przychody SaaS</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Ask / runda</w:t>
            </w:r>
          </w:p>
          <w:p>
            <w:pPr>
              <w:pStyle w:val="BodyText"/>
            </w:pPr>
            <w:r>
              <w:rPr>
                <w:rFonts w:ascii="Aptos Display" w:cs="Aptos Display" w:eastAsia="Aptos Display" w:hAnsi="Aptos Display"/>
                <w:b/>
                <w:bCs/>
                <w:sz w:val="28"/>
                <w:szCs w:val="28"/>
              </w:rPr>
              <w:t xml:space="preserve">400 000 EUR</w:t>
            </w:r>
          </w:p>
          <w:p>
            <w:pPr>
              <w:pStyle w:val="Caption"/>
            </w:pPr>
            <w:r>
              <w:rPr>
                <w:rFonts w:ascii="Aptos" w:cs="Aptos" w:eastAsia="Aptos" w:hAnsi="Aptos"/>
                <w:color w:val="64748B"/>
                <w:sz w:val="16"/>
                <w:szCs w:val="16"/>
              </w:rPr>
              <w:t xml:space="preserve">Pre-seed (grant + anioł)</w:t>
            </w:r>
          </w:p>
        </w:tc>
      </w:tr>
    </w:tbl>
    <w:p>
      <w:pPr>
        <w:pStyle w:val="BodyText"/>
      </w:pPr>
      <w:r>
        <w:rPr>
          <w:rFonts w:ascii="Aptos" w:cs="Aptos" w:eastAsia="Aptos" w:hAnsi="Aptos"/>
        </w:rPr>
        <w:t xml:space="preserve">Firmy produkcyjne w Polsce i regionie CEE wchodzą w erę przymusowej transformacji cyfrowej — presja automatyzacji i AI narasta ze strony globalnej konkurencji, regulacji UE oraz rosnących kosztów pracy. Mimo to zdecydowana większość zakładów przemysłowych nie posiada ustrukturyzowanej wiedzy o własnych lukach: kompetencyjnych (brak kadry rozumiejącej AI), danych (nieustrukturyzowane lub nieistniejące datasety produkcyjne) oraz procesowych (brak procesów gotowych do automatyzacji). W odpowiedzi na tę próżnię rynkową powstaje niszowy podmiot doradczy wyspecjalizowany wyłącznie w AI Readiness dla przemysłu — oferujący standaryzowaną metodykę diagnostyczną oraz narzędzie SaaS do pomiaru Indeksu Gotowości AI. Produkt skraca czas decyzji zarządu z miesięcy do tygodni i dramatycznie redukuje ryzyko kosztownego, chybionego wdrożenia AI — uzasadniając tym samym cenę premium względem generalistycznych doradców.</w:t>
      </w:r>
    </w:p>
    <w:p>
      <w:pPr>
        <w:pStyle w:val="BodyText"/>
      </w:pPr>
      <w:r>
        <w:rPr>
          <w:rFonts w:ascii="Aptos" w:cs="Aptos" w:eastAsia="Aptos" w:hAnsi="Aptos"/>
        </w:rPr>
        <w:t xml:space="preserve">Spółka pozyskuje rundę pre-seed w wysokości 400 000 EUR (mix: grant unijny + anioł biznesu) z przeznaczeniem na trzy priorytety wzrostu: (1) Talent — zatrudnienie 2 senior konsultantów z doświadczeniem w transformacji przemysłowej i AI, co pozwoli skalować liczbę równoległych projektów diagnostycznych; (2) Produkt — budowa platformy SaaS automatyzującej zbieranie i analizę danych diagnostycznych, przekształcająca jednorazowy engagement w powtarzalny, mierzalny indeks subskrypcyjny; (3) Go-to-market — uruchomienie kanału sprzedaży B2B obejmującego obecność na kluczowych konferencjach branżowych (Hannover Messe, Industria Polska), content marketing pozycjonujący jako thought leader oraz dedykowany SDR docierający do dyrektorów operacyjnych i CTO w firmach produkcyjnych CEE. Oczekiwany efekt: osiągnięcie ARR &gt; 300 000 EUR i pipeline 15+ klientów w ciągu 18 miesięcy od zamknięcia rundy.</w:t>
      </w:r>
    </w:p>
    <w:p>
      <w:pPr>
        <w:pStyle w:val="Heading1"/>
        <w:pStyle w:val="Heading1"/>
      </w:pPr>
      <w:r>
        <w:rPr>
          <w:rFonts w:ascii="Aptos Display" w:cs="Aptos Display" w:eastAsia="Aptos Display" w:hAnsi="Aptos Display"/>
        </w:rPr>
        <w:t xml:space="preserve">2. Status quo jest wolny i kosztowny — to realny ból rynku</w:t>
      </w:r>
    </w:p>
    <w:p>
      <w:pPr>
        <w:pStyle w:val="BodyText"/>
      </w:pPr>
      <w:r>
        <w:rPr>
          <w:rFonts w:ascii="Aptos" w:cs="Aptos" w:eastAsia="Aptos" w:hAnsi="Aptos"/>
        </w:rPr>
        <w:t xml:space="preserve">Dziś firmy produkcyjne w Polsce i regionie CEE podchodzą do gotowości na AI metodą prób i błędów: angażują drogie zespoły konsultantów ogólnostrateg icznych (Big 4, globalne domy doradcze), które spędzają 3–6 miesięcy na diagnozie środowiska IT, procesów i kompetencji — bez branżowej głębi i bez powtarzalnej metodyki skrojonej pod przemysł. Alternatywą są wewnętrzne projekty IT prowadzone ad hoc, gdzie brakuje obiektywnego miernika 'gdzie jesteśmy' i 'co blokuje wdrożenie AI'. Efekt: zarządy odkładają decyzje, piloty AI kończą się fiaskiem z powodu nierozpoznanych luk (brak czystych danych, przestarzałe OT/IT, brak kompetencji operatorów), a każde chybione wdrożenie kosztuje średnio 400 000–1 200 000 EUR straconego budżetu i 12–18 miesięcy opóźnienia transformacji. Status quo jest więc nie tylko wolny — jest strukturalnie kosztowny.</w:t>
      </w:r>
    </w:p>
    <w:p>
      <w:pPr>
        <w:pStyle w:val="Callout"/>
      </w:pPr>
      <w:r>
        <w:rPr>
          <w:rFonts w:ascii="Aptos" w:cs="Aptos" w:eastAsia="Aptos" w:hAnsi="Aptos"/>
          <w:b/>
          <w:bCs/>
          <w:color w:val="DC2626"/>
        </w:rPr>
        <w:t xml:space="preserve">[DANGER] </w:t>
      </w:r>
      <w:r>
        <w:rPr>
          <w:rFonts w:ascii="Aptos" w:cs="Aptos" w:eastAsia="Aptos" w:hAnsi="Aptos"/>
          <w:i/>
          <w:iCs/>
        </w:rPr>
        <w:t xml:space="preserve">🔴 Skala bólu rynkowego jest mierzalna: szacowany TAM dla usług AI Readiness w przemyśle produkcyjnym w Polsce i CEE wynosi 1 200 000 000 EUR rocznie — wynikający z &gt;18 000 firm produkcyjnych zatrudniających powyżej 50 osób, z których ponad 60% deklaruje plany wdrożeń AI w perspektywie 24 miesięcy, lecz mniej niż 12% posiada formalną ocenę własnej gotowości. Każdy miesiąc bez ustrukturyzowanej diagnozy to realne ryzyko zmarnowanych inwestycji i utraty przewagi konkurencyjnej wobec zachodnioeuropejskich graczy już po transformacji.</w:t>
      </w:r>
    </w:p>
    <w:p>
      <w:pPr>
        <w:pStyle w:val="Heading1"/>
        <w:pStyle w:val="Heading1"/>
      </w:pPr>
      <w:r>
        <w:rPr>
          <w:rFonts w:ascii="Aptos Display" w:cs="Aptos Display" w:eastAsia="Aptos Display" w:hAnsi="Aptos Display"/>
        </w:rPr>
        <w:t xml:space="preserve">3. Usługa diagnostyki gotowości organizacji produkcyjnych na wdrożenie AI — obejmuje badanie (warsztat + ankieta + analiza danych), raport zarządczy z indeksem gotowości (0–100), mapę inicjatyw priorytetowych oraz 12-miesięczną roadmapę transformacji, dostarczana jako projekt doradczy zakończony prezentacją dla zarządu.</w:t>
      </w:r>
    </w:p>
    <w:p>
      <w:pPr>
        <w:pStyle w:val="BodyText"/>
      </w:pPr>
      <w:r>
        <w:rPr>
          <w:rFonts w:ascii="Aptos" w:cs="Aptos" w:eastAsia="Aptos" w:hAnsi="Aptos"/>
        </w:rPr>
        <w:t xml:space="preserve">AI Readiness Diagnostic to ustrukturyzowana usługa doradcza zaprojektowana specjalnie dla firm produkcyjnych w Polsce i regionie CEE. Proces składa się z trzech zintegrowanych modułów: warsztatu diagnostycznego z kluczowymi interesariuszami, ustandaryzowanej ankiety obejmującej wymiary danych, procesów, kompetencji i kultury organizacyjnej oraz analizy dostępnych danych operacyjnych. Na tej podstawie powstaje raport zarządczy zawierający indeks gotowości AI (0–100), mapę inicjatyw priorytetowych z oszacowaniem ROI oraz 12-miesięczną roadmapę transformacji. Projekt kończy się dedykowaną prezentacją dla zarządu, która skraca czas decyzji inwestycyjnych i redukuje ryzyko chybionych wdrożeń AI — zanim firma wyda złotówkę na technologię.</w:t>
      </w:r>
    </w:p>
    <w:p>
      <w:pPr>
        <w:pStyle w:val="BodyText"/>
        <w:spacing w:after="60"/>
      </w:pPr>
      <w:r>
        <w:rPr>
          <w:rFonts w:ascii="Aptos" w:cs="Aptos" w:eastAsia="Aptos" w:hAnsi="Aptos"/>
        </w:rPr>
        <w:t xml:space="preserve">• Standaryzowany Indeks Gotowości AI (0–100) z benchmarkiem sektorowym — zarząd otrzymuje jedną, porównywalną liczbę zamiast chaotycznego raportu konsultantów ogólnego przeznaczenia.</w:t>
      </w:r>
    </w:p>
    <w:p>
      <w:pPr>
        <w:pStyle w:val="BodyText"/>
        <w:spacing w:after="60"/>
      </w:pPr>
      <w:r>
        <w:rPr>
          <w:rFonts w:ascii="Aptos" w:cs="Aptos" w:eastAsia="Aptos" w:hAnsi="Aptos"/>
        </w:rPr>
        <w:t xml:space="preserve">• Mapa inicjatyw priorytetowych z macierzą wpływ/wysiłek — identyfikacja 3–5 projektów AI o najwyższym potencjale ROI gotowych do uruchomienia w ciągu 90 dni.</w:t>
      </w:r>
    </w:p>
    <w:p>
      <w:pPr>
        <w:pStyle w:val="BodyText"/>
        <w:spacing w:after="60"/>
      </w:pPr>
      <w:r>
        <w:rPr>
          <w:rFonts w:ascii="Aptos" w:cs="Aptos" w:eastAsia="Aptos" w:hAnsi="Aptos"/>
        </w:rPr>
        <w:t xml:space="preserve">• 12-miesięczna roadmapa transformacji z kamieniami milowymi, budżetem i odpowiedzialnością — dokument gotowy do zatwierdzenia przez zarząd i komunikacji do rady nadzorczej.</w:t>
      </w:r>
    </w:p>
    <w:p>
      <w:pPr>
        <w:pStyle w:val="BodyText"/>
        <w:spacing w:after="60"/>
      </w:pPr>
      <w:r>
        <w:rPr>
          <w:rFonts w:ascii="Aptos" w:cs="Aptos" w:eastAsia="Aptos" w:hAnsi="Aptos"/>
        </w:rPr>
        <w:t xml:space="preserve">• Diagnoza luk kompetencyjnych i danych w pięciu wymiarach (dane, procesy, technologia, ludzie, kultura) — precyzyjne wskazanie, co blokuje wdrożenie AI, zanim dojdzie do kosztownych błędów.</w:t>
      </w:r>
    </w:p>
    <w:p>
      <w:pPr>
        <w:pStyle w:val="BodyText"/>
        <w:spacing w:after="60"/>
      </w:pPr>
      <w:r>
        <w:rPr>
          <w:rFonts w:ascii="Aptos" w:cs="Aptos" w:eastAsia="Aptos" w:hAnsi="Aptos"/>
        </w:rPr>
        <w:t xml:space="preserve">• Powtarzalna metodyka SaaS-ready z modułem do ciągłego pomiaru indeksu — firma może monitorować postęp gotowości co kwartał i śledzić dojrzałość AI w czasie, tworząc kulturę ciągłego doskonalenia.</w:t>
      </w:r>
    </w:p>
    <w:p>
      <w:pPr>
        <w:pStyle w:val="Callout"/>
      </w:pPr>
      <w:r>
        <w:rPr>
          <w:rFonts w:ascii="Aptos" w:cs="Aptos" w:eastAsia="Aptos" w:hAnsi="Aptos"/>
          <w:b/>
          <w:bCs/>
          <w:color w:val="16A34A"/>
        </w:rPr>
        <w:t xml:space="preserve">[SUCCESS] </w:t>
      </w:r>
      <w:r>
        <w:rPr>
          <w:rFonts w:ascii="Aptos" w:cs="Aptos" w:eastAsia="Aptos" w:hAnsi="Aptos"/>
          <w:i/>
          <w:iCs/>
        </w:rPr>
        <w:t xml:space="preserve">Przewaga kosztowa i decyzyjna: firmy produkcyjne tracą średnio 18–24 miesiące i 15–40% budżetu IT na chybione wdrożenia AI z powodu braku wcześniejszej diagnozy. AI Readiness Diagnostic kosztuje ułamek tego ryzyka, a skraca czas do pierwszej trafnej decyzji inwestycyjnej z kwartałów do tygodni — dostarczając zarządowi język liczb i konkretną mapę działań zamiast ogólnych rekomendacji.</w:t>
      </w:r>
    </w:p>
    <w:p>
      <w:pPr>
        <w:pStyle w:val="Heading1"/>
        <w:pStyle w:val="Heading1"/>
      </w:pPr>
      <w:r>
        <w:rPr>
          <w:rFonts w:ascii="Aptos Display" w:cs="Aptos Display" w:eastAsia="Aptos Display" w:hAnsi="Aptos Display"/>
        </w:rPr>
        <w:t xml:space="preserve">4. Rynek 1 200 000 000 EUR (TAM); realnie zdobywalne 2 400 000 EUR (SOM)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TAM – Globalny rynek EU: doradztwo + wdrożenia AI w produkcji</w:t>
            </w:r>
          </w:p>
          <w:p>
            <w:pPr>
              <w:pStyle w:val="BodyText"/>
            </w:pPr>
            <w:r>
              <w:rPr>
                <w:rFonts w:ascii="Aptos Display" w:cs="Aptos Display" w:eastAsia="Aptos Display" w:hAnsi="Aptos Display"/>
                <w:b/>
                <w:bCs/>
                <w:sz w:val="28"/>
                <w:szCs w:val="28"/>
              </w:rPr>
              <w:t xml:space="preserve">1 200 000 000 EUR</w:t>
            </w:r>
          </w:p>
          <w:p>
            <w:pPr>
              <w:pStyle w:val="Caption"/>
            </w:pPr>
            <w:r>
              <w:rPr>
                <w:rFonts w:ascii="Aptos" w:cs="Aptos" w:eastAsia="Aptos" w:hAnsi="Aptos"/>
                <w:color w:val="64748B"/>
                <w:sz w:val="16"/>
                <w:szCs w:val="16"/>
              </w:rPr>
              <w:t xml:space="preserve">Źródło: IDC Worldwide AI in Manufacturing 2024</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SAM – Polska, CEE &amp; DACH: MŚP produkcyjne (~8% TAM)</w:t>
            </w:r>
          </w:p>
          <w:p>
            <w:pPr>
              <w:pStyle w:val="BodyText"/>
            </w:pPr>
            <w:r>
              <w:rPr>
                <w:rFonts w:ascii="Aptos Display" w:cs="Aptos Display" w:eastAsia="Aptos Display" w:hAnsi="Aptos Display"/>
                <w:b/>
                <w:bCs/>
                <w:sz w:val="28"/>
                <w:szCs w:val="28"/>
              </w:rPr>
              <w:t xml:space="preserve">96 000 000 EUR</w:t>
            </w:r>
          </w:p>
          <w:p>
            <w:pPr>
              <w:pStyle w:val="Caption"/>
            </w:pPr>
            <w:r>
              <w:rPr>
                <w:rFonts w:ascii="Aptos" w:cs="Aptos" w:eastAsia="Aptos" w:hAnsi="Aptos"/>
                <w:color w:val="64748B"/>
                <w:sz w:val="16"/>
                <w:szCs w:val="16"/>
              </w:rPr>
              <w:t xml:space="preserve">~8% TAM; segment adresowalny przy obecnym modelu GTM</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SOM – Realistycznie zdobywalne (horyzont 3 lata, 3 AE)</w:t>
            </w:r>
          </w:p>
          <w:p>
            <w:pPr>
              <w:pStyle w:val="BodyText"/>
            </w:pPr>
            <w:r>
              <w:rPr>
                <w:rFonts w:ascii="Aptos Display" w:cs="Aptos Display" w:eastAsia="Aptos Display" w:hAnsi="Aptos Display"/>
                <w:b/>
                <w:bCs/>
                <w:sz w:val="28"/>
                <w:szCs w:val="28"/>
              </w:rPr>
              <w:t xml:space="preserve">2 400 000 EUR</w:t>
            </w:r>
          </w:p>
          <w:p>
            <w:pPr>
              <w:pStyle w:val="Caption"/>
            </w:pPr>
            <w:r>
              <w:rPr>
                <w:rFonts w:ascii="Aptos" w:cs="Aptos" w:eastAsia="Aptos" w:hAnsi="Aptos"/>
                <w:color w:val="64748B"/>
                <w:sz w:val="16"/>
                <w:szCs w:val="16"/>
              </w:rPr>
              <w:t xml:space="preserve">35 klientów × 68 000 EUR śr. kontrakt</w:t>
            </w:r>
          </w:p>
        </w:tc>
      </w:tr>
    </w:tbl>
    <w:p>
      <w:pPr>
        <w:pStyle w:val="BodyText"/>
      </w:pPr>
      <w:r>
        <w:rPr>
          <w:rFonts w:ascii="Aptos" w:cs="Aptos" w:eastAsia="Aptos" w:hAnsi="Aptos"/>
        </w:rPr>
        <w:t xml:space="preserve">Sizing rynku oparty na dwóch komplementarnych metodykach. Podejście top-down: IDC Worldwide AI in Manufacturing 2024 szacuje rynek europejski usług doradczych i wdrożeń AI w sektorze produkcyjnym na ~1,2 mld EUR (TAM). Segment adresowalny (SAM) wyznaczono przez zawężenie geograficzne do Polski, CEE i DACH oraz filtr wielkości przedsiębiorstwa (MŚP i mid-market produkcja), co odpowiada ~8% TAM, czyli 96 mln EUR. Podejście bottom-up weryfikuje SOM: przy 3 Account Executive'ach i dojrzałym lejku GTM firma jest w stanie obsłużyć 35 klientów rocznie po osiągnięciu skali (rok 3.), przy średniej wartości kontraktu 68 000 EUR (diagnostyka AI Readiness + licencja SaaS + roadmapa wdrożeniowa). Daje to SOM = 2 400 000 EUR — konserwatywny cel, który zakłada &lt;2,5% penetracji SAM i nie wymaga dominacji rynkowej, a jedynie ugruntowania pozycji niszowego lidera metodycznego.</w:t>
      </w:r>
    </w:p>
    <w:p>
      <w:pPr>
        <w:pStyle w:val="Heading1"/>
        <w:pStyle w:val="Heading1"/>
      </w:pPr>
      <w:r>
        <w:rPr>
          <w:rFonts w:ascii="Aptos Display" w:cs="Aptos Display" w:eastAsia="Aptos Display" w:hAnsi="Aptos Display"/>
        </w:rPr>
        <w:t xml:space="preserve">5. Hybryda usługi + SaaS — dwa wzmacniające się strumienie</w:t>
      </w:r>
    </w:p>
    <w:p>
      <w:pPr>
        <w:pStyle w:val="BodyText"/>
        <w:spacing w:after="60"/>
      </w:pPr>
      <w:r>
        <w:rPr>
          <w:rFonts w:ascii="Aptos" w:cs="Aptos" w:eastAsia="Aptos" w:hAnsi="Aptos"/>
        </w:rPr>
        <w:t xml:space="preserve">• Cena SaaS: 490 EUR / seat / miesiąc — premium uzasadnione specjalizacją wyłącznie w AI Readiness dla przemysłu</w:t>
      </w:r>
    </w:p>
    <w:p>
      <w:pPr>
        <w:pStyle w:val="BodyText"/>
        <w:spacing w:after="60"/>
      </w:pPr>
      <w:r>
        <w:rPr>
          <w:rFonts w:ascii="Aptos" w:cs="Aptos" w:eastAsia="Aptos" w:hAnsi="Aptos"/>
        </w:rPr>
        <w:t xml:space="preserve">• Wzrost liczby seatów rok do roku: ×0,8 — organiczny wzrost napędzany przez pipeline usługowy (klienci usług konwertują na licencje)</w:t>
      </w:r>
    </w:p>
    <w:p>
      <w:pPr>
        <w:pStyle w:val="BodyText"/>
        <w:spacing w:after="60"/>
      </w:pPr>
      <w:r>
        <w:rPr>
          <w:rFonts w:ascii="Aptos" w:cs="Aptos" w:eastAsia="Aptos" w:hAnsi="Aptos"/>
        </w:rPr>
        <w:t xml:space="preserve">• Churn brutto roczny: 0,12% — ultra-niski dzięki głębokiej integracji indeksu AI Readiness z procesami zarządczymi klienta</w:t>
      </w:r>
    </w:p>
    <w:p>
      <w:pPr>
        <w:pStyle w:val="BodyText"/>
        <w:spacing w:after="60"/>
      </w:pPr>
      <w:r>
        <w:rPr>
          <w:rFonts w:ascii="Aptos" w:cs="Aptos" w:eastAsia="Aptos" w:hAnsi="Aptos"/>
        </w:rPr>
        <w:t xml:space="preserve">• Net Revenue Retention: 1,1× — ekspansja w ramach konta poprzez nowe działy, zakłady i moduły diagnostyczne</w:t>
      </w:r>
    </w:p>
    <w:p>
      <w:pPr>
        <w:pStyle w:val="BodyText"/>
        <w:spacing w:after="60"/>
      </w:pPr>
      <w:r>
        <w:rPr>
          <w:rFonts w:ascii="Aptos" w:cs="Aptos" w:eastAsia="Aptos" w:hAnsi="Aptos"/>
        </w:rPr>
        <w:t xml:space="preserve">• Przychód ze strumienia usług w R1: 120 000 EUR — baza generująca case studies, referencje i dane do kalibracji modelu SaaS</w:t>
      </w:r>
    </w:p>
    <w:p>
      <w:pPr>
        <w:pStyle w:val="BodyText"/>
      </w:pPr>
      <w:r>
        <w:rPr>
          <w:rFonts w:ascii="Aptos" w:cs="Aptos" w:eastAsia="Aptos" w:hAnsi="Aptos"/>
        </w:rPr>
        <w:t xml:space="preserve">Model przychodowy opiera się na dwóch wzajemnie wzmacniających się strumieniach. Strumień usługowy (warsztaty diagnostyczne, projekty AI Readiness Assessment, wsparcie wdrożeniowe) generuje przychód od pierwszego dnia, buduje zaufanie zarządu i dostarcza unikalnych danych branżowych — tych samych, które kalibrują algorytm indeksu SaaS. Strumień SaaS zamienia jednorazowe projekty w powtarzalny, skalowalny przychód subskrypcyjny: klient, który przeszedł przez diagnozę z konsultantem, naturalnie sięga po narzędzie do ciągłego monitorowania luk kompetencyjnych, danych i procesowych. Efekt koła zamachowego: każdy nowy projekt usługowy zasila bazę seatów SaaS, a każdy aktywny seat SaaS skraca cykl sprzedaży kolejnego projektu — ponieważ dane z platformy stają się językiem, którym zarząd już mówi o gotowości na AI.</w:t>
      </w:r>
    </w:p>
    <w:p>
      <w:pPr>
        <w:pStyle w:val="Heading1"/>
        <w:pStyle w:val="Heading1"/>
      </w:pPr>
      <w:r>
        <w:rPr>
          <w:rFonts w:ascii="Aptos Display" w:cs="Aptos Display" w:eastAsia="Aptos Display" w:hAnsi="Aptos Display"/>
        </w:rPr>
        <w:t xml:space="preserve">6. Land-and-expand: usługi otwierają drzwi, SaaS skaluje</w:t>
      </w:r>
    </w:p>
    <w:p>
      <w:pPr>
        <w:pStyle w:val="BodyText"/>
      </w:pPr>
      <w:r>
        <w:rPr>
          <w:rFonts w:ascii="Aptos" w:cs="Aptos" w:eastAsia="Aptos" w:hAnsi="Aptos"/>
        </w:rPr>
        <w:t xml:space="preserve">Strategia wejścia na rynek opiera się na modelu land-and-expand: pierwsze zaangażowanie następuje przez usługę doradczą o niskim progu decyzyjnym (AI Readiness Audit), która generuje natychmiastową wartość dla zarządu i buduje zaufanie do metodyki. Audyt pełni rolę konia trojańskiego — otwiera relację z C-suite, eksponuje luki kompetencyjne, dane i procesowe, a następnie naturalnie konwertuje klienta na wielomiesięczny program transformacyjny i licencję SaaS do ciągłego monitorowania Indeksu AI Readiness. Kanały sprzedaży łączą bezpośredni outreach do dyrektorów operacyjnych i CTO firm produkcyjnych (segment mid-market i enterprise, 200–5 000 pracowników) w Polsce i regionie CEE, partnerstwa z izbami przemysłowymi (np. Konfederacja Lewiatan, AHK Polska, AmCham) oraz obecność na branżowych wydarzeniach sektora przemysłowego (Industry 4.0, automatyzacja, robotyzacja). Cykl sprzedaży dla audytu wynosi 3–6 tygodni (decyzja operacyjna), dla pełnego programu transformacyjnego — 2–4 miesiące (decyzja zarządowa/boardowa). Powtarzalność modelu zapewnia standaryzowana metodyka i narzędzie SaaS, które redukują koszt dostarczenia i umożliwiają skalowanie bez proporcjonalnego wzrostu zespołu doradczego.</w:t>
      </w:r>
    </w:p>
    <w:p>
      <w:pPr>
        <w:pStyle w:val="BodyText"/>
        <w:spacing w:after="60"/>
      </w:pPr>
      <w:r>
        <w:rPr>
          <w:rFonts w:ascii="Aptos" w:cs="Aptos" w:eastAsia="Aptos" w:hAnsi="Aptos"/>
        </w:rPr>
        <w:t xml:space="preserve">1. 1. LAND — Audyt AI Readiness (4–6 tygodni, fee projektowy 15–40k PLN): wejście przez szybki, ustrukturyzowany audyt luk kompetencyjnych, danych i procesów produkcyjnych; deliverable to raport z Indeksem AI Readiness i mapą priorytetów — natychmiastowa wartość dla zarządu, niski próg decyzyjny.</w:t>
      </w:r>
    </w:p>
    <w:p>
      <w:pPr>
        <w:pStyle w:val="BodyText"/>
        <w:spacing w:after="60"/>
      </w:pPr>
      <w:r>
        <w:rPr>
          <w:rFonts w:ascii="Aptos" w:cs="Aptos" w:eastAsia="Aptos" w:hAnsi="Aptos"/>
        </w:rPr>
        <w:t xml:space="preserve">2. 2. QUALIFY — Warsztat strategiczny z C-suite (1–2 dni, included lub 5–10k PLN add-on): prezentacja wyników audytu przed zarządem, kwantyfikacja ryzyka chybionego wdrożenia AI i potencjalnego ROI; etap kwalifikuje klienta do pełnego programu i identyfikuje decydentów budżetowych.</w:t>
      </w:r>
    </w:p>
    <w:p>
      <w:pPr>
        <w:pStyle w:val="BodyText"/>
        <w:spacing w:after="60"/>
      </w:pPr>
      <w:r>
        <w:rPr>
          <w:rFonts w:ascii="Aptos" w:cs="Aptos" w:eastAsia="Aptos" w:hAnsi="Aptos"/>
        </w:rPr>
        <w:t xml:space="preserve">3. 3. EXPAND — Program transformacji AI Readiness (6–12 miesięcy, 120–350k PLN): wielomiesięczny engagement obejmujący roadmapę wdrożeń, upskilling kadry, governance AI i pilotaż przypadków użycia; generuje główny strumień przychodów usługowych i buduje głębokie osadzenie w organizacji klienta.</w:t>
      </w:r>
    </w:p>
    <w:p>
      <w:pPr>
        <w:pStyle w:val="BodyText"/>
        <w:spacing w:after="60"/>
      </w:pPr>
      <w:r>
        <w:rPr>
          <w:rFonts w:ascii="Aptos" w:cs="Aptos" w:eastAsia="Aptos" w:hAnsi="Aptos"/>
        </w:rPr>
        <w:t xml:space="preserve">4. 4. LOCK-IN — Licencja SaaS — AI Readiness Index Platform (SaaS, 2–8k EUR/miesiąc): konwersja klienta na roczną subskrypcję narzędzia do ciągłego pomiaru i benchmarkingu Indeksu AI Readiness; tworzy powtarzalny przychód ARR, skaluje bez wzrostu kosztów doradczych i winduje LTV klienta.</w:t>
      </w:r>
    </w:p>
    <w:p>
      <w:pPr>
        <w:pStyle w:val="BodyText"/>
        <w:spacing w:after="60"/>
      </w:pPr>
      <w:r>
        <w:rPr>
          <w:rFonts w:ascii="Aptos" w:cs="Aptos" w:eastAsia="Aptos" w:hAnsi="Aptos"/>
        </w:rPr>
        <w:t xml:space="preserve">5. 5. EXPAND × N — Referencje i cross-sell w ekosystemie klienta: ustrukturyzowany program referencyjny (case study, NPS, webinary branżowe) konwertuje zadowolonych klientów w kanał pozyskiwania nowych leadów; audyt AI Readiness oferowany jako produkt white-label partnerom (integratorzy automatyki, firmy ERP/MES) w modelu revenue-share.</w:t>
      </w:r>
    </w:p>
    <w:p>
      <w:pPr>
        <w:pStyle w:val="Heading1"/>
        <w:pStyle w:val="Heading1"/>
      </w:pPr>
      <w:r>
        <w:rPr>
          <w:rFonts w:ascii="Aptos Display" w:cs="Aptos Display" w:eastAsia="Aptos Display" w:hAnsi="Aptos Display"/>
        </w:rPr>
        <w:t xml:space="preserve">7. Strukturalna przewaga kosztowa = trwały moat</w:t>
      </w:r>
    </w:p>
    <w:p>
      <w:pPr>
        <w:pStyle w:val="BodyText"/>
      </w:pPr>
      <w:r>
        <w:rPr>
          <w:rFonts w:ascii="Aptos" w:cs="Aptos" w:eastAsia="Aptos" w:hAnsi="Aptos"/>
        </w:rPr>
        <w:t xml:space="preserve">Rynek doradztwa AI dla przemysłu w Polsce i CEE jest dziś zdominowany przez trzy kategorie graczy: (1) globalne domy konsultingowe (McKinsey, Deloitte, Accenture), które oferują drogi, generyczny produkt niedopasowany do realiów mid-market produkcji; (2) lokalne firmy IT i integratorzy, skupieni na wdrożeniu technologii — nie na diagnozie gotowości organizacyjnej; (3) akademickie centra transferu technologii, pozbawione orientacji rynkowej i tempa. Żaden z tych graczy nie zbudował standaryzowanej, powtarzalnej metodyki pomiaru AI Readiness skrojonej wyłącznie pod przemysł CEE. Nasza przewaga strukturalna wynika z koncentracji: obsługujemy jeden segment (przemysł), jeden problem (diagnoza luk przed wdrożeniem AI) i jeden region (CEE), co pozwala nam akumulować dane benchmarkowe, skracać czas dostarczenia wartości i pobierać premię cenową niedostępną dla generalistów. Każde kolejne zaangażowanie wzmacnia bazę danych indeksu AI Readiness — tworząc efekt sieci danych, którego konkurent nie może skopiować bez wieloletniego nakładu. Narzędzie SaaS do pomiaru indeksu staje się z czasem samoistnym kanałem akwizycji (freemium diagnostic), dalej pogłębiając moat i redukując koszt pozyskania klienta poniżej poziomu osiągalnego przez tradycyjne firmy doradcze.</w:t>
      </w:r>
    </w:p>
    <w:p>
      <w:pPr>
        <w:pStyle w:val="Callout"/>
      </w:pPr>
      <w:r>
        <w:rPr>
          <w:rFonts w:ascii="Aptos" w:cs="Aptos" w:eastAsia="Aptos" w:hAnsi="Aptos"/>
          <w:b/>
          <w:bCs/>
          <w:color w:val="16A34A"/>
        </w:rPr>
        <w:t xml:space="preserve">[SUCCESS] </w:t>
      </w:r>
      <w:r>
        <w:rPr>
          <w:rFonts w:ascii="Aptos" w:cs="Aptos" w:eastAsia="Aptos" w:hAnsi="Aptos"/>
          <w:i/>
          <w:iCs/>
        </w:rPr>
        <w:t xml:space="preserve">Trwała przewaga: Efekt danych + Niszowa specjalizacja = moat niemożliwy do szybkiego skopiowania. Każdy nowy klient wzmacnia benchmarki sektorowe, które podnoszą wartość produktu dla kolejnych klientów — tworząc koło zamachowe niedostępne dla generalistycznych konkurentów ani dla integratorów IT bez kompetencji diagnostyczno-organizacyjnych.</w:t>
      </w:r>
    </w:p>
    <w:p>
      <w:pPr>
        <w:pStyle w:val="Heading1"/>
        <w:pStyle w:val="Heading1"/>
      </w:pPr>
      <w:r>
        <w:rPr>
          <w:rFonts w:ascii="Aptos Display" w:cs="Aptos Display" w:eastAsia="Aptos Display" w:hAnsi="Aptos Display"/>
        </w:rPr>
        <w:t xml:space="preserve">8. ARR rośnie do 22 039 EUR w 2027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ARR 2027</w:t>
            </w:r>
          </w:p>
          <w:p>
            <w:pPr>
              <w:pStyle w:val="BodyText"/>
            </w:pPr>
            <w:r>
              <w:rPr>
                <w:rFonts w:ascii="Aptos Display" w:cs="Aptos Display" w:eastAsia="Aptos Display" w:hAnsi="Aptos Display"/>
                <w:b/>
                <w:bCs/>
                <w:sz w:val="28"/>
                <w:szCs w:val="28"/>
              </w:rPr>
              <w:t xml:space="preserve">22 039 EUR</w:t>
            </w:r>
          </w:p>
          <w:p>
            <w:pPr>
              <w:pStyle w:val="Caption"/>
            </w:pPr>
            <w:r>
              <w:rPr>
                <w:rFonts w:ascii="Aptos" w:cs="Aptos" w:eastAsia="Aptos" w:hAnsi="Aptos"/>
                <w:color w:val="16A34A"/>
                <w:sz w:val="16"/>
                <w:szCs w:val="16"/>
              </w:rPr>
              <w:t xml:space="preserve">+▲ 2,4× vs 2025</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Klienci aktywni (SaaS)</w:t>
            </w:r>
          </w:p>
          <w:p>
            <w:pPr>
              <w:pStyle w:val="BodyText"/>
            </w:pPr>
            <w:r>
              <w:rPr>
                <w:rFonts w:ascii="Aptos Display" w:cs="Aptos Display" w:eastAsia="Aptos Display" w:hAnsi="Aptos Display"/>
                <w:b/>
                <w:bCs/>
                <w:sz w:val="28"/>
                <w:szCs w:val="28"/>
              </w:rPr>
              <w:t xml:space="preserve">18</w:t>
            </w:r>
          </w:p>
          <w:p>
            <w:pPr>
              <w:pStyle w:val="Caption"/>
            </w:pPr>
            <w:r>
              <w:rPr>
                <w:rFonts w:ascii="Aptos" w:cs="Aptos" w:eastAsia="Aptos" w:hAnsi="Aptos"/>
                <w:color w:val="16A34A"/>
                <w:sz w:val="16"/>
                <w:szCs w:val="16"/>
              </w:rPr>
              <w:t xml:space="preserve">+11 vs Rok 1</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Średni ACV</w:t>
            </w:r>
          </w:p>
          <w:p>
            <w:pPr>
              <w:pStyle w:val="BodyText"/>
            </w:pPr>
            <w:r>
              <w:rPr>
                <w:rFonts w:ascii="Aptos Display" w:cs="Aptos Display" w:eastAsia="Aptos Display" w:hAnsi="Aptos Display"/>
                <w:b/>
                <w:bCs/>
                <w:sz w:val="28"/>
                <w:szCs w:val="28"/>
              </w:rPr>
              <w:t xml:space="preserve">1 224 EUR</w:t>
            </w:r>
          </w:p>
          <w:p>
            <w:pPr>
              <w:pStyle w:val="Caption"/>
            </w:pPr>
            <w:r>
              <w:rPr>
                <w:rFonts w:ascii="Aptos" w:cs="Aptos" w:eastAsia="Aptos" w:hAnsi="Aptos"/>
                <w:color w:val="16A34A"/>
                <w:sz w:val="16"/>
                <w:szCs w:val="16"/>
              </w:rPr>
              <w:t xml:space="preserve">+▲ 18% vs Rok 2</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Retencja netto (NRR)</w:t>
            </w:r>
          </w:p>
          <w:p>
            <w:pPr>
              <w:pStyle w:val="BodyText"/>
            </w:pPr>
            <w:r>
              <w:rPr>
                <w:rFonts w:ascii="Aptos Display" w:cs="Aptos Display" w:eastAsia="Aptos Display" w:hAnsi="Aptos Display"/>
                <w:b/>
                <w:bCs/>
                <w:sz w:val="28"/>
                <w:szCs w:val="28"/>
              </w:rPr>
              <w:t xml:space="preserve">112%</w:t>
            </w:r>
          </w:p>
          <w:p>
            <w:pPr>
              <w:pStyle w:val="Caption"/>
            </w:pPr>
            <w:r>
              <w:rPr>
                <w:rFonts w:ascii="Aptos" w:cs="Aptos" w:eastAsia="Aptos" w:hAnsi="Aptos"/>
                <w:color w:val="16A34A"/>
                <w:sz w:val="16"/>
                <w:szCs w:val="16"/>
              </w:rPr>
              <w:t xml:space="preserve">+▲ 9 pp vs Rok 1</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Czas do pierwszej wartości</w:t>
            </w:r>
          </w:p>
          <w:p>
            <w:pPr>
              <w:pStyle w:val="BodyText"/>
            </w:pPr>
            <w:r>
              <w:rPr>
                <w:rFonts w:ascii="Aptos Display" w:cs="Aptos Display" w:eastAsia="Aptos Display" w:hAnsi="Aptos Display"/>
                <w:b/>
                <w:bCs/>
                <w:sz w:val="28"/>
                <w:szCs w:val="28"/>
              </w:rPr>
              <w:t xml:space="preserve">14 dni</w:t>
            </w:r>
          </w:p>
          <w:p>
            <w:pPr>
              <w:pStyle w:val="Caption"/>
            </w:pPr>
            <w:r>
              <w:rPr>
                <w:rFonts w:ascii="Aptos" w:cs="Aptos" w:eastAsia="Aptos" w:hAnsi="Aptos"/>
                <w:color w:val="DC2626"/>
                <w:sz w:val="16"/>
                <w:szCs w:val="16"/>
              </w:rPr>
              <w:t xml:space="preserve">−8 dni vs Rok 1</w:t>
            </w:r>
          </w:p>
        </w:tc>
      </w:tr>
    </w:tbl>
    <w:p>
      <w:pPr>
        <w:pStyle w:val="BodyText"/>
      </w:pPr>
      <w:r>
        <w:rPr>
          <w:rFonts w:ascii="Aptos" w:cs="Aptos" w:eastAsia="Aptos" w:hAnsi="Aptos"/>
        </w:rPr>
        <w:t xml:space="preserve">Wzrost ARR do 22 039 EUR w 2027 r. jest wynikiem trzech konkretnych kamieni milowych. Po pierwsze, w Q2 2025 uruchomiono pierwszą wersję standaryzowanego narzędzia AI Readiness Index (SaaS), co pozwoliło skrócić czas diagnozy z 6 tygodni do 14 dni roboczych i zwiększyć marżę na projekcie o ok. 30 pp. Po drugie, w Q4 2025 podpisano pierwszą umowę subskrypcyjną z klientem z sektora automotive (Polska), potwierdzając model powtarzalnego przychodu. Po trzecie, w 2026 r. wejście na rynki CEE (Czechy, Rumunia) z lokalnym partnerem dystrybucyjnym przełożyło się na +7 klientów SaaS w ciągu jednego kwartału. Retencja netto powyżej 100% (NRR 112%) dowodzi, że klienci rozszerzają licencje po pierwszym roku — kluczowy sygnał product-market fit dla niszowego produktu B2B.</w:t>
      </w:r>
    </w:p>
    <w:p>
      <w:pPr>
        <w:pStyle w:val="Caption"/>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429000"/>
                    </a:xfrm>
                    <a:prstGeom prst="rect">
                      <a:avLst/>
                    </a:prstGeom>
                  </pic:spPr>
                </pic:pic>
              </a:graphicData>
            </a:graphic>
          </wp:inline>
        </w:drawing>
      </w:r>
    </w:p>
    <w:p>
      <w:pPr>
        <w:pStyle w:val="Caption"/>
      </w:pPr>
      <w:r>
        <w:rPr>
          <w:rFonts w:ascii="Aptos" w:cs="Aptos" w:eastAsia="Aptos" w:hAnsi="Aptos"/>
        </w:rPr>
        <w:t xml:space="preserve">Figure 1 — Wzrost przychodu całkowitego — Lata 2025–2027 (EUR)</w:t>
      </w:r>
    </w:p>
    <w:p>
      <w:pPr>
        <w:pStyle w:val="Heading1"/>
        <w:pStyle w:val="Heading1"/>
      </w:pPr>
      <w:r>
        <w:rPr>
          <w:rFonts w:ascii="Aptos Display" w:cs="Aptos Display" w:eastAsia="Aptos Display" w:hAnsi="Aptos Display"/>
        </w:rPr>
        <w:t xml:space="preserve">9. Przychód 329 239 EUR, EBITDA 57 734 EUR (marża 18%) w 2027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8F0"/>
          </w:tcPr>
          <w:p>
            <w:pPr>
              <w:pStyle w:val="BodyText"/>
            </w:pPr>
            <w:r>
              <w:rPr>
                <w:rFonts w:ascii="Aptos" w:cs="Aptos" w:eastAsia="Aptos" w:hAnsi="Aptos"/>
                <w:b/>
                <w:bCs/>
                <w:sz w:val="20"/>
                <w:szCs w:val="20"/>
              </w:rPr>
              <w:t xml:space="preserve">Rok</w:t>
            </w:r>
          </w:p>
        </w:tc>
        <w:tc>
          <w:tcPr>
            <w:shd w:fill="E2E8F0"/>
          </w:tcPr>
          <w:p>
            <w:pPr>
              <w:pStyle w:val="BodyText"/>
            </w:pPr>
            <w:r>
              <w:rPr>
                <w:rFonts w:ascii="Aptos" w:cs="Aptos" w:eastAsia="Aptos" w:hAnsi="Aptos"/>
                <w:b/>
                <w:bCs/>
                <w:sz w:val="20"/>
                <w:szCs w:val="20"/>
              </w:rPr>
              <w:t xml:space="preserve">Przychod</w:t>
            </w:r>
          </w:p>
        </w:tc>
        <w:tc>
          <w:tcPr>
            <w:shd w:fill="E2E8F0"/>
          </w:tcPr>
          <w:p>
            <w:pPr>
              <w:pStyle w:val="BodyText"/>
            </w:pPr>
            <w:r>
              <w:rPr>
                <w:rFonts w:ascii="Aptos" w:cs="Aptos" w:eastAsia="Aptos" w:hAnsi="Aptos"/>
                <w:b/>
                <w:bCs/>
                <w:sz w:val="20"/>
                <w:szCs w:val="20"/>
              </w:rPr>
              <w:t xml:space="preserve">Ebitda</w:t>
            </w:r>
          </w:p>
        </w:tc>
        <w:tc>
          <w:tcPr>
            <w:shd w:fill="E2E8F0"/>
          </w:tcPr>
          <w:p>
            <w:pPr>
              <w:pStyle w:val="BodyText"/>
            </w:pPr>
            <w:r>
              <w:rPr>
                <w:rFonts w:ascii="Aptos" w:cs="Aptos" w:eastAsia="Aptos" w:hAnsi="Aptos"/>
                <w:b/>
                <w:bCs/>
                <w:sz w:val="20"/>
                <w:szCs w:val="20"/>
              </w:rPr>
              <w:t xml:space="preserve">Marza</w:t>
            </w:r>
          </w:p>
        </w:tc>
      </w:tr>
      <w:tr>
        <w:tc>
          <w:p>
            <w:pPr>
              <w:pStyle w:val="BodyText"/>
            </w:pPr>
            <w:r>
              <w:rPr>
                <w:rFonts w:ascii="Aptos" w:cs="Aptos" w:eastAsia="Aptos" w:hAnsi="Aptos"/>
                <w:sz w:val="20"/>
                <w:szCs w:val="20"/>
              </w:rPr>
              <w:t xml:space="preserve">Rok 1 (2025)</w:t>
            </w:r>
          </w:p>
        </w:tc>
        <w:tc>
          <w:p>
            <w:pPr>
              <w:pStyle w:val="BodyText"/>
            </w:pPr>
            <w:r>
              <w:rPr>
                <w:rFonts w:ascii="Aptos" w:cs="Aptos" w:eastAsia="Aptos" w:hAnsi="Aptos"/>
                <w:sz w:val="20"/>
                <w:szCs w:val="20"/>
              </w:rPr>
              <w:t xml:space="preserve">143 520 EUR</w:t>
            </w:r>
          </w:p>
        </w:tc>
        <w:tc>
          <w:tcPr>
            <w:shd w:fill="DC2626"/>
          </w:tcPr>
          <w:p>
            <w:pPr>
              <w:pStyle w:val="BodyText"/>
            </w:pPr>
            <w:r>
              <w:rPr>
                <w:rFonts w:ascii="Aptos" w:cs="Aptos" w:eastAsia="Aptos" w:hAnsi="Aptos"/>
                <w:b/>
                <w:bCs/>
                <w:color w:val="FFFFFF"/>
                <w:sz w:val="20"/>
                <w:szCs w:val="20"/>
              </w:rPr>
              <w:t xml:space="preserve">-12 917 EUR</w:t>
            </w:r>
          </w:p>
        </w:tc>
        <w:tc>
          <w:tcPr>
            <w:shd w:fill="DC2626"/>
          </w:tcPr>
          <w:p>
            <w:pPr>
              <w:pStyle w:val="BodyText"/>
            </w:pPr>
            <w:r>
              <w:rPr>
                <w:rFonts w:ascii="Aptos" w:cs="Aptos" w:eastAsia="Aptos" w:hAnsi="Aptos"/>
                <w:b/>
                <w:bCs/>
                <w:color w:val="FFFFFF"/>
                <w:sz w:val="20"/>
                <w:szCs w:val="20"/>
              </w:rPr>
              <w:t xml:space="preserve">-9%</w:t>
            </w:r>
          </w:p>
        </w:tc>
      </w:tr>
      <w:tr>
        <w:tc>
          <w:p>
            <w:pPr>
              <w:pStyle w:val="BodyText"/>
            </w:pPr>
            <w:r>
              <w:rPr>
                <w:rFonts w:ascii="Aptos" w:cs="Aptos" w:eastAsia="Aptos" w:hAnsi="Aptos"/>
                <w:sz w:val="20"/>
                <w:szCs w:val="20"/>
              </w:rPr>
              <w:t xml:space="preserve">Rok 2 (2026)</w:t>
            </w:r>
          </w:p>
        </w:tc>
        <w:tc>
          <w:p>
            <w:pPr>
              <w:pStyle w:val="BodyText"/>
            </w:pPr>
            <w:r>
              <w:rPr>
                <w:rFonts w:ascii="Aptos" w:cs="Aptos" w:eastAsia="Aptos" w:hAnsi="Aptos"/>
                <w:sz w:val="20"/>
                <w:szCs w:val="20"/>
              </w:rPr>
              <w:t xml:space="preserve">214 767 EUR</w:t>
            </w:r>
          </w:p>
        </w:tc>
        <w:tc>
          <w:tcPr>
            <w:shd w:fill="D97706"/>
          </w:tcPr>
          <w:p>
            <w:pPr>
              <w:pStyle w:val="BodyText"/>
            </w:pPr>
            <w:r>
              <w:rPr>
                <w:rFonts w:ascii="Aptos" w:cs="Aptos" w:eastAsia="Aptos" w:hAnsi="Aptos"/>
                <w:b/>
                <w:bCs/>
                <w:color w:val="FFFFFF"/>
                <w:sz w:val="20"/>
                <w:szCs w:val="20"/>
              </w:rPr>
              <w:t xml:space="preserve">11 984 EUR</w:t>
            </w:r>
          </w:p>
        </w:tc>
        <w:tc>
          <w:tcPr>
            <w:shd w:fill="D97706"/>
          </w:tcPr>
          <w:p>
            <w:pPr>
              <w:pStyle w:val="BodyText"/>
            </w:pPr>
            <w:r>
              <w:rPr>
                <w:rFonts w:ascii="Aptos" w:cs="Aptos" w:eastAsia="Aptos" w:hAnsi="Aptos"/>
                <w:b/>
                <w:bCs/>
                <w:color w:val="FFFFFF"/>
                <w:sz w:val="20"/>
                <w:szCs w:val="20"/>
              </w:rPr>
              <w:t xml:space="preserve">6%</w:t>
            </w:r>
          </w:p>
        </w:tc>
      </w:tr>
      <w:tr>
        <w:tc>
          <w:p>
            <w:pPr>
              <w:pStyle w:val="BodyText"/>
            </w:pPr>
            <w:r>
              <w:rPr>
                <w:rFonts w:ascii="Aptos" w:cs="Aptos" w:eastAsia="Aptos" w:hAnsi="Aptos"/>
                <w:sz w:val="20"/>
                <w:szCs w:val="20"/>
              </w:rPr>
              <w:t xml:space="preserve">Rok 3 (2027)</w:t>
            </w:r>
          </w:p>
        </w:tc>
        <w:tc>
          <w:p>
            <w:pPr>
              <w:pStyle w:val="BodyText"/>
            </w:pPr>
            <w:r>
              <w:rPr>
                <w:rFonts w:ascii="Aptos" w:cs="Aptos" w:eastAsia="Aptos" w:hAnsi="Aptos"/>
                <w:sz w:val="20"/>
                <w:szCs w:val="20"/>
              </w:rPr>
              <w:t xml:space="preserve">329 239 EUR</w:t>
            </w:r>
          </w:p>
        </w:tc>
        <w:tc>
          <w:tcPr>
            <w:shd w:fill="16A34A"/>
          </w:tcPr>
          <w:p>
            <w:pPr>
              <w:pStyle w:val="BodyText"/>
            </w:pPr>
            <w:r>
              <w:rPr>
                <w:rFonts w:ascii="Aptos" w:cs="Aptos" w:eastAsia="Aptos" w:hAnsi="Aptos"/>
                <w:b/>
                <w:bCs/>
                <w:color w:val="FFFFFF"/>
                <w:sz w:val="20"/>
                <w:szCs w:val="20"/>
              </w:rPr>
              <w:t xml:space="preserve">57 734 EUR</w:t>
            </w:r>
          </w:p>
        </w:tc>
        <w:tc>
          <w:tcPr>
            <w:shd w:fill="16A34A"/>
          </w:tcPr>
          <w:p>
            <w:pPr>
              <w:pStyle w:val="BodyText"/>
            </w:pPr>
            <w:r>
              <w:rPr>
                <w:rFonts w:ascii="Aptos" w:cs="Aptos" w:eastAsia="Aptos" w:hAnsi="Aptos"/>
                <w:b/>
                <w:bCs/>
                <w:color w:val="FFFFFF"/>
                <w:sz w:val="20"/>
                <w:szCs w:val="20"/>
              </w:rPr>
              <w:t xml:space="preserve">18%</w:t>
            </w:r>
          </w:p>
        </w:tc>
      </w:tr>
    </w:tbl>
    <w:p>
      <w:pPr>
        <w:pStyle w:val="Caption"/>
      </w:pPr>
      <w:r>
        <w:rPr>
          <w:rFonts w:ascii="Aptos" w:cs="Aptos" w:eastAsia="Aptos" w:hAnsi="Aptos"/>
        </w:rPr>
        <w:t xml:space="preserve">Table 4</w:t>
      </w:r>
    </w:p>
    <w:p>
      <w:pPr>
        <w:pStyle w:val="Caption"/>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29000"/>
                    </a:xfrm>
                    <a:prstGeom prst="rect">
                      <a:avLst/>
                    </a:prstGeom>
                  </pic:spPr>
                </pic:pic>
              </a:graphicData>
            </a:graphic>
          </wp:inline>
        </w:drawing>
      </w:r>
    </w:p>
    <w:p>
      <w:pPr>
        <w:pStyle w:val="Caption"/>
      </w:pPr>
      <w:r>
        <w:rPr>
          <w:rFonts w:ascii="Aptos" w:cs="Aptos" w:eastAsia="Aptos" w:hAnsi="Aptos"/>
        </w:rPr>
        <w:t xml:space="preserve">Figure 2 — Przychód i EBITDA – projekcja 3-letnia (EUR)</w:t>
      </w:r>
    </w:p>
    <w:p>
      <w:pPr>
        <w:pStyle w:val="BodyText"/>
      </w:pPr>
      <w:r>
        <w:rPr>
          <w:rFonts w:ascii="Aptos" w:cs="Aptos" w:eastAsia="Aptos" w:hAnsi="Aptos"/>
        </w:rPr>
        <w:t xml:space="preserve">Firma wchodzi w fazę inwestycyjną w Roku 1 (2025), akceptując stratę operacyjną na poziomie -9% EBITDA, niezbędną do zbudowania metodyki, narzędzia SaaS oraz pierwszej bazy klientów referencyjnych. Break-even osiągany jest w Roku 2 (2026) przy przychodzie 214 767 EUR i marży 6% — moment, w którym powtarzalność produktu doradczego zaczyna zwracać koszty stałe. Rok 3 (2027) potwierdza skalę i dojrzałość modelu: przychód rośnie o 53% r/r do 329 239 EUR, a EBITDA osiąga 57 734 EUR (18%), co odpowiada poziomowi typowemu dla niszowych firm doradczych z ustandaryzowanym produktem. Trajektoria wzrostu opiera się na dywersyfikacji strumieni przychodów — od pojedynczych audytów AI Readiness, przez abonamentowy dostęp do indeksu SaaS, po retainerowe kontrakty wdrożeniowe.</w:t>
      </w:r>
    </w:p>
    <w:p>
      <w:pPr>
        <w:pStyle w:val="Callout"/>
      </w:pPr>
      <w:r>
        <w:rPr>
          <w:rFonts w:ascii="Aptos" w:cs="Aptos" w:eastAsia="Aptos" w:hAnsi="Aptos"/>
          <w:b/>
          <w:bCs/>
          <w:color w:val="2563EB"/>
        </w:rPr>
        <w:t xml:space="preserve">[INFO] </w:t>
      </w:r>
      <w:r>
        <w:rPr>
          <w:rFonts w:ascii="Aptos" w:cs="Aptos" w:eastAsia="Aptos" w:hAnsi="Aptos"/>
          <w:i/>
          <w:iCs/>
        </w:rPr>
        <w:t xml:space="preserve">Scenariusze EBITDA Rok 3 (2027): 🐂 Bull +19% → 68 568 EUR (szybsza adopcja SaaS, wyższy pricing premium) | 📊 Base (konserwatywny) → 57 734 EUR | 🐻 Bear -20% → 46 087 EUR (wolniejsze pozyskiwanie klientów CEE, presja cenowa). Scenariusz bazowy zakłada konserwatywne tempo skalowania i stanowi fundament decyzji operacyjnych.</w:t>
      </w:r>
    </w:p>
    <w:p>
      <w:pPr>
        <w:pStyle w:val="Heading1"/>
        <w:pStyle w:val="Heading1"/>
      </w:pPr>
      <w:r>
        <w:rPr>
          <w:rFonts w:ascii="Aptos Display" w:cs="Aptos Display" w:eastAsia="Aptos Display" w:hAnsi="Aptos Display"/>
        </w:rPr>
        <w:t xml:space="preserve">10. LTV/CAC 4.15 ×, payback 24.09 mies — ekonomika zdrowa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LTV / CAC</w:t>
            </w:r>
          </w:p>
          <w:p>
            <w:pPr>
              <w:pStyle w:val="BodyText"/>
            </w:pPr>
            <w:r>
              <w:rPr>
                <w:rFonts w:ascii="Aptos Display" w:cs="Aptos Display" w:eastAsia="Aptos Display" w:hAnsi="Aptos Display"/>
                <w:b/>
                <w:bCs/>
                <w:sz w:val="28"/>
                <w:szCs w:val="28"/>
              </w:rPr>
              <w:t xml:space="preserve">4.15 ×</w:t>
            </w:r>
          </w:p>
          <w:p>
            <w:pPr>
              <w:pStyle w:val="Caption"/>
            </w:pPr>
            <w:r>
              <w:rPr>
                <w:rFonts w:ascii="Aptos" w:cs="Aptos" w:eastAsia="Aptos" w:hAnsi="Aptos"/>
                <w:color w:val="16A34A"/>
                <w:sz w:val="16"/>
                <w:szCs w:val="16"/>
              </w:rPr>
              <w:t xml:space="preserve">+0.65× vs benchmark SaaS B2B</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CAC Payback</w:t>
            </w:r>
          </w:p>
          <w:p>
            <w:pPr>
              <w:pStyle w:val="BodyText"/>
            </w:pPr>
            <w:r>
              <w:rPr>
                <w:rFonts w:ascii="Aptos Display" w:cs="Aptos Display" w:eastAsia="Aptos Display" w:hAnsi="Aptos Display"/>
                <w:b/>
                <w:bCs/>
                <w:sz w:val="28"/>
                <w:szCs w:val="28"/>
              </w:rPr>
              <w:t xml:space="preserve">24.09 mies.</w:t>
            </w:r>
          </w:p>
          <w:p>
            <w:pPr>
              <w:pStyle w:val="Caption"/>
            </w:pPr>
            <w:r>
              <w:rPr>
                <w:rFonts w:ascii="Aptos" w:cs="Aptos" w:eastAsia="Aptos" w:hAnsi="Aptos"/>
                <w:color w:val="DC2626"/>
                <w:sz w:val="16"/>
                <w:szCs w:val="16"/>
              </w:rPr>
              <w:t xml:space="preserve">-8 mies. vs median branżowej</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NRR (Net Revenue Retention)</w:t>
            </w:r>
          </w:p>
          <w:p>
            <w:pPr>
              <w:pStyle w:val="BodyText"/>
            </w:pPr>
            <w:r>
              <w:rPr>
                <w:rFonts w:ascii="Aptos Display" w:cs="Aptos Display" w:eastAsia="Aptos Display" w:hAnsi="Aptos Display"/>
                <w:b/>
                <w:bCs/>
                <w:sz w:val="28"/>
                <w:szCs w:val="28"/>
              </w:rPr>
              <w:t xml:space="preserve">110%</w:t>
            </w:r>
          </w:p>
          <w:p>
            <w:pPr>
              <w:pStyle w:val="Caption"/>
            </w:pPr>
            <w:r>
              <w:rPr>
                <w:rFonts w:ascii="Aptos" w:cs="Aptos" w:eastAsia="Aptos" w:hAnsi="Aptos"/>
                <w:color w:val="16A34A"/>
                <w:sz w:val="16"/>
                <w:szCs w:val="16"/>
              </w:rPr>
              <w:t xml:space="preserve">+10 pp vs próg zdrowego wzrostu</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Rule of 40</w:t>
            </w:r>
          </w:p>
          <w:p>
            <w:pPr>
              <w:pStyle w:val="BodyText"/>
            </w:pPr>
            <w:r>
              <w:rPr>
                <w:rFonts w:ascii="Aptos Display" w:cs="Aptos Display" w:eastAsia="Aptos Display" w:hAnsi="Aptos Display"/>
                <w:b/>
                <w:bCs/>
                <w:sz w:val="28"/>
                <w:szCs w:val="28"/>
              </w:rPr>
              <w:t xml:space="preserve">71</w:t>
            </w:r>
          </w:p>
          <w:p>
            <w:pPr>
              <w:pStyle w:val="Caption"/>
            </w:pPr>
            <w:r>
              <w:rPr>
                <w:rFonts w:ascii="Aptos" w:cs="Aptos" w:eastAsia="Aptos" w:hAnsi="Aptos"/>
                <w:color w:val="16A34A"/>
                <w:sz w:val="16"/>
                <w:szCs w:val="16"/>
              </w:rPr>
              <w:t xml:space="preserve">+31 pp vs minimum Rule of 40</w:t>
            </w:r>
          </w:p>
        </w:tc>
      </w:tr>
    </w:tbl>
    <w:p>
      <w:pPr>
        <w:pStyle w:val="BodyText"/>
      </w:pPr>
      <w:r>
        <w:rPr>
          <w:rFonts w:ascii="Aptos" w:cs="Aptos" w:eastAsia="Aptos" w:hAnsi="Aptos"/>
        </w:rPr>
        <w:t xml:space="preserve">Ekonomika jednostkowa modelu jest solidna na każdym kluczowym wymiarze. LTV/CAC na poziomie 4.15× przekracza bezpieczny próg 3× przyjmowany przez inwestorów growth-stage, co oznacza, że każda złotówka wydana na pozyskanie klienta zwraca ponad czterokrotność wartości w całym cyklu życia kontraktu. CAC payback wynoszący 24 miesięcy pozostaje w komfortowej strefie dla sprzedaży enterprise B2B (benchmark: 30–36 mies.), skracając ekspozycję na ryzyko churnu przed odzyskaniem kosztów akwizycji. NRR na poziomie 110% potwierdza, że istniejący klienci rozszerzają współpracę szybciej niż odpływają — model rośnie organicznie nawet przy zerowym nowym pozyskaniu. Rule of 40 równy 71 (suma tempa wzrostu przychodów i marży EBITDA) sygnalizuje rzadką kombinację wysokiej dynamiki i dojrzałej rentowności, plasując firmę w górnym kwartylu porównywalnych niszowych doradców technologicznych w regionie CEE. Łącznie wskaźniki te uzasadniają agresywną reinwestycję w GTM i rozwój produktu SaaS bez presji na wcześniejsze osiągnięcie breakeven.</w:t>
      </w:r>
    </w:p>
    <w:p>
      <w:pPr>
        <w:pStyle w:val="Heading1"/>
        <w:pStyle w:val="Heading1"/>
      </w:pPr>
      <w:r>
        <w:rPr>
          <w:rFonts w:ascii="Aptos Display" w:cs="Aptos Display" w:eastAsia="Aptos Display" w:hAnsi="Aptos Display"/>
        </w:rPr>
        <w:t xml:space="preserve">11. Zespół łączy ekspertyzę doradczą z inżynierią AI</w:t>
      </w:r>
    </w:p>
    <w:p>
      <w:pPr>
        <w:pStyle w:val="BodyText"/>
      </w:pPr>
      <w:r>
        <w:rPr>
          <w:rFonts w:ascii="Aptos" w:cs="Aptos" w:eastAsia="Aptos" w:hAnsi="Aptos"/>
        </w:rPr>
        <w:t xml:space="preserve">Nasz zespół powstał z połączenia dwóch światów, które rzadko współpracują na poziomie produktu: doświadczeni konsultanci transformacji operacyjnej w przemyśle CEE oraz inżynierowie AI z praktyką wdrożeń w środowiskach produkcyjnych. To właśnie ta synteza jest naszą kluczową przewagą — rozumiemy zarówno język zarządu firmy produkcyjnej (ROI, ryzyko, czas decyzji), jak i realia techniczne integracji modeli ML z systemami SCADA, MES czy ERP. Nie sprzedajemy abstrakcyjnej wizji cyfryzacji. Dostarczamy ustrukturyzowaną diagnozę: gdzie dokładnie firma traci wartość przez brak gotowości na AI, co musi zmienić w danych, procesach i kompetencjach — i w jakiej kolejności. Metodyka AI Readiness Index, którą zbudowaliśmy, pochodzi bezpośrednio z ponad 40 projektów diagnostycznych w zakładach produkcyjnych w Polsce, Czechach, Rumunii i na Węgrzech. Narzędzie SaaS, które ją kodyfikuje, napisał zespół, który sam przeprowadzał te diagnozy — nie zewnętrzni deweloperzy odtwarzający wymagania z dokumentu. To oznacza, że produkt doradczy i platforma technologiczna ewoluują razem, w oparciu o rzeczywiste dane z rynku, nie założenia. Zarząd zyskuje skrócenie czasu od pytania 'czy jesteśmy gotowi na AI?' do decyzji inwestycyjnej — z miesięcy do tygodni — przy jednoczesnej redukcji ryzyka kosztownego chybionego wdrożenia.</w:t>
      </w:r>
    </w:p>
    <w:p>
      <w:pPr>
        <w:pStyle w:val="Heading1"/>
        <w:pStyle w:val="Heading1"/>
      </w:pPr>
      <w:r>
        <w:rPr>
          <w:rFonts w:ascii="Aptos Display" w:cs="Aptos Display" w:eastAsia="Aptos Display" w:hAnsi="Aptos Display"/>
        </w:rPr>
        <w:t xml:space="preserve">12. Ryzyka zidentyfikowane i zmitygowane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tcPr>
          <w:p>
            <w:pPr>
              <w:pStyle w:val="BodyText"/>
            </w:pPr>
            <w:r>
              <w:rPr>
                <w:rFonts w:ascii="Aptos" w:cs="Aptos" w:eastAsia="Aptos" w:hAnsi="Aptos"/>
                <w:b/>
                <w:bCs/>
                <w:sz w:val="20"/>
                <w:szCs w:val="20"/>
              </w:rPr>
              <w:t xml:space="preserve">Ryzyko</w:t>
            </w:r>
          </w:p>
        </w:tc>
        <w:tc>
          <w:tcPr>
            <w:shd w:fill="E2E8F0"/>
          </w:tcPr>
          <w:p>
            <w:pPr>
              <w:pStyle w:val="BodyText"/>
            </w:pPr>
            <w:r>
              <w:rPr>
                <w:rFonts w:ascii="Aptos" w:cs="Aptos" w:eastAsia="Aptos" w:hAnsi="Aptos"/>
                <w:b/>
                <w:bCs/>
                <w:sz w:val="20"/>
                <w:szCs w:val="20"/>
              </w:rPr>
              <w:t xml:space="preserve">Prawdopodobieństwo</w:t>
            </w:r>
          </w:p>
        </w:tc>
        <w:tc>
          <w:tcPr>
            <w:shd w:fill="E2E8F0"/>
          </w:tcPr>
          <w:p>
            <w:pPr>
              <w:pStyle w:val="BodyText"/>
            </w:pPr>
            <w:r>
              <w:rPr>
                <w:rFonts w:ascii="Aptos" w:cs="Aptos" w:eastAsia="Aptos" w:hAnsi="Aptos"/>
                <w:b/>
                <w:bCs/>
                <w:sz w:val="20"/>
                <w:szCs w:val="20"/>
              </w:rPr>
              <w:t xml:space="preserve">Wpływ</w:t>
            </w:r>
          </w:p>
        </w:tc>
        <w:tc>
          <w:tcPr>
            <w:shd w:fill="E2E8F0"/>
          </w:tcPr>
          <w:p>
            <w:pPr>
              <w:pStyle w:val="BodyText"/>
            </w:pPr>
            <w:r>
              <w:rPr>
                <w:rFonts w:ascii="Aptos" w:cs="Aptos" w:eastAsia="Aptos" w:hAnsi="Aptos"/>
                <w:b/>
                <w:bCs/>
                <w:sz w:val="20"/>
                <w:szCs w:val="20"/>
              </w:rPr>
              <w:t xml:space="preserve">Mitygacja</w:t>
            </w:r>
          </w:p>
        </w:tc>
        <w:tc>
          <w:tcPr>
            <w:shd w:fill="E2E8F0"/>
          </w:tcPr>
          <w:p>
            <w:pPr>
              <w:pStyle w:val="BodyText"/>
            </w:pPr>
            <w:r>
              <w:rPr>
                <w:rFonts w:ascii="Aptos" w:cs="Aptos" w:eastAsia="Aptos" w:hAnsi="Aptos"/>
                <w:b/>
                <w:bCs/>
                <w:sz w:val="20"/>
                <w:szCs w:val="20"/>
              </w:rPr>
              <w:t xml:space="preserve">Właściciel</w:t>
            </w:r>
          </w:p>
        </w:tc>
      </w:tr>
      <w:tr>
        <w:tc>
          <w:p>
            <w:pPr>
              <w:pStyle w:val="BodyText"/>
            </w:pPr>
            <w:r>
              <w:rPr>
                <w:rFonts w:ascii="Aptos" w:cs="Aptos" w:eastAsia="Aptos" w:hAnsi="Aptos"/>
                <w:sz w:val="20"/>
                <w:szCs w:val="20"/>
              </w:rPr>
              <w:t xml:space="preserve">Koncentracja rynku – dominacja 2–3 dużych graczy (McKinsey, Accenture) wchodzących w niszę AI Readiness</w:t>
            </w:r>
          </w:p>
        </w:tc>
        <w:tc>
          <w:tcPr>
            <w:shd w:fill="DC2626"/>
          </w:tcPr>
          <w:p>
            <w:pPr>
              <w:pStyle w:val="BodyText"/>
            </w:pPr>
            <w:r>
              <w:rPr>
                <w:rFonts w:ascii="Aptos" w:cs="Aptos" w:eastAsia="Aptos" w:hAnsi="Aptos"/>
                <w:b/>
                <w:bCs/>
                <w:color w:val="FFFFFF"/>
                <w:sz w:val="20"/>
                <w:szCs w:val="20"/>
              </w:rPr>
              <w:t xml:space="preserve">Wysokie</w:t>
            </w:r>
          </w:p>
        </w:tc>
        <w:tc>
          <w:tcPr>
            <w:shd w:fill="DC2626"/>
          </w:tcPr>
          <w:p>
            <w:pPr>
              <w:pStyle w:val="BodyText"/>
            </w:pPr>
            <w:r>
              <w:rPr>
                <w:rFonts w:ascii="Aptos" w:cs="Aptos" w:eastAsia="Aptos" w:hAnsi="Aptos"/>
                <w:b/>
                <w:bCs/>
                <w:color w:val="FFFFFF"/>
                <w:sz w:val="20"/>
                <w:szCs w:val="20"/>
              </w:rPr>
              <w:t xml:space="preserve">Wysoki</w:t>
            </w:r>
          </w:p>
        </w:tc>
        <w:tc>
          <w:p>
            <w:pPr>
              <w:pStyle w:val="BodyText"/>
            </w:pPr>
            <w:r>
              <w:rPr>
                <w:rFonts w:ascii="Aptos" w:cs="Aptos" w:eastAsia="Aptos" w:hAnsi="Aptos"/>
                <w:sz w:val="20"/>
                <w:szCs w:val="20"/>
              </w:rPr>
              <w:t xml:space="preserve">Głęboka specjalizacja przemysłowa (OT/IT), certyfikowana metodyka, szybszy time-to-insight vs. duże firmy; budowa IP trudnego do replikacji</w:t>
            </w:r>
          </w:p>
        </w:tc>
        <w:tc>
          <w:p>
            <w:pPr>
              <w:pStyle w:val="BodyText"/>
            </w:pPr>
            <w:r>
              <w:rPr>
                <w:rFonts w:ascii="Aptos" w:cs="Aptos" w:eastAsia="Aptos" w:hAnsi="Aptos"/>
                <w:sz w:val="20"/>
                <w:szCs w:val="20"/>
              </w:rPr>
              <w:t xml:space="preserve">CEO / Chief Strategy</w:t>
            </w:r>
          </w:p>
        </w:tc>
      </w:tr>
      <w:tr>
        <w:tc>
          <w:p>
            <w:pPr>
              <w:pStyle w:val="BodyText"/>
            </w:pPr>
            <w:r>
              <w:rPr>
                <w:rFonts w:ascii="Aptos" w:cs="Aptos" w:eastAsia="Aptos" w:hAnsi="Aptos"/>
                <w:sz w:val="20"/>
                <w:szCs w:val="20"/>
              </w:rPr>
              <w:t xml:space="preserve">Niskie tempo adopcji SaaS przez firmy produkcyjne CEE – długi cykl sprzedaży B2B</w:t>
            </w:r>
          </w:p>
        </w:tc>
        <w:tc>
          <w:tcPr>
            <w:shd w:fill="D97706"/>
          </w:tcPr>
          <w:p>
            <w:pPr>
              <w:pStyle w:val="BodyText"/>
            </w:pPr>
            <w:r>
              <w:rPr>
                <w:rFonts w:ascii="Aptos" w:cs="Aptos" w:eastAsia="Aptos" w:hAnsi="Aptos"/>
                <w:b/>
                <w:bCs/>
                <w:color w:val="FFFFFF"/>
                <w:sz w:val="20"/>
                <w:szCs w:val="20"/>
              </w:rPr>
              <w:t xml:space="preserve">Średnie</w:t>
            </w:r>
          </w:p>
        </w:tc>
        <w:tc>
          <w:tcPr>
            <w:shd w:fill="DC2626"/>
          </w:tcPr>
          <w:p>
            <w:pPr>
              <w:pStyle w:val="BodyText"/>
            </w:pPr>
            <w:r>
              <w:rPr>
                <w:rFonts w:ascii="Aptos" w:cs="Aptos" w:eastAsia="Aptos" w:hAnsi="Aptos"/>
                <w:b/>
                <w:bCs/>
                <w:color w:val="FFFFFF"/>
                <w:sz w:val="20"/>
                <w:szCs w:val="20"/>
              </w:rPr>
              <w:t xml:space="preserve">Wysoki</w:t>
            </w:r>
          </w:p>
        </w:tc>
        <w:tc>
          <w:p>
            <w:pPr>
              <w:pStyle w:val="BodyText"/>
            </w:pPr>
            <w:r>
              <w:rPr>
                <w:rFonts w:ascii="Aptos" w:cs="Aptos" w:eastAsia="Aptos" w:hAnsi="Aptos"/>
                <w:sz w:val="20"/>
                <w:szCs w:val="20"/>
              </w:rPr>
              <w:t xml:space="preserve">Model hybrydowy: wejście przez projekt doradczy (quick win), konwersja na licencję SaaS; pilotaż z 3 referencyjnymi klientami w R1</w:t>
            </w:r>
          </w:p>
        </w:tc>
        <w:tc>
          <w:p>
            <w:pPr>
              <w:pStyle w:val="BodyText"/>
            </w:pPr>
            <w:r>
              <w:rPr>
                <w:rFonts w:ascii="Aptos" w:cs="Aptos" w:eastAsia="Aptos" w:hAnsi="Aptos"/>
                <w:sz w:val="20"/>
                <w:szCs w:val="20"/>
              </w:rPr>
              <w:t xml:space="preserve">VP Sales</w:t>
            </w:r>
          </w:p>
        </w:tc>
      </w:tr>
      <w:tr>
        <w:tc>
          <w:p>
            <w:pPr>
              <w:pStyle w:val="BodyText"/>
            </w:pPr>
            <w:r>
              <w:rPr>
                <w:rFonts w:ascii="Aptos" w:cs="Aptos" w:eastAsia="Aptos" w:hAnsi="Aptos"/>
                <w:sz w:val="20"/>
                <w:szCs w:val="20"/>
              </w:rPr>
              <w:t xml:space="preserve">Odpływ kluczowych ekspertów (wąski rynek talentów AI + przemysł)</w:t>
            </w:r>
          </w:p>
        </w:tc>
        <w:tc>
          <w:tcPr>
            <w:shd w:fill="D97706"/>
          </w:tcPr>
          <w:p>
            <w:pPr>
              <w:pStyle w:val="BodyText"/>
            </w:pPr>
            <w:r>
              <w:rPr>
                <w:rFonts w:ascii="Aptos" w:cs="Aptos" w:eastAsia="Aptos" w:hAnsi="Aptos"/>
                <w:b/>
                <w:bCs/>
                <w:color w:val="FFFFFF"/>
                <w:sz w:val="20"/>
                <w:szCs w:val="20"/>
              </w:rPr>
              <w:t xml:space="preserve">Średnie</w:t>
            </w:r>
          </w:p>
        </w:tc>
        <w:tc>
          <w:tcPr>
            <w:shd w:fill="DC2626"/>
          </w:tcPr>
          <w:p>
            <w:pPr>
              <w:pStyle w:val="BodyText"/>
            </w:pPr>
            <w:r>
              <w:rPr>
                <w:rFonts w:ascii="Aptos" w:cs="Aptos" w:eastAsia="Aptos" w:hAnsi="Aptos"/>
                <w:b/>
                <w:bCs/>
                <w:color w:val="FFFFFF"/>
                <w:sz w:val="20"/>
                <w:szCs w:val="20"/>
              </w:rPr>
              <w:t xml:space="preserve">Wysoki</w:t>
            </w:r>
          </w:p>
        </w:tc>
        <w:tc>
          <w:p>
            <w:pPr>
              <w:pStyle w:val="BodyText"/>
            </w:pPr>
            <w:r>
              <w:rPr>
                <w:rFonts w:ascii="Aptos" w:cs="Aptos" w:eastAsia="Aptos" w:hAnsi="Aptos"/>
                <w:sz w:val="20"/>
                <w:szCs w:val="20"/>
              </w:rPr>
              <w:t xml:space="preserve">Wdrożenie knowledge base i standaryzacji metodyki (IP nie w głowach), ESOP dla seniorów, partnerstwa z uczelniami (AGH, PWr)</w:t>
            </w:r>
          </w:p>
        </w:tc>
        <w:tc>
          <w:p>
            <w:pPr>
              <w:pStyle w:val="BodyText"/>
            </w:pPr>
            <w:r>
              <w:rPr>
                <w:rFonts w:ascii="Aptos" w:cs="Aptos" w:eastAsia="Aptos" w:hAnsi="Aptos"/>
                <w:sz w:val="20"/>
                <w:szCs w:val="20"/>
              </w:rPr>
              <w:t xml:space="preserve">CTO / HR</w:t>
            </w:r>
          </w:p>
        </w:tc>
      </w:tr>
      <w:tr>
        <w:tc>
          <w:p>
            <w:pPr>
              <w:pStyle w:val="BodyText"/>
            </w:pPr>
            <w:r>
              <w:rPr>
                <w:rFonts w:ascii="Aptos" w:cs="Aptos" w:eastAsia="Aptos" w:hAnsi="Aptos"/>
                <w:sz w:val="20"/>
                <w:szCs w:val="20"/>
              </w:rPr>
              <w:t xml:space="preserve">Niedoszacowanie CAC i wydłużony payback – presja na runway przy finansowaniu 400k EUR</w:t>
            </w:r>
          </w:p>
        </w:tc>
        <w:tc>
          <w:tcPr>
            <w:shd w:fill="D97706"/>
          </w:tcPr>
          <w:p>
            <w:pPr>
              <w:pStyle w:val="BodyText"/>
            </w:pPr>
            <w:r>
              <w:rPr>
                <w:rFonts w:ascii="Aptos" w:cs="Aptos" w:eastAsia="Aptos" w:hAnsi="Aptos"/>
                <w:b/>
                <w:bCs/>
                <w:color w:val="FFFFFF"/>
                <w:sz w:val="20"/>
                <w:szCs w:val="20"/>
              </w:rPr>
              <w:t xml:space="preserve">Średnie</w:t>
            </w:r>
          </w:p>
        </w:tc>
        <w:tc>
          <w:tcPr>
            <w:shd w:fill="D97706"/>
          </w:tcPr>
          <w:p>
            <w:pPr>
              <w:pStyle w:val="BodyText"/>
            </w:pPr>
            <w:r>
              <w:rPr>
                <w:rFonts w:ascii="Aptos" w:cs="Aptos" w:eastAsia="Aptos" w:hAnsi="Aptos"/>
                <w:b/>
                <w:bCs/>
                <w:color w:val="FFFFFF"/>
                <w:sz w:val="20"/>
                <w:szCs w:val="20"/>
              </w:rPr>
              <w:t xml:space="preserve">Średni</w:t>
            </w:r>
          </w:p>
        </w:tc>
        <w:tc>
          <w:p>
            <w:pPr>
              <w:pStyle w:val="BodyText"/>
            </w:pPr>
            <w:r>
              <w:rPr>
                <w:rFonts w:ascii="Aptos" w:cs="Aptos" w:eastAsia="Aptos" w:hAnsi="Aptos"/>
                <w:sz w:val="20"/>
                <w:szCs w:val="20"/>
              </w:rPr>
              <w:t xml:space="preserve">Utrzymanie CAC payback &lt;18 mies., miesięczny monitoring LTV/CAC; fallback: ograniczenie S&amp;M do 34% przychodu i wolniejszy wzrost</w:t>
            </w:r>
          </w:p>
        </w:tc>
        <w:tc>
          <w:p>
            <w:pPr>
              <w:pStyle w:val="BodyText"/>
            </w:pPr>
            <w:r>
              <w:rPr>
                <w:rFonts w:ascii="Aptos" w:cs="Aptos" w:eastAsia="Aptos" w:hAnsi="Aptos"/>
                <w:sz w:val="20"/>
                <w:szCs w:val="20"/>
              </w:rPr>
              <w:t xml:space="preserve">CFO</w:t>
            </w:r>
          </w:p>
        </w:tc>
      </w:tr>
      <w:tr>
        <w:tc>
          <w:p>
            <w:pPr>
              <w:pStyle w:val="BodyText"/>
            </w:pPr>
            <w:r>
              <w:rPr>
                <w:rFonts w:ascii="Aptos" w:cs="Aptos" w:eastAsia="Aptos" w:hAnsi="Aptos"/>
                <w:sz w:val="20"/>
                <w:szCs w:val="20"/>
              </w:rPr>
              <w:t xml:space="preserve">Ryzyko regulacyjne – zmiany wymogów EU AI Act wpływające na zakres metodyki i produktu</w:t>
            </w:r>
          </w:p>
        </w:tc>
        <w:tc>
          <w:tcPr>
            <w:shd w:fill="16A34A"/>
          </w:tcPr>
          <w:p>
            <w:pPr>
              <w:pStyle w:val="BodyText"/>
            </w:pPr>
            <w:r>
              <w:rPr>
                <w:rFonts w:ascii="Aptos" w:cs="Aptos" w:eastAsia="Aptos" w:hAnsi="Aptos"/>
                <w:b/>
                <w:bCs/>
                <w:color w:val="FFFFFF"/>
                <w:sz w:val="20"/>
                <w:szCs w:val="20"/>
              </w:rPr>
              <w:t xml:space="preserve">Niskie</w:t>
            </w:r>
          </w:p>
        </w:tc>
        <w:tc>
          <w:tcPr>
            <w:shd w:fill="D97706"/>
          </w:tcPr>
          <w:p>
            <w:pPr>
              <w:pStyle w:val="BodyText"/>
            </w:pPr>
            <w:r>
              <w:rPr>
                <w:rFonts w:ascii="Aptos" w:cs="Aptos" w:eastAsia="Aptos" w:hAnsi="Aptos"/>
                <w:b/>
                <w:bCs/>
                <w:color w:val="FFFFFF"/>
                <w:sz w:val="20"/>
                <w:szCs w:val="20"/>
              </w:rPr>
              <w:t xml:space="preserve">Średni</w:t>
            </w:r>
          </w:p>
        </w:tc>
        <w:tc>
          <w:p>
            <w:pPr>
              <w:pStyle w:val="BodyText"/>
            </w:pPr>
            <w:r>
              <w:rPr>
                <w:rFonts w:ascii="Aptos" w:cs="Aptos" w:eastAsia="Aptos" w:hAnsi="Aptos"/>
                <w:sz w:val="20"/>
                <w:szCs w:val="20"/>
              </w:rPr>
              <w:t xml:space="preserve">Dedykowany moduł compliance EU AI Act w roadmapie SaaS (R2); śledzenie regulacji jako USP — pozycjonowanie narzędzia jako 'audit-ready'</w:t>
            </w:r>
          </w:p>
        </w:tc>
        <w:tc>
          <w:p>
            <w:pPr>
              <w:pStyle w:val="BodyText"/>
            </w:pPr>
            <w:r>
              <w:rPr>
                <w:rFonts w:ascii="Aptos" w:cs="Aptos" w:eastAsia="Aptos" w:hAnsi="Aptos"/>
                <w:sz w:val="20"/>
                <w:szCs w:val="20"/>
              </w:rPr>
              <w:t xml:space="preserve">CPO / Legal</w:t>
            </w:r>
          </w:p>
        </w:tc>
      </w:tr>
    </w:tbl>
    <w:p>
      <w:pPr>
        <w:pStyle w:val="Caption"/>
      </w:pPr>
      <w:r>
        <w:rPr>
          <w:rFonts w:ascii="Aptos" w:cs="Aptos" w:eastAsia="Aptos" w:hAnsi="Aptos"/>
        </w:rPr>
        <w:t xml:space="preserve">Table 6</w:t>
      </w:r>
    </w:p>
    <w:p>
      <w:pPr>
        <w:pStyle w:val="Callout"/>
      </w:pPr>
      <w:r>
        <w:rPr>
          <w:rFonts w:ascii="Aptos" w:cs="Aptos" w:eastAsia="Aptos" w:hAnsi="Aptos"/>
          <w:b/>
          <w:bCs/>
          <w:color w:val="DC2626"/>
        </w:rPr>
        <w:t xml:space="preserve">[DANGER] </w:t>
      </w:r>
      <w:r>
        <w:rPr>
          <w:rFonts w:ascii="Aptos" w:cs="Aptos" w:eastAsia="Aptos" w:hAnsi="Aptos"/>
          <w:i/>
          <w:iCs/>
        </w:rPr>
        <w:t xml:space="preserve">⚠ RYZYKO KRYTYCZNE: Wejście dużych graczy (Accenture, McKinsey) w segment AI Readiness dla przemysłu CEE może skompresować marże i skrócić okno przewagi pierwszeństwa do 18–24 miesięcy. Plan mitygacji: (1) Przyspieszona budowa certyfikowanej metodyki i narzędzia SaaS jako trudno-replikalnego IP do Q2 2025; (2) Zawarcie 3–5 kontraktów referencyjnych z liderami sektorów (automotive, FMCG, chemikalia) tworzących barierę credibility; (3) Agresywne budowanie community praktyków (konferencje, raporty benchmarkingowe CEE) ustanawiające pozycję thought-leader, której duże firmy nie replikują szybko.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tcPr>
          <w:p>
            <w:pPr>
              <w:pStyle w:val="BodyText"/>
            </w:pPr>
            <w:r>
              <w:rPr>
                <w:rFonts w:ascii="Aptos" w:cs="Aptos" w:eastAsia="Aptos" w:hAnsi="Aptos"/>
                <w:b/>
                <w:bCs/>
                <w:sz w:val="20"/>
                <w:szCs w:val="20"/>
              </w:rPr>
              <w:t xml:space="preserve">Założenie</w:t>
            </w:r>
          </w:p>
        </w:tc>
        <w:tc>
          <w:tcPr>
            <w:shd w:fill="E2E8F0"/>
          </w:tcPr>
          <w:p>
            <w:pPr>
              <w:pStyle w:val="BodyText"/>
            </w:pPr>
            <w:r>
              <w:rPr>
                <w:rFonts w:ascii="Aptos" w:cs="Aptos" w:eastAsia="Aptos" w:hAnsi="Aptos"/>
                <w:b/>
                <w:bCs/>
                <w:sz w:val="20"/>
                <w:szCs w:val="20"/>
              </w:rPr>
              <w:t xml:space="preserve">Wartość</w:t>
            </w:r>
          </w:p>
        </w:tc>
        <w:tc>
          <w:tcPr>
            <w:shd w:fill="E2E8F0"/>
          </w:tcPr>
          <w:p>
            <w:pPr>
              <w:pStyle w:val="BodyText"/>
            </w:pPr>
            <w:r>
              <w:rPr>
                <w:rFonts w:ascii="Aptos" w:cs="Aptos" w:eastAsia="Aptos" w:hAnsi="Aptos"/>
                <w:b/>
                <w:bCs/>
                <w:sz w:val="20"/>
                <w:szCs w:val="20"/>
              </w:rPr>
              <w:t xml:space="preserve">Źródło</w:t>
            </w:r>
          </w:p>
        </w:tc>
        <w:tc>
          <w:tcPr>
            <w:shd w:fill="E2E8F0"/>
          </w:tcPr>
          <w:p>
            <w:pPr>
              <w:pStyle w:val="BodyText"/>
            </w:pPr>
            <w:r>
              <w:rPr>
                <w:rFonts w:ascii="Aptos" w:cs="Aptos" w:eastAsia="Aptos" w:hAnsi="Aptos"/>
                <w:b/>
                <w:bCs/>
                <w:sz w:val="20"/>
                <w:szCs w:val="20"/>
              </w:rPr>
              <w:t xml:space="preserve">Zakres</w:t>
            </w:r>
          </w:p>
        </w:tc>
        <w:tc>
          <w:tcPr>
            <w:shd w:fill="E2E8F0"/>
          </w:tcPr>
          <w:p>
            <w:pPr>
              <w:pStyle w:val="BodyText"/>
            </w:pPr>
            <w:r>
              <w:rPr>
                <w:rFonts w:ascii="Aptos" w:cs="Aptos" w:eastAsia="Aptos" w:hAnsi="Aptos"/>
                <w:b/>
                <w:bCs/>
                <w:sz w:val="20"/>
                <w:szCs w:val="20"/>
              </w:rPr>
              <w:t xml:space="preserve">Ranga sensitivity</w:t>
            </w:r>
          </w:p>
        </w:tc>
      </w:tr>
      <w:tr>
        <w:tc>
          <w:p>
            <w:pPr>
              <w:pStyle w:val="BodyText"/>
            </w:pPr>
            <w:r>
              <w:rPr>
                <w:rFonts w:ascii="Aptos" w:cs="Aptos" w:eastAsia="Aptos" w:hAnsi="Aptos"/>
                <w:sz w:val="20"/>
                <w:szCs w:val="20"/>
              </w:rPr>
              <w:t xml:space="preserve">Wzrost seatów r/r</w:t>
            </w:r>
          </w:p>
        </w:tc>
        <w:tc>
          <w:p>
            <w:pPr>
              <w:pStyle w:val="BodyText"/>
            </w:pPr>
            <w:r>
              <w:rPr>
                <w:rFonts w:ascii="Aptos" w:cs="Aptos" w:eastAsia="Aptos" w:hAnsi="Aptos"/>
                <w:sz w:val="20"/>
                <w:szCs w:val="20"/>
              </w:rPr>
              <w:t xml:space="preserve">0.80×</w:t>
            </w:r>
          </w:p>
        </w:tc>
        <w:tc>
          <w:p>
            <w:pPr>
              <w:pStyle w:val="BodyText"/>
            </w:pPr>
            <w:r>
              <w:rPr>
                <w:rFonts w:ascii="Aptos" w:cs="Aptos" w:eastAsia="Aptos" w:hAnsi="Aptos"/>
                <w:sz w:val="20"/>
                <w:szCs w:val="20"/>
              </w:rPr>
              <w:t xml:space="preserve">Model wewnętrzny</w:t>
            </w:r>
          </w:p>
        </w:tc>
        <w:tc>
          <w:p>
            <w:pPr>
              <w:pStyle w:val="BodyText"/>
            </w:pPr>
            <w:r>
              <w:rPr>
                <w:rFonts w:ascii="Aptos" w:cs="Aptos" w:eastAsia="Aptos" w:hAnsi="Aptos"/>
                <w:sz w:val="20"/>
                <w:szCs w:val="20"/>
              </w:rPr>
              <w:t xml:space="preserve">0.72 – 0.88</w:t>
            </w:r>
          </w:p>
        </w:tc>
        <w:tc>
          <w:tcPr>
            <w:shd w:fill="DC2626"/>
          </w:tcPr>
          <w:p>
            <w:pPr>
              <w:pStyle w:val="BodyText"/>
            </w:pPr>
            <w:r>
              <w:rPr>
                <w:rFonts w:ascii="Aptos" w:cs="Aptos" w:eastAsia="Aptos" w:hAnsi="Aptos"/>
                <w:b/>
                <w:bCs/>
                <w:color w:val="FFFFFF"/>
                <w:sz w:val="20"/>
                <w:szCs w:val="20"/>
              </w:rPr>
              <w:t xml:space="preserve">5 🔴</w:t>
            </w:r>
          </w:p>
        </w:tc>
      </w:tr>
      <w:tr>
        <w:tc>
          <w:p>
            <w:pPr>
              <w:pStyle w:val="BodyText"/>
            </w:pPr>
            <w:r>
              <w:rPr>
                <w:rFonts w:ascii="Aptos" w:cs="Aptos" w:eastAsia="Aptos" w:hAnsi="Aptos"/>
                <w:sz w:val="20"/>
                <w:szCs w:val="20"/>
              </w:rPr>
              <w:t xml:space="preserve">Net Revenue Retention (NRR)</w:t>
            </w:r>
          </w:p>
        </w:tc>
        <w:tc>
          <w:p>
            <w:pPr>
              <w:pStyle w:val="BodyText"/>
            </w:pPr>
            <w:r>
              <w:rPr>
                <w:rFonts w:ascii="Aptos" w:cs="Aptos" w:eastAsia="Aptos" w:hAnsi="Aptos"/>
                <w:sz w:val="20"/>
                <w:szCs w:val="20"/>
              </w:rPr>
              <w:t xml:space="preserve">1.10×</w:t>
            </w:r>
          </w:p>
        </w:tc>
        <w:tc>
          <w:p>
            <w:pPr>
              <w:pStyle w:val="BodyText"/>
            </w:pPr>
            <w:r>
              <w:rPr>
                <w:rFonts w:ascii="Aptos" w:cs="Aptos" w:eastAsia="Aptos" w:hAnsi="Aptos"/>
                <w:sz w:val="20"/>
                <w:szCs w:val="20"/>
              </w:rPr>
              <w:t xml:space="preserve">NRR 110% typowe dla niszowego SaaS doradczego z modułami add-on (OpenView SaaS Benchmarks 2023)</w:t>
            </w:r>
          </w:p>
        </w:tc>
        <w:tc>
          <w:p>
            <w:pPr>
              <w:pStyle w:val="BodyText"/>
            </w:pPr>
            <w:r>
              <w:rPr>
                <w:rFonts w:ascii="Aptos" w:cs="Aptos" w:eastAsia="Aptos" w:hAnsi="Aptos"/>
                <w:sz w:val="20"/>
                <w:szCs w:val="20"/>
              </w:rPr>
              <w:t xml:space="preserve">0.99 – 1.21</w:t>
            </w:r>
          </w:p>
        </w:tc>
        <w:tc>
          <w:tcPr>
            <w:shd w:fill="DC2626"/>
          </w:tcPr>
          <w:p>
            <w:pPr>
              <w:pStyle w:val="BodyText"/>
            </w:pPr>
            <w:r>
              <w:rPr>
                <w:rFonts w:ascii="Aptos" w:cs="Aptos" w:eastAsia="Aptos" w:hAnsi="Aptos"/>
                <w:b/>
                <w:bCs/>
                <w:color w:val="FFFFFF"/>
                <w:sz w:val="20"/>
                <w:szCs w:val="20"/>
              </w:rPr>
              <w:t xml:space="preserve">5 🔴</w:t>
            </w:r>
          </w:p>
        </w:tc>
      </w:tr>
      <w:tr>
        <w:tc>
          <w:p>
            <w:pPr>
              <w:pStyle w:val="BodyText"/>
            </w:pPr>
            <w:r>
              <w:rPr>
                <w:rFonts w:ascii="Aptos" w:cs="Aptos" w:eastAsia="Aptos" w:hAnsi="Aptos"/>
                <w:sz w:val="20"/>
                <w:szCs w:val="20"/>
              </w:rPr>
              <w:t xml:space="preserve">Churn brutto roczny</w:t>
            </w:r>
          </w:p>
        </w:tc>
        <w:tc>
          <w:p>
            <w:pPr>
              <w:pStyle w:val="BodyText"/>
            </w:pPr>
            <w:r>
              <w:rPr>
                <w:rFonts w:ascii="Aptos" w:cs="Aptos" w:eastAsia="Aptos" w:hAnsi="Aptos"/>
                <w:sz w:val="20"/>
                <w:szCs w:val="20"/>
              </w:rPr>
              <w:t xml:space="preserve">12%</w:t>
            </w:r>
          </w:p>
        </w:tc>
        <w:tc>
          <w:p>
            <w:pPr>
              <w:pStyle w:val="BodyText"/>
            </w:pPr>
            <w:r>
              <w:rPr>
                <w:rFonts w:ascii="Aptos" w:cs="Aptos" w:eastAsia="Aptos" w:hAnsi="Aptos"/>
                <w:sz w:val="20"/>
                <w:szCs w:val="20"/>
              </w:rPr>
              <w:t xml:space="preserve">Model wewnętrzny</w:t>
            </w:r>
          </w:p>
        </w:tc>
        <w:tc>
          <w:p>
            <w:pPr>
              <w:pStyle w:val="BodyText"/>
            </w:pPr>
            <w:r>
              <w:rPr>
                <w:rFonts w:ascii="Aptos" w:cs="Aptos" w:eastAsia="Aptos" w:hAnsi="Aptos"/>
                <w:sz w:val="20"/>
                <w:szCs w:val="20"/>
              </w:rPr>
              <w:t xml:space="preserve">11% – 13%</w:t>
            </w:r>
          </w:p>
        </w:tc>
        <w:tc>
          <w:tcPr>
            <w:shd w:fill="D97706"/>
          </w:tcPr>
          <w:p>
            <w:pPr>
              <w:pStyle w:val="BodyText"/>
            </w:pPr>
            <w:r>
              <w:rPr>
                <w:rFonts w:ascii="Aptos" w:cs="Aptos" w:eastAsia="Aptos" w:hAnsi="Aptos"/>
                <w:b/>
                <w:bCs/>
                <w:color w:val="FFFFFF"/>
                <w:sz w:val="20"/>
                <w:szCs w:val="20"/>
              </w:rPr>
              <w:t xml:space="preserve">4 🟠</w:t>
            </w:r>
          </w:p>
        </w:tc>
      </w:tr>
      <w:tr>
        <w:tc>
          <w:p>
            <w:pPr>
              <w:pStyle w:val="BodyText"/>
            </w:pPr>
            <w:r>
              <w:rPr>
                <w:rFonts w:ascii="Aptos" w:cs="Aptos" w:eastAsia="Aptos" w:hAnsi="Aptos"/>
                <w:sz w:val="20"/>
                <w:szCs w:val="20"/>
              </w:rPr>
              <w:t xml:space="preserve">Marża brutto</w:t>
            </w:r>
          </w:p>
        </w:tc>
        <w:tc>
          <w:p>
            <w:pPr>
              <w:pStyle w:val="BodyText"/>
            </w:pPr>
            <w:r>
              <w:rPr>
                <w:rFonts w:ascii="Aptos" w:cs="Aptos" w:eastAsia="Aptos" w:hAnsi="Aptos"/>
                <w:sz w:val="20"/>
                <w:szCs w:val="20"/>
              </w:rPr>
              <w:t xml:space="preserve">72%</w:t>
            </w:r>
          </w:p>
        </w:tc>
        <w:tc>
          <w:p>
            <w:pPr>
              <w:pStyle w:val="BodyText"/>
            </w:pPr>
            <w:r>
              <w:rPr>
                <w:rFonts w:ascii="Aptos" w:cs="Aptos" w:eastAsia="Aptos" w:hAnsi="Aptos"/>
                <w:sz w:val="20"/>
                <w:szCs w:val="20"/>
              </w:rPr>
              <w:t xml:space="preserve">Model wewnętrzny</w:t>
            </w:r>
          </w:p>
        </w:tc>
        <w:tc>
          <w:p>
            <w:pPr>
              <w:pStyle w:val="BodyText"/>
            </w:pPr>
            <w:r>
              <w:rPr>
                <w:rFonts w:ascii="Aptos" w:cs="Aptos" w:eastAsia="Aptos" w:hAnsi="Aptos"/>
                <w:sz w:val="20"/>
                <w:szCs w:val="20"/>
              </w:rPr>
              <w:t xml:space="preserve">65% – 79%</w:t>
            </w:r>
          </w:p>
        </w:tc>
        <w:tc>
          <w:tcPr>
            <w:shd w:fill="D97706"/>
          </w:tcPr>
          <w:p>
            <w:pPr>
              <w:pStyle w:val="BodyText"/>
            </w:pPr>
            <w:r>
              <w:rPr>
                <w:rFonts w:ascii="Aptos" w:cs="Aptos" w:eastAsia="Aptos" w:hAnsi="Aptos"/>
                <w:b/>
                <w:bCs/>
                <w:color w:val="FFFFFF"/>
                <w:sz w:val="20"/>
                <w:szCs w:val="20"/>
              </w:rPr>
              <w:t xml:space="preserve">4 🟠</w:t>
            </w:r>
          </w:p>
        </w:tc>
      </w:tr>
      <w:tr>
        <w:tc>
          <w:p>
            <w:pPr>
              <w:pStyle w:val="BodyText"/>
            </w:pPr>
            <w:r>
              <w:rPr>
                <w:rFonts w:ascii="Aptos" w:cs="Aptos" w:eastAsia="Aptos" w:hAnsi="Aptos"/>
                <w:sz w:val="20"/>
                <w:szCs w:val="20"/>
              </w:rPr>
              <w:t xml:space="preserve">CAC</w:t>
            </w:r>
          </w:p>
        </w:tc>
        <w:tc>
          <w:p>
            <w:pPr>
              <w:pStyle w:val="BodyText"/>
            </w:pPr>
            <w:r>
              <w:rPr>
                <w:rFonts w:ascii="Aptos" w:cs="Aptos" w:eastAsia="Aptos" w:hAnsi="Aptos"/>
                <w:sz w:val="20"/>
                <w:szCs w:val="20"/>
              </w:rPr>
              <w:t xml:space="preserve">8 500 EUR</w:t>
            </w:r>
          </w:p>
        </w:tc>
        <w:tc>
          <w:p>
            <w:pPr>
              <w:pStyle w:val="BodyText"/>
            </w:pPr>
            <w:r>
              <w:rPr>
                <w:rFonts w:ascii="Aptos" w:cs="Aptos" w:eastAsia="Aptos" w:hAnsi="Aptos"/>
                <w:sz w:val="20"/>
                <w:szCs w:val="20"/>
              </w:rPr>
              <w:t xml:space="preserve">CAC 8 500 EUR przy sprzedaży B2B enterprise przez SDR + konferencje; CAC payback ~18 mc przy ARPU 5 880 EUR/rok → LTV/CAC ≈ 3.8× (zdrowy)</w:t>
            </w:r>
          </w:p>
        </w:tc>
        <w:tc>
          <w:p>
            <w:pPr>
              <w:pStyle w:val="BodyText"/>
            </w:pPr>
            <w:r>
              <w:rPr>
                <w:rFonts w:ascii="Aptos" w:cs="Aptos" w:eastAsia="Aptos" w:hAnsi="Aptos"/>
                <w:sz w:val="20"/>
                <w:szCs w:val="20"/>
              </w:rPr>
              <w:t xml:space="preserve">6 800 – 10 200 EUR</w:t>
            </w:r>
          </w:p>
        </w:tc>
        <w:tc>
          <w:tcPr>
            <w:shd w:fill="D97706"/>
          </w:tcPr>
          <w:p>
            <w:pPr>
              <w:pStyle w:val="BodyText"/>
            </w:pPr>
            <w:r>
              <w:rPr>
                <w:rFonts w:ascii="Aptos" w:cs="Aptos" w:eastAsia="Aptos" w:hAnsi="Aptos"/>
                <w:b/>
                <w:bCs/>
                <w:color w:val="FFFFFF"/>
                <w:sz w:val="20"/>
                <w:szCs w:val="20"/>
              </w:rPr>
              <w:t xml:space="preserve">4 🟠</w:t>
            </w:r>
          </w:p>
        </w:tc>
      </w:tr>
      <w:tr>
        <w:tc>
          <w:p>
            <w:pPr>
              <w:pStyle w:val="BodyText"/>
            </w:pPr>
            <w:r>
              <w:rPr>
                <w:rFonts w:ascii="Aptos" w:cs="Aptos" w:eastAsia="Aptos" w:hAnsi="Aptos"/>
                <w:sz w:val="20"/>
                <w:szCs w:val="20"/>
              </w:rPr>
              <w:t xml:space="preserve">S&amp;M % przychodu</w:t>
            </w:r>
          </w:p>
        </w:tc>
        <w:tc>
          <w:p>
            <w:pPr>
              <w:pStyle w:val="BodyText"/>
            </w:pPr>
            <w:r>
              <w:rPr>
                <w:rFonts w:ascii="Aptos" w:cs="Aptos" w:eastAsia="Aptos" w:hAnsi="Aptos"/>
                <w:sz w:val="20"/>
                <w:szCs w:val="20"/>
              </w:rPr>
              <w:t xml:space="preserve">38%</w:t>
            </w:r>
          </w:p>
        </w:tc>
        <w:tc>
          <w:p>
            <w:pPr>
              <w:pStyle w:val="BodyText"/>
            </w:pPr>
            <w:r>
              <w:rPr>
                <w:rFonts w:ascii="Aptos" w:cs="Aptos" w:eastAsia="Aptos" w:hAnsi="Aptos"/>
                <w:sz w:val="20"/>
                <w:szCs w:val="20"/>
              </w:rPr>
              <w:t xml:space="preserve">Model wewnętrzny</w:t>
            </w:r>
          </w:p>
        </w:tc>
        <w:tc>
          <w:p>
            <w:pPr>
              <w:pStyle w:val="BodyText"/>
            </w:pPr>
            <w:r>
              <w:rPr>
                <w:rFonts w:ascii="Aptos" w:cs="Aptos" w:eastAsia="Aptos" w:hAnsi="Aptos"/>
                <w:sz w:val="20"/>
                <w:szCs w:val="20"/>
              </w:rPr>
              <w:t xml:space="preserve">34% – 42%</w:t>
            </w:r>
          </w:p>
        </w:tc>
        <w:tc>
          <w:tcPr>
            <w:shd w:fill="D97706"/>
          </w:tcPr>
          <w:p>
            <w:pPr>
              <w:pStyle w:val="BodyText"/>
            </w:pPr>
            <w:r>
              <w:rPr>
                <w:rFonts w:ascii="Aptos" w:cs="Aptos" w:eastAsia="Aptos" w:hAnsi="Aptos"/>
                <w:b/>
                <w:bCs/>
                <w:color w:val="FFFFFF"/>
                <w:sz w:val="20"/>
                <w:szCs w:val="20"/>
              </w:rPr>
              <w:t xml:space="preserve">3 🟡</w:t>
            </w:r>
          </w:p>
        </w:tc>
      </w:tr>
      <w:tr>
        <w:tc>
          <w:p>
            <w:pPr>
              <w:pStyle w:val="BodyText"/>
            </w:pPr>
            <w:r>
              <w:rPr>
                <w:rFonts w:ascii="Aptos" w:cs="Aptos" w:eastAsia="Aptos" w:hAnsi="Aptos"/>
                <w:sz w:val="20"/>
                <w:szCs w:val="20"/>
              </w:rPr>
              <w:t xml:space="preserve">ARPU roczne</w:t>
            </w:r>
          </w:p>
        </w:tc>
        <w:tc>
          <w:p>
            <w:pPr>
              <w:pStyle w:val="BodyText"/>
            </w:pPr>
            <w:r>
              <w:rPr>
                <w:rFonts w:ascii="Aptos" w:cs="Aptos" w:eastAsia="Aptos" w:hAnsi="Aptos"/>
                <w:sz w:val="20"/>
                <w:szCs w:val="20"/>
              </w:rPr>
              <w:t xml:space="preserve">5 880 EUR</w:t>
            </w:r>
          </w:p>
        </w:tc>
        <w:tc>
          <w:p>
            <w:pPr>
              <w:pStyle w:val="BodyText"/>
            </w:pPr>
            <w:r>
              <w:rPr>
                <w:rFonts w:ascii="Aptos" w:cs="Aptos" w:eastAsia="Aptos" w:hAnsi="Aptos"/>
                <w:sz w:val="20"/>
                <w:szCs w:val="20"/>
              </w:rPr>
              <w:t xml:space="preserve">Model wewnętrzny</w:t>
            </w:r>
          </w:p>
        </w:tc>
        <w:tc>
          <w:p>
            <w:pPr>
              <w:pStyle w:val="BodyText"/>
            </w:pPr>
            <w:r>
              <w:rPr>
                <w:rFonts w:ascii="Aptos" w:cs="Aptos" w:eastAsia="Aptos" w:hAnsi="Aptos"/>
                <w:sz w:val="20"/>
                <w:szCs w:val="20"/>
              </w:rPr>
              <w:t xml:space="preserve">4 704 – 7 056 EUR</w:t>
            </w:r>
          </w:p>
        </w:tc>
        <w:tc>
          <w:tcPr>
            <w:shd w:fill="D97706"/>
          </w:tcPr>
          <w:p>
            <w:pPr>
              <w:pStyle w:val="BodyText"/>
            </w:pPr>
            <w:r>
              <w:rPr>
                <w:rFonts w:ascii="Aptos" w:cs="Aptos" w:eastAsia="Aptos" w:hAnsi="Aptos"/>
                <w:b/>
                <w:bCs/>
                <w:color w:val="FFFFFF"/>
                <w:sz w:val="20"/>
                <w:szCs w:val="20"/>
              </w:rPr>
              <w:t xml:space="preserve">3 🟡</w:t>
            </w:r>
          </w:p>
        </w:tc>
      </w:tr>
      <w:tr>
        <w:tc>
          <w:p>
            <w:pPr>
              <w:pStyle w:val="BodyText"/>
            </w:pPr>
            <w:r>
              <w:rPr>
                <w:rFonts w:ascii="Aptos" w:cs="Aptos" w:eastAsia="Aptos" w:hAnsi="Aptos"/>
                <w:sz w:val="20"/>
                <w:szCs w:val="20"/>
              </w:rPr>
              <w:t xml:space="preserve">Cena SaaS / seat / miesiąc</w:t>
            </w:r>
          </w:p>
        </w:tc>
        <w:tc>
          <w:p>
            <w:pPr>
              <w:pStyle w:val="BodyText"/>
            </w:pPr>
            <w:r>
              <w:rPr>
                <w:rFonts w:ascii="Aptos" w:cs="Aptos" w:eastAsia="Aptos" w:hAnsi="Aptos"/>
                <w:sz w:val="20"/>
                <w:szCs w:val="20"/>
              </w:rPr>
              <w:t xml:space="preserve">490 EUR</w:t>
            </w:r>
          </w:p>
        </w:tc>
        <w:tc>
          <w:p>
            <w:pPr>
              <w:pStyle w:val="BodyText"/>
            </w:pPr>
            <w:r>
              <w:rPr>
                <w:rFonts w:ascii="Aptos" w:cs="Aptos" w:eastAsia="Aptos" w:hAnsi="Aptos"/>
                <w:sz w:val="20"/>
                <w:szCs w:val="20"/>
              </w:rPr>
              <w:t xml:space="preserve">Model wewnętrzny</w:t>
            </w:r>
          </w:p>
        </w:tc>
        <w:tc>
          <w:p>
            <w:pPr>
              <w:pStyle w:val="BodyText"/>
            </w:pPr>
            <w:r>
              <w:rPr>
                <w:rFonts w:ascii="Aptos" w:cs="Aptos" w:eastAsia="Aptos" w:hAnsi="Aptos"/>
                <w:sz w:val="20"/>
                <w:szCs w:val="20"/>
              </w:rPr>
              <w:t xml:space="preserve">392 – 588 EUR</w:t>
            </w:r>
          </w:p>
        </w:tc>
        <w:tc>
          <w:tcPr>
            <w:shd w:fill="16A34A"/>
          </w:tcPr>
          <w:p>
            <w:pPr>
              <w:pStyle w:val="BodyText"/>
            </w:pPr>
            <w:r>
              <w:rPr>
                <w:rFonts w:ascii="Aptos" w:cs="Aptos" w:eastAsia="Aptos" w:hAnsi="Aptos"/>
                <w:b/>
                <w:bCs/>
                <w:color w:val="FFFFFF"/>
                <w:sz w:val="20"/>
                <w:szCs w:val="20"/>
              </w:rPr>
              <w:t xml:space="preserve">2 🟢</w:t>
            </w:r>
          </w:p>
        </w:tc>
      </w:tr>
      <w:tr>
        <w:tc>
          <w:p>
            <w:pPr>
              <w:pStyle w:val="BodyText"/>
            </w:pPr>
            <w:r>
              <w:rPr>
                <w:rFonts w:ascii="Aptos" w:cs="Aptos" w:eastAsia="Aptos" w:hAnsi="Aptos"/>
                <w:sz w:val="20"/>
                <w:szCs w:val="20"/>
              </w:rPr>
              <w:t xml:space="preserve">Przychód usług R1</w:t>
            </w:r>
          </w:p>
        </w:tc>
        <w:tc>
          <w:p>
            <w:pPr>
              <w:pStyle w:val="BodyText"/>
            </w:pPr>
            <w:r>
              <w:rPr>
                <w:rFonts w:ascii="Aptos" w:cs="Aptos" w:eastAsia="Aptos" w:hAnsi="Aptos"/>
                <w:sz w:val="20"/>
                <w:szCs w:val="20"/>
              </w:rPr>
              <w:t xml:space="preserve">120 000 EUR</w:t>
            </w:r>
          </w:p>
        </w:tc>
        <w:tc>
          <w:p>
            <w:pPr>
              <w:pStyle w:val="BodyText"/>
            </w:pPr>
            <w:r>
              <w:rPr>
                <w:rFonts w:ascii="Aptos" w:cs="Aptos" w:eastAsia="Aptos" w:hAnsi="Aptos"/>
                <w:sz w:val="20"/>
                <w:szCs w:val="20"/>
              </w:rPr>
              <w:t xml:space="preserve">Model wewnętrzny</w:t>
            </w:r>
          </w:p>
        </w:tc>
        <w:tc>
          <w:p>
            <w:pPr>
              <w:pStyle w:val="BodyText"/>
            </w:pPr>
            <w:r>
              <w:rPr>
                <w:rFonts w:ascii="Aptos" w:cs="Aptos" w:eastAsia="Aptos" w:hAnsi="Aptos"/>
                <w:sz w:val="20"/>
                <w:szCs w:val="20"/>
              </w:rPr>
              <w:t xml:space="preserve">96 000 – 144 000 EUR</w:t>
            </w:r>
          </w:p>
        </w:tc>
        <w:tc>
          <w:tcPr>
            <w:shd w:fill="16A34A"/>
          </w:tcPr>
          <w:p>
            <w:pPr>
              <w:pStyle w:val="BodyText"/>
            </w:pPr>
            <w:r>
              <w:rPr>
                <w:rFonts w:ascii="Aptos" w:cs="Aptos" w:eastAsia="Aptos" w:hAnsi="Aptos"/>
                <w:b/>
                <w:bCs/>
                <w:color w:val="FFFFFF"/>
                <w:sz w:val="20"/>
                <w:szCs w:val="20"/>
              </w:rPr>
              <w:t xml:space="preserve">2 🟢</w:t>
            </w:r>
          </w:p>
        </w:tc>
      </w:tr>
      <w:tr>
        <w:tc>
          <w:p>
            <w:pPr>
              <w:pStyle w:val="BodyText"/>
            </w:pPr>
            <w:r>
              <w:rPr>
                <w:rFonts w:ascii="Aptos" w:cs="Aptos" w:eastAsia="Aptos" w:hAnsi="Aptos"/>
                <w:sz w:val="20"/>
                <w:szCs w:val="20"/>
              </w:rPr>
              <w:t xml:space="preserve">Pozyskane finansowanie</w:t>
            </w:r>
          </w:p>
        </w:tc>
        <w:tc>
          <w:p>
            <w:pPr>
              <w:pStyle w:val="BodyText"/>
            </w:pPr>
            <w:r>
              <w:rPr>
                <w:rFonts w:ascii="Aptos" w:cs="Aptos" w:eastAsia="Aptos" w:hAnsi="Aptos"/>
                <w:sz w:val="20"/>
                <w:szCs w:val="20"/>
              </w:rPr>
              <w:t xml:space="preserve">400 000 EUR</w:t>
            </w:r>
          </w:p>
        </w:tc>
        <w:tc>
          <w:p>
            <w:pPr>
              <w:pStyle w:val="BodyText"/>
            </w:pPr>
            <w:r>
              <w:rPr>
                <w:rFonts w:ascii="Aptos" w:cs="Aptos" w:eastAsia="Aptos" w:hAnsi="Aptos"/>
                <w:sz w:val="20"/>
                <w:szCs w:val="20"/>
              </w:rPr>
              <w:t xml:space="preserve">Model wewnętrzny</w:t>
            </w:r>
          </w:p>
        </w:tc>
        <w:tc>
          <w:p>
            <w:pPr>
              <w:pStyle w:val="BodyText"/>
            </w:pPr>
            <w:r>
              <w:rPr>
                <w:rFonts w:ascii="Aptos" w:cs="Aptos" w:eastAsia="Aptos" w:hAnsi="Aptos"/>
                <w:sz w:val="20"/>
                <w:szCs w:val="20"/>
              </w:rPr>
              <w:t xml:space="preserve">320 000 – 480 000 EUR</w:t>
            </w:r>
          </w:p>
        </w:tc>
        <w:tc>
          <w:tcPr>
            <w:shd w:fill="16A34A"/>
          </w:tcPr>
          <w:p>
            <w:pPr>
              <w:pStyle w:val="BodyText"/>
            </w:pPr>
            <w:r>
              <w:rPr>
                <w:rFonts w:ascii="Aptos" w:cs="Aptos" w:eastAsia="Aptos" w:hAnsi="Aptos"/>
                <w:b/>
                <w:bCs/>
                <w:color w:val="FFFFFF"/>
                <w:sz w:val="20"/>
                <w:szCs w:val="20"/>
              </w:rPr>
              <w:t xml:space="preserve">1 🟢</w:t>
            </w:r>
          </w:p>
        </w:tc>
      </w:tr>
    </w:tbl>
    <w:p>
      <w:pPr>
        <w:pStyle w:val="Caption"/>
      </w:pPr>
      <w:r>
        <w:rPr>
          <w:rFonts w:ascii="Aptos" w:cs="Aptos" w:eastAsia="Aptos" w:hAnsi="Aptos"/>
        </w:rPr>
        <w:t xml:space="preserve">Table 7</w:t>
      </w:r>
    </w:p>
    <w:p>
      <w:pPr>
        <w:pStyle w:val="Heading1"/>
        <w:pStyle w:val="Heading1"/>
      </w:pPr>
      <w:r>
        <w:rPr>
          <w:rFonts w:ascii="Aptos Display" w:cs="Aptos Display" w:eastAsia="Aptos Display" w:hAnsi="Aptos Display"/>
        </w:rPr>
        <w:t xml:space="preserve">13. Pozyskanie 400 000 EUR rundy pre-seed (grant + anioł) na: (1) zatrudnienie 2 senior konsultantów, (2) budowę platformy SaaS do automatyzacji zbierania danych diagnostycznych, (3) sprzedaż i marketing B2B (konferencje branżowe, content, SDR).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Runda Pre-Seed</w:t>
            </w:r>
          </w:p>
          <w:p>
            <w:pPr>
              <w:pStyle w:val="BodyText"/>
            </w:pPr>
            <w:r>
              <w:rPr>
                <w:rFonts w:ascii="Aptos Display" w:cs="Aptos Display" w:eastAsia="Aptos Display" w:hAnsi="Aptos Display"/>
                <w:b/>
                <w:bCs/>
                <w:sz w:val="28"/>
                <w:szCs w:val="28"/>
              </w:rPr>
              <w:t xml:space="preserve">400 000 EUR</w:t>
            </w:r>
          </w:p>
          <w:p>
            <w:pPr>
              <w:pStyle w:val="Caption"/>
            </w:pPr>
            <w:r>
              <w:rPr>
                <w:rFonts w:ascii="Aptos" w:cs="Aptos" w:eastAsia="Aptos" w:hAnsi="Aptos"/>
                <w:color w:val="64748B"/>
                <w:sz w:val="16"/>
                <w:szCs w:val="16"/>
              </w:rPr>
              <w:t xml:space="preserve">Grant + Anioł Biznesu</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Runway</w:t>
            </w:r>
          </w:p>
          <w:p>
            <w:pPr>
              <w:pStyle w:val="BodyText"/>
            </w:pPr>
            <w:r>
              <w:rPr>
                <w:rFonts w:ascii="Aptos Display" w:cs="Aptos Display" w:eastAsia="Aptos Display" w:hAnsi="Aptos Display"/>
                <w:b/>
                <w:bCs/>
                <w:sz w:val="28"/>
                <w:szCs w:val="28"/>
              </w:rPr>
              <w:t xml:space="preserve">18 miesięcy</w:t>
            </w:r>
          </w:p>
          <w:p>
            <w:pPr>
              <w:pStyle w:val="Caption"/>
            </w:pPr>
            <w:r>
              <w:rPr>
                <w:rFonts w:ascii="Aptos" w:cs="Aptos" w:eastAsia="Aptos" w:hAnsi="Aptos"/>
                <w:color w:val="64748B"/>
                <w:sz w:val="16"/>
                <w:szCs w:val="16"/>
              </w:rPr>
              <w:t xml:space="preserve">do osiągnięcia break-even</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Zatrudnienie</w:t>
            </w:r>
          </w:p>
          <w:p>
            <w:pPr>
              <w:pStyle w:val="BodyText"/>
            </w:pPr>
            <w:r>
              <w:rPr>
                <w:rFonts w:ascii="Aptos Display" w:cs="Aptos Display" w:eastAsia="Aptos Display" w:hAnsi="Aptos Display"/>
                <w:b/>
                <w:bCs/>
                <w:sz w:val="28"/>
                <w:szCs w:val="28"/>
              </w:rPr>
              <w:t xml:space="preserve">2 Senior Konsultantów</w:t>
            </w:r>
          </w:p>
          <w:p>
            <w:pPr>
              <w:pStyle w:val="Caption"/>
            </w:pPr>
            <w:r>
              <w:rPr>
                <w:rFonts w:ascii="Aptos" w:cs="Aptos" w:eastAsia="Aptos" w:hAnsi="Aptos"/>
                <w:color w:val="64748B"/>
                <w:sz w:val="16"/>
                <w:szCs w:val="16"/>
              </w:rPr>
              <w:t xml:space="preserve">Q1–Q2 2025</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Budżet SaaS (platforma)</w:t>
            </w:r>
          </w:p>
          <w:p>
            <w:pPr>
              <w:pStyle w:val="BodyText"/>
            </w:pPr>
            <w:r>
              <w:rPr>
                <w:rFonts w:ascii="Aptos Display" w:cs="Aptos Display" w:eastAsia="Aptos Display" w:hAnsi="Aptos Display"/>
                <w:b/>
                <w:bCs/>
                <w:sz w:val="28"/>
                <w:szCs w:val="28"/>
              </w:rPr>
              <w:t xml:space="preserve">160 000 EUR</w:t>
            </w:r>
          </w:p>
          <w:p>
            <w:pPr>
              <w:pStyle w:val="Caption"/>
            </w:pPr>
            <w:r>
              <w:rPr>
                <w:rFonts w:ascii="Aptos" w:cs="Aptos" w:eastAsia="Aptos" w:hAnsi="Aptos"/>
                <w:color w:val="64748B"/>
                <w:sz w:val="16"/>
                <w:szCs w:val="16"/>
              </w:rPr>
              <w:t xml:space="preserve">40% całkowitego budżetu</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Budżet Sprzedaż &amp; Marketing</w:t>
            </w:r>
          </w:p>
          <w:p>
            <w:pPr>
              <w:pStyle w:val="BodyText"/>
            </w:pPr>
            <w:r>
              <w:rPr>
                <w:rFonts w:ascii="Aptos Display" w:cs="Aptos Display" w:eastAsia="Aptos Display" w:hAnsi="Aptos Display"/>
                <w:b/>
                <w:bCs/>
                <w:sz w:val="28"/>
                <w:szCs w:val="28"/>
              </w:rPr>
              <w:t xml:space="preserve">80 000 EUR</w:t>
            </w:r>
          </w:p>
          <w:p>
            <w:pPr>
              <w:pStyle w:val="Caption"/>
            </w:pPr>
            <w:r>
              <w:rPr>
                <w:rFonts w:ascii="Aptos" w:cs="Aptos" w:eastAsia="Aptos" w:hAnsi="Aptos"/>
                <w:color w:val="64748B"/>
                <w:sz w:val="16"/>
                <w:szCs w:val="16"/>
              </w:rPr>
              <w:t xml:space="preserve">20% całkowitego budżetu</w:t>
            </w:r>
          </w:p>
        </w:tc>
      </w:tr>
    </w:tbl>
    <w:p>
      <w:pPr>
        <w:pStyle w:val="BodyText"/>
      </w:pPr>
      <w:r>
        <w:rPr>
          <w:rFonts w:ascii="Aptos" w:cs="Aptos" w:eastAsia="Aptos" w:hAnsi="Aptos"/>
        </w:rPr>
        <w:t xml:space="preserve">**Alokacja środków — 400 000 EUR Pre-Seed**
Pozyskana runda finansuje trzy równoległe filary wzrostu, zapewniając 18-miesięczny runway do pierwszego przychodu rekurencyjnego i punktu walidacji produktu:
**1. Zespół — 160 000 EUR (40%)**
Zatrudnienie 2 senior konsultantów z doświadczeniem w transformacji przemysłowej (Industry 4.0, Lean/Six Sigma + AI). Kamień milowy: obaj na pokładzie do końca Q1 2025, pierwsze 3 płatne projekty diagnostyczne zamknięte do Q2 2025.
**2. Platforma SaaS — 160 000 EUR (40%)**
Budowa MVP platformy do automatyzacji zbierania danych diagnostycznych: moduł ankietowy, silnik scoringowy AI Readiness Index, dashboard raportowy. Kamień milowy: MVP w rękach beta-klientów Q2 2025, pełna wersja v1.0 — Q3 2025.
**3. Sprzedaż &amp; Marketing B2B — 80 000 EUR (20%)**
Obecność na konferencjach branżowych (Automaticon, Industry CEE), content marketing (raporty, case studies), uruchomienie funkcji SDR. Kamień milowy: pipeline 15 kwalifikowanych leadów do Q2 2025, 5 zamkniętych kontraktów do Q4 2025.
**Runway &amp; kamienie milowe**
Przy zakładanym burn rate ~22 000 EUR/miesiąc runda zapewnia 18 miesięcy operacji. Punkt przeglądu inwestorskiego (Series A readiness) planowany na miesiąc 15., gdy MRR z platform SaaS + retainerów doradczych osiągnie próg 35 000 EUR.</w:t>
      </w:r>
    </w:p>
    <w:p>
      <w:pPr>
        <w:pStyle w:val="Heading1"/>
        <w:pStyle w:val="Heading1"/>
      </w:pPr>
      <w:r>
        <w:rPr>
          <w:rFonts w:ascii="Aptos Display" w:cs="Aptos Display" w:eastAsia="Aptos Display" w:hAnsi="Aptos Display"/>
        </w:rPr>
        <w:t xml:space="preserve">14. Roadmapa do 2027</w:t>
      </w:r>
    </w:p>
    <w:p>
      <w:pPr>
        <w:pStyle w:val="BodyText"/>
      </w:pPr>
      <w:r>
        <w:rPr>
          <w:rFonts w:ascii="Aptos" w:cs="Aptos" w:eastAsia="Aptos" w:hAnsi="Aptos"/>
        </w:rPr>
        <w:t xml:space="preserve">Roadmapa prowadzi firmę doradczą od fazy walidacji modelu przez skalowanie produktu SaaS do pozycji lidera AI Readiness w regionie CEE. Trzy wyraźne horyzonty czasowe — Build, Scale, Lead — porządkują priorytety strategiczne, inwestycje i wskaźniki sukcesu, minimalizując ryzyko rozproszenia zasobów w krytycznych fazach wzrostu.</w:t>
      </w:r>
    </w:p>
    <w:p>
      <w:pPr>
        <w:pStyle w:val="BodyText"/>
        <w:spacing w:after="60"/>
      </w:pPr>
      <w:r>
        <w:rPr>
          <w:rFonts w:ascii="Aptos" w:cs="Aptos" w:eastAsia="Aptos" w:hAnsi="Aptos"/>
        </w:rPr>
        <w:t xml:space="preserve">1. Q1–Q2 2025 · FAZA BUILD – Walidacja metodyki: Przeprowadzenie 5 pilotażowych diagnoz AI Readiness z firmami produkcyjnymi w Polsce (branże: automotive, food &amp; bev, elektronika). Finalizacja frameworku oceny luk (kompetencyjnych, danych, procesowych). Cel: NPS ≥ 55 oraz minimum 3 referencje klientów gotowe do publikacji case study.</w:t>
      </w:r>
    </w:p>
    <w:p>
      <w:pPr>
        <w:pStyle w:val="BodyText"/>
        <w:spacing w:after="60"/>
      </w:pPr>
      <w:r>
        <w:rPr>
          <w:rFonts w:ascii="Aptos" w:cs="Aptos" w:eastAsia="Aptos" w:hAnsi="Aptos"/>
        </w:rPr>
        <w:t xml:space="preserve">2. Q3–Q4 2025 · FAZA BUILD – MVP narzędzia SaaS: Uruchomienie wersji beta platformy do pomiaru AI Readiness Index — moduł ankietowy, silnik scoringowy, automatyczny raport benchmarkingowy. Onboarding pierwszych 10 klientów SaaS na modelu subskrypcyjnym (≤ 12 000 PLN/rok). Cel: MRR 80 000 PLN do końca Q4 2025.</w:t>
      </w:r>
    </w:p>
    <w:p>
      <w:pPr>
        <w:pStyle w:val="BodyText"/>
        <w:spacing w:after="60"/>
      </w:pPr>
      <w:r>
        <w:rPr>
          <w:rFonts w:ascii="Aptos" w:cs="Aptos" w:eastAsia="Aptos" w:hAnsi="Aptos"/>
        </w:rPr>
        <w:t xml:space="preserve">3. Q1–Q2 2026 · FAZA SCALE – Ekspansja CEE: Wejście na rynki Czech, Słowacji i Rumunii poprzez partnerstwa z lokalnymi firmami consultingowymi (model white-label metodyki). Adaptacja platformy SaaS do wymogów językowych i regulacyjnych (NIS2, KSeF-equivalent). Cel: 40 aktywnych klientów SaaS, ARR 1,2 mln PLN.</w:t>
      </w:r>
    </w:p>
    <w:p>
      <w:pPr>
        <w:pStyle w:val="BodyText"/>
        <w:spacing w:after="60"/>
      </w:pPr>
      <w:r>
        <w:rPr>
          <w:rFonts w:ascii="Aptos" w:cs="Aptos" w:eastAsia="Aptos" w:hAnsi="Aptos"/>
        </w:rPr>
        <w:t xml:space="preserve">4. Q3–Q4 2026 · FAZA SCALE – Produkt premium &amp; upsell: Wprowadzenie modułu roadmapping AI (plan wdrożenia AI dla klienta generowany przez platformę) oraz usługi managed diagnostics — cykliczny monitoring indeksu co kwartał. Podniesienie ARPU o 35% dzięki tierowi Enterprise (custom benchmarki branżowe, API dla ERP). Cel: Churn &lt; 8%, LTV/CAC ≥ 4,0.</w:t>
      </w:r>
    </w:p>
    <w:p>
      <w:pPr>
        <w:pStyle w:val="BodyText"/>
        <w:spacing w:after="60"/>
      </w:pPr>
      <w:r>
        <w:rPr>
          <w:rFonts w:ascii="Aptos" w:cs="Aptos" w:eastAsia="Aptos" w:hAnsi="Aptos"/>
        </w:rPr>
        <w:t xml:space="preserve">5. Q1–Q2 2027 · FAZA LEAD – Uznanie rynkowe &amp; IP: Publikacja corocznego Raportu AI Readiness CEE (dane zagregowane z platformy, dystrybucja mediowa i konferencyjna). Złożenie zgłoszenia patentowego lub rejestracja znaku towarowego metodyki AI Readiness Index™. Nawiązanie relacji z min. 2 instytucjami finansującymi (NCBR, EIC Accelerator) lub funduszami VC jako walidacja tech-enabled advisory.</w:t>
      </w:r>
    </w:p>
    <w:p>
      <w:pPr>
        <w:pStyle w:val="BodyText"/>
        <w:spacing w:after="60"/>
      </w:pPr>
      <w:r>
        <w:rPr>
          <w:rFonts w:ascii="Aptos" w:cs="Aptos" w:eastAsia="Aptos" w:hAnsi="Aptos"/>
        </w:rPr>
        <w:t xml:space="preserve">6. Q3–Q4 2027 · FAZA LEAD – Pozycja lidera &amp; opcje wyjścia: Osiągnięcie ARR 3,5 mln PLN, baza 120+ klientów SaaS aktywnych w regionie CEE. Przygotowanie data room dla potencjalnych inwestorów serii A lub strategicznego partnera (Big4, globalna firma consultingowa). Cel: EBITDA margin ≥ 28%, wycena spółki na poziomie 10–14× ARR.</w:t>
      </w:r>
    </w:p>
    <w:p>
      <w:pPr>
        <w:pStyle w:val="Heading1"/>
        <w:pStyle w:val="Heading1"/>
      </w:pPr>
      <w:r>
        <w:rPr>
          <w:rFonts w:ascii="Aptos Display" w:cs="Aptos Display" w:eastAsia="Aptos Display" w:hAnsi="Aptos Display"/>
        </w:rPr>
        <w:t xml:space="preserve">Sources &amp; traceability</w:t>
      </w:r>
    </w:p>
    <w:p>
      <w:pPr>
        <w:pStyle w:val="AssumptionBody"/>
      </w:pPr>
      <w:r>
        <w:rPr>
          <w:rFonts w:ascii="Aptos" w:cs="Aptos" w:eastAsia="Aptos" w:hAnsi="Aptos"/>
        </w:rPr>
        <w:t xml:space="preserve">No sources attached. Substantive content blocks are flagged as assumptions and require a source pack before client distribution.</w:t>
      </w:r>
    </w:p>
    <w:sectPr>
      <w:headerReference w:type="default" r:id="rId6"/>
      <w:footerReference w:type="default" r:id="rId7"/>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94A3B8"/>
        <w:sz w:val="16"/>
        <w:szCs w:val="16"/>
      </w:rPr>
      <w:t xml:space="preserve">client confidential</w:t>
    </w:r>
    <w:r>
      <w:rPr>
        <w:rFonts w:ascii="Aptos" w:cs="Aptos" w:eastAsia="Aptos" w:hAnsi="Aptos"/>
        <w:color w:val="94A3B8"/>
        <w:sz w:val="16"/>
        <w:szCs w:val="16"/>
      </w:rPr>
      <w:t xml:space="preserve">   |   </w:t>
    </w:r>
    <w:r>
      <w:rPr>
        <w:rFonts w:ascii="Aptos" w:cs="Aptos" w:eastAsia="Aptos" w:hAnsi="Aptos"/>
        <w:color w:val="94A3B8"/>
        <w:sz w:val="16"/>
        <w:szCs w:val="16"/>
      </w:rPr>
      <w:t xml:space="preserve">Page </w:t>
    </w:r>
    <w:r>
      <w:rPr>
        <w:rFonts w:ascii="Aptos" w:cs="Aptos" w:eastAsia="Aptos" w:hAnsi="Aptos"/>
        <w:color w:val="94A3B8"/>
        <w:sz w:val="16"/>
        <w:szCs w:val="16"/>
      </w:rPr>
      <w:fldChar w:fldCharType="begin"/>
      <w:instrText xml:space="preserve">PAGE</w:instrText>
      <w:fldChar w:fldCharType="separate"/>
      <w:fldChar w:fldCharType="end"/>
    </w:r>
    <w:r>
      <w:rPr>
        <w:rFonts w:ascii="Aptos" w:cs="Aptos" w:eastAsia="Aptos" w:hAnsi="Aptos"/>
        <w:color w:val="94A3B8"/>
        <w:sz w:val="16"/>
        <w:szCs w:val="16"/>
      </w:rPr>
      <w:t xml:space="preserve"> / </w:t>
    </w:r>
    <w:r>
      <w:rPr>
        <w:rFonts w:ascii="Aptos" w:cs="Aptos" w:eastAsia="Aptos" w:hAnsi="Aptos"/>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ptos" w:cs="Aptos" w:eastAsia="Aptos" w:hAnsi="Aptos"/>
        <w:color w:val="64748B"/>
        <w:sz w:val="18"/>
        <w:szCs w:val="18"/>
      </w:rPr>
      <w:t xml:space="preserve">AI Readiness Diagnostics — Biznesplan inwestorski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80" w:after="140"/>
    </w:pPr>
    <w:rPr>
      <w:rFonts w:ascii="Aptos Display" w:cs="Aptos Display" w:eastAsia="Aptos Display" w:hAnsi="Aptos Display"/>
      <w:b/>
      <w:bCs/>
      <w:color w:val="0F172A"/>
      <w:sz w:val="34"/>
      <w:szCs w:val="34"/>
    </w:rPr>
  </w:style>
  <w:style w:type="paragraph" w:styleId="Heading2">
    <w:name w:val="Heading 2"/>
    <w:basedOn w:val="Normal"/>
    <w:next w:val="Normal"/>
    <w:qFormat/>
    <w:pPr>
      <w:spacing w:before="220" w:after="110"/>
    </w:pPr>
    <w:rPr>
      <w:rFonts w:ascii="Aptos Display" w:cs="Aptos Display" w:eastAsia="Aptos Display" w:hAnsi="Aptos Display"/>
      <w:b/>
      <w:bCs/>
      <w:color w:val="1E293B"/>
      <w:sz w:val="28"/>
      <w:szCs w:val="28"/>
    </w:rPr>
  </w:style>
  <w:style w:type="paragraph" w:styleId="Heading3">
    <w:name w:val="Heading 3"/>
    <w:basedOn w:val="Normal"/>
    <w:next w:val="Normal"/>
    <w:qFormat/>
    <w:pPr>
      <w:spacing w:before="180" w:after="90"/>
    </w:pPr>
    <w:rPr>
      <w:rFonts w:ascii="Aptos Display" w:cs="Aptos Display" w:eastAsia="Aptos Display" w:hAnsi="Aptos Display"/>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DocStudioTitle">
    <w:name w:val="Doc Studio Title"/>
    <w:basedOn w:val="Normal"/>
    <w:next w:val="Subtitle"/>
    <w:qFormat/>
    <w:pPr>
      <w:spacing w:before="600" w:after="200"/>
      <w:jc w:val="center"/>
    </w:pPr>
    <w:rPr>
      <w:rFonts w:ascii="Aptos Display" w:cs="Aptos Display" w:eastAsia="Aptos Display" w:hAnsi="Aptos Display"/>
      <w:b/>
      <w:bCs/>
      <w:color w:val="0F172A"/>
      <w:sz w:val="56"/>
      <w:szCs w:val="56"/>
    </w:rPr>
  </w:style>
  <w:style w:type="paragraph" w:styleId="Subtitle">
    <w:name w:val="Subtitle"/>
    <w:basedOn w:val="Normal"/>
    <w:next w:val="BodyText"/>
    <w:qFormat/>
    <w:pPr>
      <w:spacing w:after="80"/>
      <w:jc w:val="center"/>
    </w:pPr>
    <w:rPr>
      <w:rFonts w:ascii="Aptos" w:cs="Aptos" w:eastAsia="Aptos" w:hAnsi="Aptos"/>
      <w:i/>
      <w:iCs/>
      <w:color w:val="475569"/>
      <w:sz w:val="26"/>
      <w:szCs w:val="26"/>
    </w:rPr>
  </w:style>
  <w:style w:type="paragraph" w:styleId="Heading1">
    <w:name w:val="Heading 1"/>
    <w:basedOn w:val="Normal"/>
    <w:next w:val="BodyText"/>
    <w:qFormat/>
    <w:pPr>
      <w:spacing w:before="280" w:after="140"/>
    </w:pPr>
    <w:rPr>
      <w:rFonts w:ascii="Aptos Display" w:cs="Aptos Display" w:eastAsia="Aptos Display" w:hAnsi="Aptos Display"/>
      <w:b/>
      <w:bCs/>
      <w:color w:val="0F172A"/>
      <w:sz w:val="34"/>
      <w:szCs w:val="34"/>
    </w:rPr>
  </w:style>
  <w:style w:type="paragraph" w:styleId="Heading2">
    <w:name w:val="Heading 2"/>
    <w:basedOn w:val="Normal"/>
    <w:next w:val="BodyText"/>
    <w:qFormat/>
    <w:pPr>
      <w:spacing w:before="220" w:after="110"/>
    </w:pPr>
    <w:rPr>
      <w:rFonts w:ascii="Aptos Display" w:cs="Aptos Display" w:eastAsia="Aptos Display" w:hAnsi="Aptos Display"/>
      <w:b/>
      <w:bCs/>
      <w:color w:val="1E293B"/>
      <w:sz w:val="28"/>
      <w:szCs w:val="28"/>
    </w:rPr>
  </w:style>
  <w:style w:type="paragraph" w:styleId="Heading3">
    <w:name w:val="Heading 3"/>
    <w:basedOn w:val="Normal"/>
    <w:next w:val="BodyText"/>
    <w:qFormat/>
    <w:pPr>
      <w:spacing w:before="180" w:after="90"/>
    </w:pPr>
    <w:rPr>
      <w:rFonts w:ascii="Aptos Display" w:cs="Aptos Display" w:eastAsia="Aptos Display" w:hAnsi="Aptos Display"/>
      <w:b/>
      <w:bCs/>
      <w:color w:val="334155"/>
      <w:sz w:val="23"/>
      <w:szCs w:val="23"/>
    </w:rPr>
  </w:style>
  <w:style w:type="paragraph" w:styleId="BodyText">
    <w:name w:val="Body Text"/>
    <w:basedOn w:val="Normal"/>
    <w:next w:val="BodyText"/>
    <w:qFormat/>
    <w:pPr>
      <w:spacing w:after="120"/>
    </w:pPr>
    <w:rPr>
      <w:rFonts w:ascii="Aptos" w:cs="Aptos" w:eastAsia="Aptos" w:hAnsi="Aptos"/>
      <w:color w:val="0F172A"/>
      <w:sz w:val="22"/>
      <w:szCs w:val="22"/>
    </w:rPr>
  </w:style>
  <w:style w:type="paragraph" w:styleId="BlockQuote">
    <w:name w:val="Block Quote"/>
    <w:basedOn w:val="BodyText"/>
    <w:next w:val="BodyText"/>
    <w:pPr>
      <w:spacing w:before="80" w:after="120"/>
      <w:ind w:left="360"/>
    </w:pPr>
    <w:rPr>
      <w:rFonts w:ascii="Aptos" w:cs="Aptos" w:eastAsia="Aptos" w:hAnsi="Aptos"/>
      <w:i/>
      <w:iCs/>
      <w:color w:val="475569"/>
      <w:sz w:val="22"/>
      <w:szCs w:val="22"/>
    </w:rPr>
  </w:style>
  <w:style w:type="paragraph" w:styleId="Caption">
    <w:name w:val="Caption"/>
    <w:basedOn w:val="Normal"/>
    <w:next w:val="BodyText"/>
    <w:pPr>
      <w:spacing w:before="60" w:after="120"/>
    </w:pPr>
    <w:rPr>
      <w:rFonts w:ascii="Aptos" w:cs="Aptos" w:eastAsia="Aptos" w:hAnsi="Aptos"/>
      <w:i/>
      <w:iCs/>
      <w:color w:val="64748B"/>
      <w:sz w:val="18"/>
      <w:szCs w:val="18"/>
    </w:rPr>
  </w:style>
  <w:style w:type="paragraph" w:styleId="DocStudioFootnote">
    <w:name w:val="Doc Studio Footnote"/>
    <w:basedOn w:val="Normal"/>
    <w:next w:val="BodyText"/>
    <w:pPr>
      <w:spacing w:after="40"/>
    </w:pPr>
    <w:rPr>
      <w:rFonts w:ascii="Aptos" w:cs="Aptos" w:eastAsia="Aptos" w:hAnsi="Aptos"/>
      <w:color w:val="475569"/>
      <w:sz w:val="18"/>
      <w:szCs w:val="18"/>
    </w:rPr>
  </w:style>
  <w:style w:type="paragraph" w:styleId="AssumptionBody">
    <w:name w:val="Assumption Body"/>
    <w:basedOn w:val="BodyText"/>
    <w:next w:val="BodyText"/>
    <w:pPr>
      <w:spacing w:after="120"/>
    </w:pPr>
    <w:rPr>
      <w:rFonts w:ascii="Aptos" w:cs="Aptos" w:eastAsia="Aptos" w:hAnsi="Aptos"/>
      <w:i/>
      <w:iCs/>
      <w:color w:val="92400E"/>
      <w:sz w:val="22"/>
      <w:szCs w:val="22"/>
    </w:rPr>
  </w:style>
  <w:style w:type="paragraph" w:styleId="Callout">
    <w:name w:val="Callout"/>
    <w:basedOn w:val="BodyText"/>
    <w:next w:val="BodyText"/>
    <w:pPr>
      <w:spacing w:before="80" w:after="120"/>
      <w:ind w:left="240"/>
    </w:pPr>
    <w:rPr>
      <w:rFonts w:ascii="Aptos" w:cs="Aptos" w:eastAsia="Aptos" w:hAnsi="Aptos"/>
      <w:color w:val="0F172A"/>
      <w:sz w:val="22"/>
      <w:szCs w:val="22"/>
    </w:rPr>
  </w:style>
  <w:style w:type="paragraph" w:styleId="SourceList">
    <w:name w:val="Source List"/>
    <w:basedOn w:val="BodyText"/>
    <w:next w:val="SourceList"/>
    <w:pPr>
      <w:spacing w:after="60"/>
    </w:pPr>
    <w:rPr>
      <w:rFonts w:ascii="Aptos" w:cs="Aptos" w:eastAsia="Aptos" w:hAnsi="Aptos"/>
      <w:color w:val="0F172A"/>
      <w:sz w:val="22"/>
      <w:szCs w:val="22"/>
    </w:rPr>
  </w:style>
  <w:style w:type="paragraph" w:styleId="TOCHeading">
    <w:name w:val="TOC Heading"/>
    <w:basedOn w:val="Heading1"/>
    <w:next w:val="BodyText"/>
    <w:qFormat/>
    <w:pPr>
      <w:spacing w:before="280" w:after="140"/>
    </w:pPr>
    <w:rPr>
      <w:rFonts w:ascii="Aptos Display" w:cs="Aptos Display" w:eastAsia="Aptos Display" w:hAnsi="Aptos Display"/>
      <w:b/>
      <w:bCs/>
      <w:color w:val="0F172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2e8464c1206a5ed5b0a70d2f2d8807adf968bc6.png"/><Relationship Id="rId9" Type="http://schemas.openxmlformats.org/officeDocument/2006/relationships/image" Target="media/e95ef04a6f78ea70310f77d3c0a8ffb2fef0fedf.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Readiness Diagnostics — Biznesplan inwestorski</dc:title>
  <dc:creator>Consultify Document Studio</dc:creator>
  <dc:description>Consultify Document Studio · steering_committee_report · executive</dc:description>
  <cp:lastModifiedBy>Un-named</cp:lastModifiedBy>
  <cp:revision>1</cp:revision>
  <dcterms:created xsi:type="dcterms:W3CDTF">2026-06-24T21:02:48.523Z</dcterms:created>
  <dcterms:modified xsi:type="dcterms:W3CDTF">2026-06-24T21:02:48.523Z</dcterms:modified>
</cp:coreProperties>
</file>

<file path=docProps/custom.xml><?xml version="1.0" encoding="utf-8"?>
<Properties xmlns="http://schemas.openxmlformats.org/officeDocument/2006/custom-properties" xmlns:vt="http://schemas.openxmlformats.org/officeDocument/2006/docPropsVTypes"/>
</file>