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StudioTitle"/>
        <w:jc w:val="center"/>
      </w:pPr>
      <w:r>
        <w:rPr>
          <w:rFonts w:ascii="Aptos Display" w:cs="Aptos Display" w:eastAsia="Aptos Display" w:hAnsi="Aptos Display"/>
        </w:rPr>
        <w:t xml:space="preserve">Raport końcowy transformacji — tc-t01-i03</w:t>
      </w:r>
    </w:p>
    <w:p>
      <w:pPr>
        <w:pBdr>
          <w:bottom w:val="single" w:color="1D9E75" w:sz="18" w:space="1"/>
        </w:pBdr>
        <w:spacing w:after="160"/>
        <w:jc w:val="center"/>
      </w:pPr>
      <w:r>
        <w:rPr>
          <w:rFonts w:ascii="Aptos" w:cs="Aptos" w:eastAsia="Aptos" w:hAnsi="Aptos"/>
        </w:rPr>
        <w:t xml:space="preserve"/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raport komitetu sterującego · PL · szczegółowy · poufne dla klienta</w:t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Odbiorcy: komitet sterujący</w:t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Wygenerowano: 2026-08-08</w:t>
      </w:r>
      <w:r>
        <w:br w:type="page"/>
      </w:r>
    </w:p>
    <w:p>
      <w:pPr>
        <w:pStyle w:val="TOCHeading"/>
      </w:pPr>
      <w:r>
        <w:rPr>
          <w:rFonts w:ascii="Aptos Display" w:cs="Aptos Display" w:eastAsia="Aptos Display" w:hAnsi="Aptos Display"/>
        </w:rPr>
        <w:t xml:space="preserve">Spis treści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1. Podsumowanie zarządcze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2. Realizacja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3. Korzyści i trwałość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4. Analiza finansowa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5. Karta KPI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6. Otwarte działania naprawcze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7. Lineage i dowody</w:t>
      </w:r>
    </w:p>
    <w:p>
      <w:pPr>
        <w:pStyle w:val="BodyText"/>
      </w:pPr>
      <w:r>
        <w:br w:type="page"/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1. Podsumowanie zarządcze</w:t>
      </w:r>
    </w:p>
    <w:p>
      <w:pPr>
        <w:pStyle w:val="BodyText"/>
      </w:pPr>
      <w:r>
        <w:rPr>
          <w:rFonts w:ascii="Aptos" w:cs="Aptos" w:eastAsia="Aptos" w:hAnsi="Aptos"/>
        </w:rPr>
        <w:t xml:space="preserve">Prepare transformation plan</w:t>
      </w:r>
      <w:r>
        <w:rPr>
          <w:rFonts w:ascii="Aptos" w:cs="Aptos" w:eastAsia="Aptos" w:hAnsi="Aptos"/>
        </w:rPr>
        <w:t xml:space="preserve"> [1]</w:t>
      </w:r>
    </w:p>
    <w:p>
      <w:pPr>
        <w:pStyle w:val="BodyText"/>
      </w:pPr>
      <w:r>
        <w:rPr>
          <w:rFonts w:ascii="Aptos" w:cs="Aptos" w:eastAsia="Aptos" w:hAnsi="Aptos"/>
        </w:rPr>
        <w:t xml:space="preserve">Inicjatywa: Reduce approval handoff lead time (ZAKOŃCZONA).</w:t>
      </w:r>
      <w:r>
        <w:rPr>
          <w:rFonts w:ascii="Aptos" w:cs="Aptos" w:eastAsia="Aptos" w:hAnsi="Aptos"/>
        </w:rPr>
        <w:t xml:space="preserve"> [1]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2. Realizacja</w:t>
      </w:r>
    </w:p>
    <w:p>
      <w:pPr>
        <w:pStyle w:val="BodyText"/>
      </w:pPr>
      <w:r>
        <w:rPr>
          <w:rFonts w:ascii="Aptos" w:cs="Aptos" w:eastAsia="Aptos" w:hAnsi="Aptos"/>
        </w:rPr>
        <w:t xml:space="preserve">Zadania: 3/3.</w:t>
      </w:r>
      <w:r>
        <w:rPr>
          <w:rFonts w:ascii="Aptos" w:cs="Aptos" w:eastAsia="Aptos" w:hAnsi="Aptos"/>
        </w:rPr>
        <w:t xml:space="preserve"> [1]</w:t>
      </w:r>
    </w:p>
    <w:p>
      <w:pPr>
        <w:pStyle w:val="BodyText"/>
      </w:pPr>
      <w:r>
        <w:rPr>
          <w:rFonts w:ascii="Aptos" w:cs="Aptos" w:eastAsia="Aptos" w:hAnsi="Aptos"/>
        </w:rPr>
        <w:t xml:space="preserve">Kamienie milowe: 3/3.</w:t>
      </w:r>
      <w:r>
        <w:rPr>
          <w:rFonts w:ascii="Aptos" w:cs="Aptos" w:eastAsia="Aptos" w:hAnsi="Aptos"/>
        </w:rPr>
        <w:t xml:space="preserve"> [1]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3. Korzyści i trwałość</w:t>
      </w:r>
    </w:p>
    <w:p>
      <w:pPr>
        <w:pStyle w:val="BodyText"/>
      </w:pPr>
      <w:r>
        <w:rPr>
          <w:rFonts w:ascii="Aptos" w:cs="Aptos" w:eastAsia="Aptos" w:hAnsi="Aptos"/>
        </w:rPr>
        <w:t xml:space="preserve">Potwierdzone korzyści: 1/1.</w:t>
      </w:r>
      <w:r>
        <w:rPr>
          <w:rFonts w:ascii="Aptos" w:cs="Aptos" w:eastAsia="Aptos" w:hAnsi="Aptos"/>
        </w:rPr>
        <w:t xml:space="preserve"> [1]</w:t>
      </w:r>
    </w:p>
    <w:p>
      <w:pPr>
        <w:pStyle w:val="BodyText"/>
      </w:pPr>
      <w:r>
        <w:rPr>
          <w:rFonts w:ascii="Aptos" w:cs="Aptos" w:eastAsia="Aptos" w:hAnsi="Aptos"/>
        </w:rPr>
        <w:t xml:space="preserve">Zweryfikowane pomiary: 2; okno: 31 dni.</w:t>
      </w:r>
      <w:r>
        <w:rPr>
          <w:rFonts w:ascii="Aptos" w:cs="Aptos" w:eastAsia="Aptos" w:hAnsi="Aptos"/>
        </w:rPr>
        <w:t xml:space="preserve"> [1]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4. Analiza finansowa</w:t>
      </w:r>
    </w:p>
    <w:p>
      <w:pPr>
        <w:pStyle w:val="BodyText"/>
      </w:pPr>
      <w:r>
        <w:rPr>
          <w:rFonts w:ascii="Aptos" w:cs="Aptos" w:eastAsia="Aptos" w:hAnsi="Aptos"/>
        </w:rPr>
        <w:t xml:space="preserve">Status analizy: ZATWIERDZONA. CAPEX: 800 000 PLN; roczny OPEX: 120 000 PLN.</w:t>
      </w:r>
      <w:r>
        <w:rPr>
          <w:rFonts w:ascii="Aptos" w:cs="Aptos" w:eastAsia="Aptos" w:hAnsi="Aptos"/>
        </w:rPr>
        <w:t xml:space="preserve"> [1]</w:t>
      </w:r>
    </w:p>
    <w:p>
      <w:pPr>
        <w:pStyle w:val="BodyText"/>
      </w:pPr>
      <w:r>
        <w:rPr>
          <w:rFonts w:ascii="Aptos" w:cs="Aptos" w:eastAsia="Aptos" w:hAnsi="Aptos"/>
        </w:rPr>
        <w:t xml:space="preserve">Roczna korzyść: plan 900 000 PLN; wynik 840 000 PLN, czyli 93.3% planu.</w:t>
      </w:r>
      <w:r>
        <w:rPr>
          <w:rFonts w:ascii="Aptos" w:cs="Aptos" w:eastAsia="Aptos" w:hAnsi="Aptos"/>
        </w:rPr>
        <w:t xml:space="preserve"> [1]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5. Karta KPI</w:t>
      </w:r>
    </w:p>
    <w:p>
      <w:pPr>
        <w:pStyle w:val="BodyText"/>
      </w:pPr>
      <w:r>
        <w:rPr>
          <w:rFonts w:ascii="Aptos" w:cs="Aptos" w:eastAsia="Aptos" w:hAnsi="Aptos"/>
        </w:rPr>
        <w:t xml:space="preserve">Approval lead time: wartość bazowa 8 dni; cel 3 dni; wynik 3 dni.</w:t>
      </w:r>
      <w:r>
        <w:rPr>
          <w:rFonts w:ascii="Aptos" w:cs="Aptos" w:eastAsia="Aptos" w:hAnsi="Aptos"/>
        </w:rPr>
        <w:t xml:space="preserve"> [1]</w:t>
      </w:r>
    </w:p>
    <w:p>
      <w:pPr>
        <w:pStyle w:val="BodyText"/>
      </w:pPr>
      <w:r>
        <w:rPr>
          <w:rFonts w:ascii="Aptos" w:cs="Aptos" w:eastAsia="Aptos" w:hAnsi="Aptos"/>
        </w:rPr>
        <w:t xml:space="preserve">Kierunek: MNIEJ ZNACZY LEPIEJ; ocena: cel osiągnięty.</w:t>
      </w:r>
      <w:r>
        <w:rPr>
          <w:rFonts w:ascii="Aptos" w:cs="Aptos" w:eastAsia="Aptos" w:hAnsi="Aptos"/>
        </w:rPr>
        <w:t xml:space="preserve"> [1]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6. Otwarte działania naprawcze</w:t>
      </w:r>
    </w:p>
    <w:p>
      <w:pPr>
        <w:pStyle w:val="BodyText"/>
      </w:pPr>
      <w:r>
        <w:rPr>
          <w:rFonts w:ascii="Aptos" w:cs="Aptos" w:eastAsia="Aptos" w:hAnsi="Aptos"/>
        </w:rPr>
        <w:t xml:space="preserve">Brak otwartych Recovery Card.</w:t>
      </w:r>
      <w:r>
        <w:rPr>
          <w:rFonts w:ascii="Aptos" w:cs="Aptos" w:eastAsia="Aptos" w:hAnsi="Aptos"/>
        </w:rPr>
        <w:t xml:space="preserve"> [1]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7. Lineage i dowody</w:t>
      </w:r>
    </w:p>
    <w:p>
      <w:pPr>
        <w:pStyle w:val="BodyText"/>
      </w:pPr>
      <w:r>
        <w:rPr>
          <w:rFonts w:ascii="Aptos" w:cs="Aptos" w:eastAsia="Aptos" w:hAnsi="Aptos"/>
        </w:rPr>
        <w:t xml:space="preserve">Lineage: lineage-t01-i03.</w:t>
      </w:r>
      <w:r>
        <w:rPr>
          <w:rFonts w:ascii="Aptos" w:cs="Aptos" w:eastAsia="Aptos" w:hAnsi="Aptos"/>
        </w:rPr>
        <w:t xml:space="preserve"> [1]</w:t>
      </w:r>
    </w:p>
    <w:p>
      <w:pPr>
        <w:pStyle w:val="BodyText"/>
      </w:pPr>
      <w:r>
        <w:rPr>
          <w:rFonts w:ascii="Aptos" w:cs="Aptos" w:eastAsia="Aptos" w:hAnsi="Aptos"/>
        </w:rPr>
        <w:t xml:space="preserve">Zdarzenia audytowe: 39. Digest faktów: a65bbccf3fac372619601c3084937538dce7e546d89a3441e5feb2730462d75c.</w:t>
      </w:r>
      <w:r>
        <w:rPr>
          <w:rFonts w:ascii="Aptos" w:cs="Aptos" w:eastAsia="Aptos" w:hAnsi="Aptos"/>
        </w:rPr>
        <w:t xml:space="preserve"> [1]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Źródła i identyfikowalność</w:t>
      </w:r>
    </w:p>
    <w:p>
      <w:pPr>
        <w:pStyle w:val="SourceList"/>
      </w:pPr>
      <w:r>
        <w:rPr>
          <w:rFonts w:ascii="Aptos" w:cs="Aptos" w:eastAsia="Aptos" w:hAnsi="Aptos"/>
          <w:b/>
          <w:bCs/>
        </w:rPr>
        <w:t xml:space="preserve">1. </w:t>
      </w:r>
      <w:r>
        <w:rPr>
          <w:rFonts w:ascii="Aptos" w:cs="Aptos" w:eastAsia="Aptos" w:hAnsi="Aptos"/>
        </w:rPr>
        <w:t xml:space="preserve">transformation_case#tc-t01-i03</w:t>
      </w:r>
    </w:p>
    <w:sectPr>
      <w:headerReference w:type="default" r:id="rId7"/>
      <w:footerReference w:type="default" r:id="rId8"/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94A3B8"/>
        <w:sz w:val="16"/>
        <w:szCs w:val="16"/>
      </w:rPr>
      <w:t xml:space="preserve">poufne — tylko dla klienta</w:t>
    </w:r>
    <w:r>
      <w:rPr>
        <w:rFonts w:ascii="Aptos" w:cs="Aptos" w:eastAsia="Aptos" w:hAnsi="Aptos"/>
        <w:color w:val="94A3B8"/>
        <w:sz w:val="16"/>
        <w:szCs w:val="16"/>
      </w:rPr>
      <w:t xml:space="preserve">   |   </w:t>
    </w:r>
    <w:r>
      <w:rPr>
        <w:rFonts w:ascii="Aptos" w:cs="Aptos" w:eastAsia="Aptos" w:hAnsi="Aptos"/>
        <w:color w:val="94A3B8"/>
        <w:sz w:val="16"/>
        <w:szCs w:val="16"/>
      </w:rPr>
      <w:t xml:space="preserve">Strona </w:t>
    </w:r>
    <w:r>
      <w:rPr>
        <w:rFonts w:ascii="Aptos" w:cs="Aptos" w:eastAsia="Aptos" w:hAnsi="Aptos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94A3B8"/>
        <w:sz w:val="16"/>
        <w:szCs w:val="16"/>
      </w:rPr>
      <w:t xml:space="preserve"> / </w:t>
    </w:r>
    <w:r>
      <w:rPr>
        <w:rFonts w:ascii="Aptos" w:cs="Aptos" w:eastAsia="Aptos" w:hAnsi="Aptos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ptos" w:cs="Aptos" w:eastAsia="Aptos" w:hAnsi="Aptos"/>
        <w:color w:val="64748B"/>
        <w:sz w:val="18"/>
        <w:szCs w:val="18"/>
      </w:rPr>
      <w:t xml:space="preserve">Raport końcowy transformacji — tc-t01-i03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Aptos Display" w:cs="Aptos Display" w:eastAsia="Aptos Display" w:hAnsi="Aptos Display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rFonts w:ascii="Aptos Display" w:cs="Aptos Display" w:eastAsia="Aptos Display" w:hAnsi="Aptos Display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Aptos Display" w:cs="Aptos Display" w:eastAsia="Aptos Display" w:hAnsi="Aptos Display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after="200" w:before="600"/>
      <w:jc w:val="center"/>
    </w:pPr>
    <w:rPr>
      <w:rFonts w:ascii="Aptos Display" w:cs="Aptos Display" w:eastAsia="Aptos Display" w:hAnsi="Aptos Display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Aptos" w:cs="Aptos" w:eastAsia="Aptos" w:hAnsi="Aptos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after="140" w:before="280"/>
    </w:pPr>
    <w:rPr>
      <w:rFonts w:ascii="Aptos Display" w:cs="Aptos Display" w:eastAsia="Aptos Display" w:hAnsi="Aptos Display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after="110" w:before="220"/>
    </w:pPr>
    <w:rPr>
      <w:rFonts w:ascii="Aptos Display" w:cs="Aptos Display" w:eastAsia="Aptos Display" w:hAnsi="Aptos Display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after="90" w:before="180"/>
    </w:pPr>
    <w:rPr>
      <w:rFonts w:ascii="Aptos Display" w:cs="Aptos Display" w:eastAsia="Aptos Display" w:hAnsi="Aptos Display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Aptos" w:cs="Aptos" w:eastAsia="Aptos" w:hAnsi="Aptos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after="120" w:before="80"/>
      <w:ind w:left="360"/>
    </w:pPr>
    <w:rPr>
      <w:rFonts w:ascii="Aptos" w:cs="Aptos" w:eastAsia="Aptos" w:hAnsi="Aptos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after="120" w:before="60"/>
    </w:pPr>
    <w:rPr>
      <w:rFonts w:ascii="Aptos" w:cs="Aptos" w:eastAsia="Aptos" w:hAnsi="Aptos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Aptos" w:cs="Aptos" w:eastAsia="Aptos" w:hAnsi="Aptos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Aptos" w:cs="Aptos" w:eastAsia="Aptos" w:hAnsi="Aptos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after="120" w:before="80"/>
      <w:ind w:left="240"/>
    </w:pPr>
    <w:rPr>
      <w:rFonts w:ascii="Aptos" w:cs="Aptos" w:eastAsia="Aptos" w:hAnsi="Aptos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Aptos" w:cs="Aptos" w:eastAsia="Aptos" w:hAnsi="Aptos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after="140" w:before="280"/>
    </w:pPr>
    <w:rPr>
      <w:rFonts w:ascii="Aptos Display" w:cs="Aptos Display" w:eastAsia="Aptos Display" w:hAnsi="Aptos Display"/>
      <w:b/>
      <w:bCs/>
      <w:color w:val="0C447C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końcowy transformacji — tc-t01-i03</dc:title>
  <dc:creator>Consultify Document Studio</dc:creator>
  <dc:description>Consultify Document Studio · steering_committee_report · executive</dc:description>
  <cp:lastModifiedBy>Un-named</cp:lastModifiedBy>
  <cp:revision>1</cp:revision>
  <dcterms:created xsi:type="dcterms:W3CDTF">2026-08-08T07:08:12.830Z</dcterms:created>
  <dcterms:modified xsi:type="dcterms:W3CDTF">2026-08-08T07:08:12.830Z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